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footer2.xml.rels" ContentType="application/vnd.openxmlformats-package.relationship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Broj: UP-11-01-38-2587/16</w:t>
      </w:r>
    </w:p>
    <w:p>
      <w:pPr>
        <w:pStyle w:val="Normal"/>
        <w:rPr>
          <w:b/>
          <w:b/>
        </w:rPr>
      </w:pPr>
      <w:r>
        <w:rPr>
          <w:b/>
        </w:rPr>
        <w:t>Sarajevo, 19.02.2016. godine</w:t>
      </w:r>
    </w:p>
    <w:p>
      <w:pPr>
        <w:pStyle w:val="Normal"/>
        <w:rPr/>
      </w:pPr>
      <w:r>
        <w:rPr/>
      </w:r>
    </w:p>
    <w:p>
      <w:pPr>
        <w:pStyle w:val="Western"/>
        <w:spacing w:lineRule="auto" w:line="240" w:before="280" w:after="0"/>
        <w:ind w:firstLine="709"/>
        <w:jc w:val="both"/>
        <w:rPr/>
      </w:pPr>
      <w:r>
        <w:rPr>
          <w:rFonts w:ascii="Times New Roman" w:hAnsi="Times New Roman"/>
          <w:sz w:val="24"/>
          <w:szCs w:val="24"/>
        </w:rPr>
        <w:t xml:space="preserve">Na osnovu člana 14. Zakona o osnovnom odgoju i obrazovanju („Službene novine Kantona Sarajevo“ broj: </w:t>
      </w:r>
      <w:r>
        <w:rPr>
          <w:rFonts w:ascii="Times New Roman" w:hAnsi="Times New Roman"/>
          <w:color w:val="000000"/>
          <w:sz w:val="24"/>
          <w:szCs w:val="24"/>
        </w:rPr>
        <w:t>10/04, 21/06, 26/08, 31/11 i 15/13</w:t>
      </w:r>
      <w:r>
        <w:rPr>
          <w:rFonts w:ascii="Times New Roman" w:hAnsi="Times New Roman"/>
          <w:sz w:val="24"/>
          <w:szCs w:val="24"/>
        </w:rPr>
        <w:t xml:space="preserve">), rješavajući po Zahtjevu Predškolske ustanove </w:t>
      </w:r>
      <w:r>
        <w:rPr>
          <w:rFonts w:ascii="Times New Roman" w:hAnsi="Times New Roman"/>
          <w:iCs/>
          <w:sz w:val="24"/>
          <w:szCs w:val="24"/>
        </w:rPr>
        <w:t>International Montessori House</w:t>
      </w:r>
      <w:r>
        <w:rPr>
          <w:rFonts w:ascii="Times New Roman" w:hAnsi="Times New Roman"/>
          <w:sz w:val="24"/>
          <w:szCs w:val="24"/>
        </w:rPr>
        <w:t xml:space="preserve">, Sarajevo kao osnivača, radi utvrđivanja uvjeta za rad privatne osnovne škole: Međunarodna Njemačka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kola Sarajevo – Internationale Deutsche Schule Sarajevo, Ministar </w:t>
      </w:r>
      <w:r>
        <w:rPr>
          <w:rFonts w:ascii="Times New Roman" w:hAnsi="Times New Roman"/>
          <w:sz w:val="24"/>
          <w:szCs w:val="24"/>
        </w:rPr>
        <w:t xml:space="preserve">za </w:t>
      </w:r>
      <w:r>
        <w:rPr>
          <w:rFonts w:ascii="Times New Roman" w:hAnsi="Times New Roman"/>
          <w:sz w:val="24"/>
          <w:szCs w:val="24"/>
        </w:rPr>
        <w:t>obrazovanj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, nauku i mlade Kantona Sarajevo donosi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  <w:b/>
        </w:rPr>
      </w:pPr>
      <w:r>
        <w:rPr>
          <w:b/>
          <w:bCs/>
        </w:rPr>
        <w:t>R E Š E NJ E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bCs/>
        </w:rPr>
        <w:t>I</w:t>
      </w:r>
    </w:p>
    <w:p>
      <w:pPr>
        <w:pStyle w:val="Normal"/>
        <w:ind w:firstLine="708"/>
        <w:jc w:val="both"/>
        <w:rPr/>
      </w:pPr>
      <w:r>
        <w:rPr/>
        <w:t xml:space="preserve">Ustanova Osnovna škola </w:t>
      </w:r>
      <w:r>
        <w:rPr>
          <w:bCs/>
        </w:rPr>
        <w:t xml:space="preserve">Međunarodna Njemačka </w:t>
      </w:r>
      <w:r>
        <w:rPr>
          <w:bCs/>
        </w:rPr>
        <w:t>š</w:t>
      </w:r>
      <w:r>
        <w:rPr>
          <w:bCs/>
        </w:rPr>
        <w:t xml:space="preserve">kola Sarajevo – Internationale Deutsche Schule Sarajevo </w:t>
      </w:r>
      <w:r>
        <w:rPr/>
        <w:t>sa sjedištem u Sarajevu, ispunjava uslove za vršenje djelatnosti osnovnog odgoja i obrazovanja učenika, prema Nastavnom planu i programu za osnovnu školu Kantona Sarajevo.</w:t>
      </w:r>
    </w:p>
    <w:p>
      <w:pPr>
        <w:pStyle w:val="Normal"/>
        <w:jc w:val="both"/>
        <w:rPr/>
      </w:pPr>
      <w:r>
        <w:rPr/>
        <w:t>Adresa škole je: Sarajevo, Ul. Buka br. 11-13, naselje Mejtaš.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II</w:t>
      </w:r>
    </w:p>
    <w:p>
      <w:pPr>
        <w:pStyle w:val="Normal"/>
        <w:ind w:firstLine="708"/>
        <w:jc w:val="both"/>
        <w:rPr/>
      </w:pPr>
      <w:r>
        <w:rPr/>
        <w:t xml:space="preserve">Osnovna škola </w:t>
      </w:r>
      <w:r>
        <w:rPr>
          <w:bCs/>
        </w:rPr>
        <w:t xml:space="preserve">Međunarodna Njemačka </w:t>
      </w:r>
      <w:r>
        <w:rPr>
          <w:bCs/>
        </w:rPr>
        <w:t>š</w:t>
      </w:r>
      <w:r>
        <w:rPr>
          <w:bCs/>
        </w:rPr>
        <w:t xml:space="preserve">kola Sarajevo – Internationale Deutsche Schule Sarajevo, </w:t>
      </w:r>
      <w:r>
        <w:rPr/>
        <w:t xml:space="preserve">upisana je u registar pod rednim brojem </w:t>
      </w:r>
      <w:r>
        <w:rPr>
          <w:b/>
          <w:bCs/>
        </w:rPr>
        <w:t>76</w:t>
      </w:r>
      <w:r>
        <w:rPr>
          <w:bCs/>
        </w:rPr>
        <w:t xml:space="preserve"> na strani </w:t>
      </w:r>
      <w:r>
        <w:rPr>
          <w:b/>
          <w:bCs/>
        </w:rPr>
        <w:t>76.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bookmarkStart w:id="0" w:name="_GoBack"/>
      <w:bookmarkStart w:id="1" w:name="_GoBack"/>
      <w:bookmarkEnd w:id="1"/>
      <w:r>
        <w:rPr/>
      </w:r>
    </w:p>
    <w:p>
      <w:pPr>
        <w:pStyle w:val="Normal"/>
        <w:jc w:val="both"/>
        <w:rPr>
          <w:b/>
          <w:b/>
        </w:rPr>
      </w:pPr>
      <w:r>
        <w:rPr>
          <w:b/>
        </w:rPr>
        <w:t>Obrazloženje: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ind w:firstLine="708"/>
        <w:jc w:val="both"/>
        <w:rPr/>
      </w:pPr>
      <w:r>
        <w:rPr/>
        <w:t xml:space="preserve">U skladu sa odredbama Zakona o osnovnom odgoju i obrazovanju („Službene novine Kantona Sarajevo“ broj: </w:t>
      </w:r>
      <w:r>
        <w:rPr>
          <w:color w:val="000000"/>
        </w:rPr>
        <w:t>10/04, 21/06, 26/08, 31/11 i 15/13</w:t>
      </w:r>
      <w:r>
        <w:rPr/>
        <w:t>),  Ministarstvu za obrazovanje, nauku i mlade Kantona Sarajevo obratila se predškolska ustanova „</w:t>
      </w:r>
      <w:r>
        <w:rPr>
          <w:iCs/>
        </w:rPr>
        <w:t>International Montessori House“</w:t>
      </w:r>
      <w:r>
        <w:rPr/>
        <w:t xml:space="preserve"> Sarajevo, kao osnivač, radi utvrđivanja uvjeta za rad privatne osnovne škole Međunarodna Njemačka škola Sarajevo – Internationale Deutsche Schule Sarajevo.</w:t>
      </w:r>
    </w:p>
    <w:p>
      <w:pPr>
        <w:pStyle w:val="NoSpacing"/>
        <w:ind w:firstLine="708"/>
        <w:jc w:val="both"/>
        <w:rPr/>
      </w:pPr>
      <w:r>
        <w:rPr/>
        <w:t xml:space="preserve"> </w:t>
      </w:r>
      <w:r>
        <w:rPr/>
        <w:t xml:space="preserve">Ministar </w:t>
      </w:r>
      <w:r>
        <w:rPr/>
        <w:t xml:space="preserve">za </w:t>
      </w:r>
      <w:r>
        <w:rPr/>
        <w:t>obrazovanj</w:t>
      </w:r>
      <w:r>
        <w:rPr/>
        <w:t>e</w:t>
      </w:r>
      <w:r>
        <w:rPr/>
        <w:t>, nauku i mlade Kantona Sarajevo je u skladu sa zakonom formirao Komisiju sa zadatkom da utvrdi uvjete za obavljanje djelatnosti osnovnog obrazovanja navedene škole. Nakon pregleda i analize priložene dokumentacije koju je osnivač dostavio na uvid, Komisija je pregledala i školski objekat navedene škole i konstatovala da su obezbijeđeni svi uslovi za početak rada i dalji rad ove osnovne škole.</w:t>
      </w:r>
    </w:p>
    <w:p>
      <w:pPr>
        <w:pStyle w:val="NoSpacing"/>
        <w:ind w:firstLine="708"/>
        <w:jc w:val="both"/>
        <w:rPr>
          <w:color w:val="00000A"/>
        </w:rPr>
      </w:pPr>
      <w:r>
        <w:rPr>
          <w:color w:val="00000A"/>
        </w:rPr>
      </w:r>
    </w:p>
    <w:p>
      <w:pPr>
        <w:pStyle w:val="NoSpacing"/>
        <w:ind w:firstLine="708"/>
        <w:jc w:val="both"/>
        <w:rPr/>
      </w:pPr>
      <w:r>
        <w:rPr>
          <w:color w:val="00000A"/>
        </w:rPr>
        <w:t xml:space="preserve">Na prijedlog  </w:t>
      </w:r>
      <w:r>
        <w:rPr>
          <w:bCs/>
        </w:rPr>
        <w:t xml:space="preserve">Komisije za utvrđivanje uvjeta za osnivanje i rad privatne škole Međunarodna Njemačka </w:t>
      </w:r>
      <w:r>
        <w:rPr>
          <w:bCs/>
        </w:rPr>
        <w:t xml:space="preserve">š </w:t>
      </w:r>
      <w:r>
        <w:rPr>
          <w:bCs/>
        </w:rPr>
        <w:t xml:space="preserve">kola Sarajevo- Internationale Deutsche Schule Sarajevo </w:t>
      </w:r>
      <w:r>
        <w:rPr>
          <w:color w:val="00000A"/>
        </w:rPr>
        <w:t xml:space="preserve">da se donese Rješenje o upisu u registar, </w:t>
      </w:r>
      <w:r>
        <w:rPr/>
        <w:t>Ministar je utvrdio da su ispunjeni uvjeti predviđeni Zakonom o osnovnom odgoju i obrazovanju za izdavanje predmetnog rješenja, pa je riješeno kao u dispozitivu ovog rješenja.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8"/>
        <w:jc w:val="both"/>
        <w:rPr/>
      </w:pPr>
      <w:r>
        <w:rPr>
          <w:b/>
          <w:bCs/>
          <w:i/>
          <w:iCs/>
        </w:rPr>
        <w:t>Pouka o pravnom lijeku:</w:t>
      </w:r>
      <w:r>
        <w:rPr>
          <w:i/>
          <w:iCs/>
        </w:rPr>
        <w:t xml:space="preserve"> Ovo rješenje je konačno u upravnom postupku, te protiv njega nije dopuštena žalba, ali se može pokrenuti upravni spor podnošenjem tužbe Kantonalnom sudu u Sarajevu u roku od 30 dana od dana prijema ovog rješenja. </w:t>
      </w:r>
    </w:p>
    <w:p>
      <w:pPr>
        <w:pStyle w:val="Normal"/>
        <w:jc w:val="both"/>
        <w:rPr/>
      </w:pPr>
      <w:r>
        <w:rPr/>
      </w:r>
    </w:p>
    <w:p>
      <w:pPr>
        <w:pStyle w:val="NormalWeb"/>
        <w:spacing w:lineRule="auto" w:line="240" w:before="280" w:after="0"/>
        <w:jc w:val="both"/>
        <w:rPr/>
      </w:pPr>
      <w:r>
        <w:rPr/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ind w:firstLine="720"/>
        <w:jc w:val="both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  <w:r>
        <w:rPr>
          <w:sz w:val="22"/>
          <w:szCs w:val="22"/>
        </w:rPr>
        <w:tab/>
        <w:tab/>
        <w:t xml:space="preserve">         </w:t>
      </w:r>
      <w:r>
        <w:rPr>
          <w:b/>
          <w:bCs/>
        </w:rPr>
        <w:t>M I N I S T A R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sz w:val="20"/>
          <w:szCs w:val="20"/>
        </w:rPr>
      </w:pPr>
      <w:r>
        <w:rPr/>
        <w:t xml:space="preserve">                                                                                                 </w:t>
      </w:r>
      <w:r>
        <w:rPr>
          <w:b/>
          <w:i/>
          <w:iCs/>
        </w:rPr>
        <w:t>Prof. dr. Elvir Kazazović</w:t>
      </w:r>
    </w:p>
    <w:p>
      <w:pPr>
        <w:pStyle w:val="NormalWeb"/>
        <w:spacing w:lineRule="auto" w:line="240" w:before="280" w:after="0"/>
        <w:jc w:val="both"/>
        <w:rPr/>
      </w:pPr>
      <w:r>
        <w:rPr/>
        <w:t>Dostavljeno: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jc w:val="both"/>
        <w:rPr/>
      </w:pPr>
      <w:r>
        <w:rPr/>
        <w:t>Školi 2x,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jc w:val="both"/>
        <w:rPr/>
      </w:pPr>
      <w:r>
        <w:rPr/>
        <w:t>Općini Centar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jc w:val="both"/>
        <w:rPr/>
      </w:pPr>
      <w:r>
        <w:rPr/>
        <w:t xml:space="preserve">U dosije Registra i 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jc w:val="both"/>
        <w:rPr/>
      </w:pPr>
      <w:r>
        <w:rPr/>
        <w:t>a/a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/>
        <w:rPr>
          <w:sz w:val="20"/>
          <w:szCs w:val="20"/>
        </w:rPr>
      </w:pPr>
      <w:r>
        <w:rPr>
          <w:sz w:val="20"/>
          <w:szCs w:val="20"/>
        </w:rPr>
        <w:t>Pripremio: Alija Grabovica</w:t>
      </w:r>
    </w:p>
    <w:p>
      <w:pPr>
        <w:pStyle w:val="Normal"/>
        <w:ind w:firstLine="708"/>
        <w:rPr>
          <w:sz w:val="20"/>
          <w:szCs w:val="20"/>
        </w:rPr>
      </w:pPr>
      <w:r>
        <w:rPr>
          <w:sz w:val="20"/>
          <w:szCs w:val="20"/>
        </w:rPr>
        <w:t>Pregledao: Abid Fejzić</w:t>
      </w:r>
    </w:p>
    <w:p>
      <w:pPr>
        <w:pStyle w:val="Normal"/>
        <w:ind w:firstLine="708"/>
        <w:rPr/>
      </w:pPr>
      <w:r>
        <w:rPr>
          <w:sz w:val="20"/>
          <w:szCs w:val="20"/>
        </w:rPr>
        <w:t>Prekontrolisala: Ljiljana Prelčec</w:t>
      </w:r>
    </w:p>
    <w:sectPr>
      <w:headerReference w:type="first" r:id="rId2"/>
      <w:footerReference w:type="default" r:id="rId3"/>
      <w:footerReference w:type="first" r:id="rId4"/>
      <w:type w:val="nextPage"/>
      <w:pgSz w:w="11906" w:h="16838"/>
      <w:pgMar w:left="1560" w:right="1417" w:header="0" w:top="1134" w:footer="39" w:bottom="567" w:gutter="0"/>
      <w:pgNumType w:fmt="decimal"/>
      <w:formProt w:val="false"/>
      <w:titlePg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imes New Roman">
    <w:charset w:val="ee"/>
    <w:family w:val="roman"/>
    <w:pitch w:val="variable"/>
  </w:font>
  <w:font w:name="Tahoma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9" w:type="dxa"/>
      <w:jc w:val="left"/>
      <w:tblInd w:w="109" w:type="dxa"/>
      <w:tblBorders>
        <w:top w:val="single" w:sz="4" w:space="0" w:color="000001"/>
        <w:bottom w:val="single" w:sz="4" w:space="0" w:color="000001"/>
        <w:insideH w:val="single" w:sz="4" w:space="0" w:color="000001"/>
      </w:tblBorders>
      <w:tblCellMar>
        <w:top w:w="0" w:type="dxa"/>
        <w:left w:w="108" w:type="dxa"/>
        <w:bottom w:w="0" w:type="dxa"/>
        <w:right w:w="108" w:type="dxa"/>
      </w:tblCellMar>
      <w:tblLook w:noVBand="1" w:val="04a0" w:noHBand="0" w:lastColumn="0" w:firstColumn="1" w:lastRow="0" w:firstRow="1"/>
    </w:tblPr>
    <w:tblGrid>
      <w:gridCol w:w="2440"/>
      <w:gridCol w:w="4961"/>
      <w:gridCol w:w="2238"/>
    </w:tblGrid>
    <w:tr>
      <w:trPr/>
      <w:tc>
        <w:tcPr>
          <w:tcW w:w="2440" w:type="dxa"/>
          <w:tcBorders>
            <w:top w:val="single" w:sz="4" w:space="0" w:color="000001"/>
            <w:bottom w:val="single" w:sz="4" w:space="0" w:color="000001"/>
            <w:insideH w:val="single" w:sz="4" w:space="0" w:color="000001"/>
          </w:tcBorders>
          <w:shd w:color="auto" w:fill="auto" w:val="clear"/>
        </w:tcPr>
        <w:p>
          <w:pPr>
            <w:pStyle w:val="Normal"/>
            <w:spacing w:before="60" w:after="0"/>
            <w:jc w:val="center"/>
            <w:rPr/>
          </w:pPr>
          <w:r>
            <w:rPr/>
            <w:drawing>
              <wp:inline distT="0" distB="0" distL="0" distR="0">
                <wp:extent cx="1207135" cy="482600"/>
                <wp:effectExtent l="0" t="0" r="0" b="0"/>
                <wp:docPr id="2" name="Picture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tcBorders>
            <w:top w:val="single" w:sz="4" w:space="0" w:color="000001"/>
            <w:bottom w:val="single" w:sz="4" w:space="0" w:color="000001"/>
            <w:insideH w:val="single" w:sz="4" w:space="0" w:color="000001"/>
          </w:tcBorders>
          <w:shd w:color="auto" w:fill="auto" w:val="clear"/>
          <w:vAlign w:val="center"/>
        </w:tcPr>
        <w:p>
          <w:pPr>
            <w:pStyle w:val="Normal"/>
            <w:jc w:val="center"/>
            <w:rPr/>
          </w:pPr>
          <w:r>
            <w:rPr>
              <w:b/>
              <w:color w:val="000000"/>
              <w:sz w:val="20"/>
              <w:szCs w:val="20"/>
            </w:rPr>
            <w:t xml:space="preserve">web: </w:t>
          </w:r>
          <w:r>
            <w:rPr>
              <w:color w:val="000000"/>
              <w:sz w:val="20"/>
              <w:szCs w:val="20"/>
            </w:rPr>
            <w:t>http://</w:t>
          </w:r>
          <w:hyperlink r:id="rId2">
            <w:r>
              <w:rPr>
                <w:rStyle w:val="InternetLink"/>
                <w:sz w:val="20"/>
                <w:szCs w:val="20"/>
              </w:rPr>
              <w:t>www.monks.ba</w:t>
            </w:r>
          </w:hyperlink>
        </w:p>
        <w:p>
          <w:pPr>
            <w:pStyle w:val="Normal"/>
            <w:jc w:val="center"/>
            <w:rPr/>
          </w:pPr>
          <w:r>
            <w:rPr>
              <w:b/>
              <w:color w:val="000000"/>
              <w:sz w:val="20"/>
              <w:szCs w:val="20"/>
            </w:rPr>
            <w:t xml:space="preserve">e-mail: </w:t>
          </w:r>
          <w:hyperlink r:id="rId3">
            <w:r>
              <w:rPr>
                <w:rStyle w:val="InternetLink"/>
                <w:sz w:val="20"/>
                <w:szCs w:val="20"/>
              </w:rPr>
              <w:t>monks@ks.gov.ba</w:t>
            </w:r>
          </w:hyperlink>
        </w:p>
        <w:p>
          <w:pPr>
            <w:pStyle w:val="Normal"/>
            <w:jc w:val="center"/>
            <w:rPr>
              <w:b/>
              <w:b/>
              <w:color w:val="000000"/>
              <w:sz w:val="20"/>
              <w:szCs w:val="20"/>
            </w:rPr>
          </w:pPr>
          <w:r>
            <w:rPr>
              <w:sz w:val="20"/>
              <w:szCs w:val="20"/>
            </w:rPr>
            <w:t>Tel: + 387 (0) 33 562-128,Fax: + 387 (0) 33 562-218</w:t>
          </w:r>
        </w:p>
        <w:p>
          <w:pPr>
            <w:pStyle w:val="Normal"/>
            <w:jc w:val="center"/>
            <w:rPr>
              <w:b/>
              <w:b/>
              <w:color w:val="000000"/>
              <w:sz w:val="20"/>
              <w:szCs w:val="20"/>
            </w:rPr>
          </w:pPr>
          <w:r>
            <w:rPr>
              <w:sz w:val="20"/>
              <w:szCs w:val="20"/>
            </w:rPr>
            <w:t>Sarajevo, Reisa Džemaludina Čauševića 1</w:t>
          </w:r>
        </w:p>
      </w:tc>
      <w:tc>
        <w:tcPr>
          <w:tcW w:w="2238" w:type="dxa"/>
          <w:tcBorders>
            <w:top w:val="single" w:sz="4" w:space="0" w:color="000001"/>
            <w:bottom w:val="single" w:sz="4" w:space="0" w:color="000001"/>
            <w:insideH w:val="single" w:sz="4" w:space="0" w:color="000001"/>
          </w:tcBorders>
          <w:shd w:color="auto" w:fill="auto" w:val="clear"/>
          <w:vAlign w:val="bottom"/>
        </w:tcPr>
        <w:p>
          <w:pPr>
            <w:pStyle w:val="Normal"/>
            <w:spacing w:before="60" w:after="0"/>
            <w:jc w:val="center"/>
            <w:rPr/>
          </w:pPr>
          <w:r>
            <w:rPr/>
            <w:drawing>
              <wp:inline distT="0" distB="0" distL="0" distR="0">
                <wp:extent cx="723900" cy="723900"/>
                <wp:effectExtent l="0" t="0" r="0" b="0"/>
                <wp:docPr id="3" name="Picture 7" descr="novi_pecat_tuv_cert_2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7" descr="novi_pecat_tuv_cert_2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9" w:type="dxa"/>
      <w:jc w:val="left"/>
      <w:tblInd w:w="109" w:type="dxa"/>
      <w:tblBorders>
        <w:top w:val="single" w:sz="4" w:space="0" w:color="000001"/>
        <w:bottom w:val="single" w:sz="4" w:space="0" w:color="000001"/>
        <w:insideH w:val="single" w:sz="4" w:space="0" w:color="000001"/>
      </w:tblBorders>
      <w:tblCellMar>
        <w:top w:w="0" w:type="dxa"/>
        <w:left w:w="108" w:type="dxa"/>
        <w:bottom w:w="0" w:type="dxa"/>
        <w:right w:w="108" w:type="dxa"/>
      </w:tblCellMar>
      <w:tblLook w:noVBand="1" w:val="04a0" w:noHBand="0" w:lastColumn="0" w:firstColumn="1" w:lastRow="0" w:firstRow="1"/>
    </w:tblPr>
    <w:tblGrid>
      <w:gridCol w:w="2440"/>
      <w:gridCol w:w="4961"/>
      <w:gridCol w:w="2238"/>
    </w:tblGrid>
    <w:tr>
      <w:trPr/>
      <w:tc>
        <w:tcPr>
          <w:tcW w:w="2440" w:type="dxa"/>
          <w:tcBorders>
            <w:top w:val="single" w:sz="4" w:space="0" w:color="000001"/>
            <w:bottom w:val="single" w:sz="4" w:space="0" w:color="000001"/>
            <w:insideH w:val="single" w:sz="4" w:space="0" w:color="000001"/>
          </w:tcBorders>
          <w:shd w:color="auto" w:fill="auto" w:val="clear"/>
        </w:tcPr>
        <w:p>
          <w:pPr>
            <w:pStyle w:val="Normal"/>
            <w:spacing w:before="60" w:after="0"/>
            <w:jc w:val="center"/>
            <w:rPr/>
          </w:pPr>
          <w:r>
            <w:rPr/>
            <w:drawing>
              <wp:inline distT="0" distB="0" distL="0" distR="0">
                <wp:extent cx="1207135" cy="482600"/>
                <wp:effectExtent l="0" t="0" r="0" b="0"/>
                <wp:docPr id="4" name="Picture 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9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tcBorders>
            <w:top w:val="single" w:sz="4" w:space="0" w:color="000001"/>
            <w:bottom w:val="single" w:sz="4" w:space="0" w:color="000001"/>
            <w:insideH w:val="single" w:sz="4" w:space="0" w:color="000001"/>
          </w:tcBorders>
          <w:shd w:color="auto" w:fill="auto" w:val="clear"/>
          <w:vAlign w:val="center"/>
        </w:tcPr>
        <w:p>
          <w:pPr>
            <w:pStyle w:val="Normal"/>
            <w:jc w:val="center"/>
            <w:rPr/>
          </w:pPr>
          <w:r>
            <w:rPr>
              <w:b/>
              <w:color w:val="000000"/>
              <w:sz w:val="20"/>
              <w:szCs w:val="20"/>
            </w:rPr>
            <w:t xml:space="preserve">web: </w:t>
          </w:r>
          <w:r>
            <w:rPr>
              <w:color w:val="000000"/>
              <w:sz w:val="20"/>
              <w:szCs w:val="20"/>
            </w:rPr>
            <w:t>http://</w:t>
          </w:r>
          <w:hyperlink r:id="rId2">
            <w:r>
              <w:rPr>
                <w:rStyle w:val="InternetLink"/>
                <w:sz w:val="20"/>
                <w:szCs w:val="20"/>
              </w:rPr>
              <w:t>www.mon.ks.gov.ba</w:t>
            </w:r>
          </w:hyperlink>
        </w:p>
        <w:p>
          <w:pPr>
            <w:pStyle w:val="Normal"/>
            <w:jc w:val="center"/>
            <w:rPr/>
          </w:pPr>
          <w:r>
            <w:rPr>
              <w:b/>
              <w:color w:val="000000"/>
              <w:sz w:val="20"/>
              <w:szCs w:val="20"/>
            </w:rPr>
            <w:t xml:space="preserve">e-mail: </w:t>
          </w:r>
          <w:hyperlink r:id="rId3">
            <w:r>
              <w:rPr>
                <w:rStyle w:val="InternetLink"/>
                <w:sz w:val="20"/>
                <w:szCs w:val="20"/>
              </w:rPr>
              <w:t>mon@mon.ks.gov.ba</w:t>
            </w:r>
          </w:hyperlink>
          <w:r>
            <w:rPr>
              <w:color w:val="000000"/>
              <w:sz w:val="20"/>
              <w:szCs w:val="20"/>
            </w:rPr>
            <w:t>;</w:t>
          </w:r>
          <w:r>
            <w:rPr>
              <w:b/>
              <w:color w:val="000000"/>
              <w:sz w:val="20"/>
              <w:szCs w:val="20"/>
            </w:rPr>
            <w:t xml:space="preserve"> </w:t>
          </w:r>
        </w:p>
        <w:p>
          <w:pPr>
            <w:pStyle w:val="Normal"/>
            <w:jc w:val="center"/>
            <w:rPr>
              <w:b/>
              <w:b/>
              <w:color w:val="000000"/>
              <w:sz w:val="20"/>
              <w:szCs w:val="20"/>
            </w:rPr>
          </w:pPr>
          <w:r>
            <w:rPr>
              <w:sz w:val="20"/>
              <w:szCs w:val="20"/>
            </w:rPr>
            <w:t>Tel: + 387 (0) 33 562-128,Fax: + 387 (0) 33 562-218</w:t>
          </w:r>
        </w:p>
        <w:p>
          <w:pPr>
            <w:pStyle w:val="Normal"/>
            <w:jc w:val="center"/>
            <w:rPr>
              <w:b/>
              <w:b/>
              <w:color w:val="000000"/>
              <w:sz w:val="20"/>
              <w:szCs w:val="20"/>
            </w:rPr>
          </w:pPr>
          <w:r>
            <w:rPr>
              <w:sz w:val="20"/>
              <w:szCs w:val="20"/>
            </w:rPr>
            <w:t>Sarajevo, Reisa Džemaludina Čauševića 1</w:t>
          </w:r>
        </w:p>
      </w:tc>
      <w:tc>
        <w:tcPr>
          <w:tcW w:w="2238" w:type="dxa"/>
          <w:tcBorders>
            <w:top w:val="single" w:sz="4" w:space="0" w:color="000001"/>
            <w:bottom w:val="single" w:sz="4" w:space="0" w:color="000001"/>
            <w:insideH w:val="single" w:sz="4" w:space="0" w:color="000001"/>
          </w:tcBorders>
          <w:shd w:color="auto" w:fill="auto" w:val="clear"/>
          <w:vAlign w:val="bottom"/>
        </w:tcPr>
        <w:p>
          <w:pPr>
            <w:pStyle w:val="Normal"/>
            <w:spacing w:before="60" w:after="0"/>
            <w:jc w:val="center"/>
            <w:rPr/>
          </w:pPr>
          <w:r>
            <w:rPr/>
            <w:drawing>
              <wp:inline distT="0" distB="0" distL="0" distR="0">
                <wp:extent cx="723900" cy="723900"/>
                <wp:effectExtent l="0" t="0" r="0" b="0"/>
                <wp:docPr id="5" name="Picture 10" descr="novi_pecat_tuv_cert_2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0" descr="novi_pecat_tuv_cert_2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639" w:type="dxa"/>
      <w:jc w:val="left"/>
      <w:tblInd w:w="109" w:type="dxa"/>
      <w:tblBorders>
        <w:bottom w:val="single" w:sz="4" w:space="0" w:color="00000A"/>
        <w:insideH w:val="single" w:sz="4" w:space="0" w:color="00000A"/>
      </w:tblBorders>
      <w:tblCellMar>
        <w:top w:w="0" w:type="dxa"/>
        <w:left w:w="108" w:type="dxa"/>
        <w:bottom w:w="0" w:type="dxa"/>
        <w:right w:w="108" w:type="dxa"/>
      </w:tblCellMar>
      <w:tblLook w:noVBand="0" w:val="0000" w:noHBand="0" w:lastColumn="0" w:firstColumn="0" w:lastRow="0" w:firstRow="0"/>
    </w:tblPr>
    <w:tblGrid>
      <w:gridCol w:w="4240"/>
      <w:gridCol w:w="1206"/>
      <w:gridCol w:w="4193"/>
    </w:tblGrid>
    <w:tr>
      <w:trPr/>
      <w:tc>
        <w:tcPr>
          <w:tcW w:w="4240" w:type="dxa"/>
          <w:tcBorders>
            <w:bottom w:val="single" w:sz="4" w:space="0" w:color="00000A"/>
            <w:insideH w:val="single" w:sz="4" w:space="0" w:color="00000A"/>
          </w:tcBorders>
          <w:shd w:color="auto" w:fill="auto" w:val="clear"/>
        </w:tcPr>
        <w:p>
          <w:pPr>
            <w:pStyle w:val="Header"/>
            <w:snapToGrid w:val="false"/>
            <w:jc w:val="right"/>
            <w:rPr/>
          </w:pPr>
          <w:r>
            <w:rPr/>
            <w:t>Bosna i Hercegovina</w:t>
          </w:r>
        </w:p>
        <w:p>
          <w:pPr>
            <w:pStyle w:val="Header"/>
            <w:jc w:val="right"/>
            <w:rPr/>
          </w:pPr>
          <w:r>
            <w:rPr/>
            <w:t>Federacija Bosne i Hercegovine</w:t>
          </w:r>
        </w:p>
      </w:tc>
      <w:tc>
        <w:tcPr>
          <w:tcW w:w="1206" w:type="dxa"/>
          <w:vMerge w:val="restart"/>
          <w:tcBorders>
            <w:bottom w:val="single" w:sz="4" w:space="0" w:color="00000A"/>
            <w:insideH w:val="single" w:sz="4" w:space="0" w:color="00000A"/>
          </w:tcBorders>
          <w:shd w:color="auto" w:fill="auto" w:val="clear"/>
        </w:tcPr>
        <w:p>
          <w:pPr>
            <w:pStyle w:val="Header"/>
            <w:snapToGrid w:val="false"/>
            <w:jc w:val="center"/>
            <w:rPr/>
          </w:pPr>
          <w:r>
            <w:rPr/>
            <w:drawing>
              <wp:inline distT="0" distB="0" distL="0" distR="0">
                <wp:extent cx="629285" cy="789940"/>
                <wp:effectExtent l="0" t="0" r="0" b="0"/>
                <wp:docPr id="1" name="Picture 8" descr="image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8" descr="image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9285" cy="789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93" w:type="dxa"/>
          <w:tcBorders>
            <w:bottom w:val="single" w:sz="4" w:space="0" w:color="00000A"/>
            <w:insideH w:val="single" w:sz="4" w:space="0" w:color="00000A"/>
          </w:tcBorders>
          <w:shd w:color="auto" w:fill="auto" w:val="clear"/>
        </w:tcPr>
        <w:p>
          <w:pPr>
            <w:pStyle w:val="Header"/>
            <w:snapToGrid w:val="false"/>
            <w:rPr/>
          </w:pPr>
          <w:r>
            <w:rPr/>
            <w:t>Bosnia and Herzegovina</w:t>
          </w:r>
        </w:p>
        <w:p>
          <w:pPr>
            <w:pStyle w:val="Header"/>
            <w:rPr/>
          </w:pPr>
          <w:r>
            <w:rPr/>
            <w:t>Federation of Bosnia and Herzegovina</w:t>
          </w:r>
        </w:p>
      </w:tc>
    </w:tr>
    <w:tr>
      <w:trPr/>
      <w:tc>
        <w:tcPr>
          <w:tcW w:w="4240" w:type="dxa"/>
          <w:tcBorders>
            <w:top w:val="single" w:sz="4" w:space="0" w:color="00000A"/>
            <w:bottom w:val="single" w:sz="4" w:space="0" w:color="00000A"/>
            <w:insideH w:val="single" w:sz="4" w:space="0" w:color="00000A"/>
          </w:tcBorders>
          <w:shd w:color="auto" w:fill="auto" w:val="clear"/>
        </w:tcPr>
        <w:p>
          <w:pPr>
            <w:pStyle w:val="Header"/>
            <w:snapToGrid w:val="false"/>
            <w:jc w:val="right"/>
            <w:rPr>
              <w:b/>
              <w:b/>
            </w:rPr>
          </w:pPr>
          <w:r>
            <w:rPr>
              <w:b/>
            </w:rPr>
            <w:t xml:space="preserve">                      </w:t>
          </w:r>
          <w:r>
            <w:rPr>
              <w:b/>
            </w:rPr>
            <w:t>KANTON SARAJEVO</w:t>
          </w:r>
        </w:p>
        <w:p>
          <w:pPr>
            <w:pStyle w:val="Header"/>
            <w:jc w:val="right"/>
            <w:rPr>
              <w:b/>
              <w:b/>
            </w:rPr>
          </w:pPr>
          <w:r>
            <w:rPr>
              <w:b/>
            </w:rPr>
            <w:t xml:space="preserve">    </w:t>
          </w:r>
          <w:r>
            <w:rPr>
              <w:b/>
            </w:rPr>
            <w:t>Ministarstvo za obrazovanje, nauku i mlade</w:t>
          </w:r>
        </w:p>
      </w:tc>
      <w:tc>
        <w:tcPr>
          <w:tcW w:w="1206" w:type="dxa"/>
          <w:vMerge w:val="continue"/>
          <w:tcBorders>
            <w:top w:val="single" w:sz="4" w:space="0" w:color="00000A"/>
            <w:bottom w:val="single" w:sz="4" w:space="0" w:color="00000A"/>
            <w:insideH w:val="single" w:sz="4" w:space="0" w:color="00000A"/>
          </w:tcBorders>
          <w:shd w:color="auto" w:fill="auto" w:val="clear"/>
        </w:tcPr>
        <w:p>
          <w:pPr>
            <w:pStyle w:val="Normal"/>
            <w:rPr/>
          </w:pPr>
          <w:r>
            <w:rPr/>
          </w:r>
        </w:p>
      </w:tc>
      <w:tc>
        <w:tcPr>
          <w:tcW w:w="4193" w:type="dxa"/>
          <w:tcBorders>
            <w:top w:val="single" w:sz="4" w:space="0" w:color="00000A"/>
            <w:bottom w:val="single" w:sz="4" w:space="0" w:color="00000A"/>
            <w:insideH w:val="single" w:sz="4" w:space="0" w:color="00000A"/>
          </w:tcBorders>
          <w:shd w:color="auto" w:fill="auto" w:val="clear"/>
        </w:tcPr>
        <w:p>
          <w:pPr>
            <w:pStyle w:val="Header"/>
            <w:snapToGrid w:val="false"/>
            <w:rPr>
              <w:b/>
              <w:b/>
            </w:rPr>
          </w:pPr>
          <w:r>
            <w:rPr>
              <w:b/>
            </w:rPr>
            <w:t>CANTON SARAJEVO</w:t>
          </w:r>
        </w:p>
        <w:p>
          <w:pPr>
            <w:pStyle w:val="Header"/>
            <w:snapToGrid w:val="false"/>
            <w:rPr>
              <w:b/>
              <w:b/>
            </w:rPr>
          </w:pPr>
          <w:r>
            <w:rPr>
              <w:b/>
            </w:rPr>
            <w:t>Ministry for Education, Science and Youth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s-Latn-B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bs-BA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70e17"/>
    <w:pPr>
      <w:widowControl/>
      <w:suppressAutoHyphens w:val="true"/>
      <w:bidi w:val="0"/>
      <w:spacing w:lineRule="auto" w:line="24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hr-HR" w:eastAsia="ar-SA" w:bidi="ar-SA"/>
    </w:rPr>
  </w:style>
  <w:style w:type="paragraph" w:styleId="Heading1">
    <w:name w:val="Heading 1"/>
    <w:basedOn w:val="Heading"/>
    <w:qFormat/>
    <w:pPr>
      <w:outlineLvl w:val="0"/>
    </w:pPr>
    <w:rPr/>
  </w:style>
  <w:style w:type="paragraph" w:styleId="Heading2">
    <w:name w:val="Heading 2"/>
    <w:basedOn w:val="Heading"/>
    <w:qFormat/>
    <w:pPr>
      <w:outlineLvl w:val="1"/>
    </w:pPr>
    <w:rPr/>
  </w:style>
  <w:style w:type="paragraph" w:styleId="Heading3">
    <w:name w:val="Heading 3"/>
    <w:basedOn w:val="Heading"/>
    <w:qFormat/>
    <w:pPr>
      <w:outlineLvl w:val="2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Internet Link"/>
    <w:semiHidden/>
    <w:rsid w:val="00d70e17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semiHidden/>
    <w:qFormat/>
    <w:rsid w:val="00d70e17"/>
    <w:rPr>
      <w:rFonts w:ascii="Times New Roman" w:hAnsi="Times New Roman" w:eastAsia="Times New Roman" w:cs="Times New Roman"/>
      <w:sz w:val="24"/>
      <w:szCs w:val="24"/>
      <w:lang w:val="hr-HR" w:eastAsia="ar-SA"/>
    </w:rPr>
  </w:style>
  <w:style w:type="character" w:styleId="FooterChar" w:customStyle="1">
    <w:name w:val="Footer Char"/>
    <w:basedOn w:val="DefaultParagraphFont"/>
    <w:link w:val="Footer"/>
    <w:semiHidden/>
    <w:qFormat/>
    <w:rsid w:val="00d70e17"/>
    <w:rPr>
      <w:rFonts w:ascii="Times New Roman" w:hAnsi="Times New Roman" w:eastAsia="Times New Roman" w:cs="Times New Roman"/>
      <w:sz w:val="24"/>
      <w:szCs w:val="24"/>
      <w:lang w:val="hr-HR" w:eastAsia="ar-S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70e17"/>
    <w:rPr>
      <w:rFonts w:ascii="Tahoma" w:hAnsi="Tahoma" w:eastAsia="Times New Roman" w:cs="Tahoma"/>
      <w:sz w:val="16"/>
      <w:szCs w:val="16"/>
      <w:lang w:val="hr-HR" w:eastAsia="ar-SA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sz w:val="20"/>
    </w:rPr>
  </w:style>
  <w:style w:type="character" w:styleId="ListLabel3" w:customStyle="1">
    <w:name w:val="ListLabel 3"/>
    <w:qFormat/>
    <w:rPr>
      <w:rFonts w:cs="Symbol"/>
      <w:sz w:val="20"/>
    </w:rPr>
  </w:style>
  <w:style w:type="character" w:styleId="ListLabel4" w:customStyle="1">
    <w:name w:val="ListLabel 4"/>
    <w:qFormat/>
    <w:rPr>
      <w:rFonts w:cs="Courier New"/>
      <w:sz w:val="20"/>
    </w:rPr>
  </w:style>
  <w:style w:type="character" w:styleId="ListLabel5" w:customStyle="1">
    <w:name w:val="ListLabel 5"/>
    <w:qFormat/>
    <w:rPr>
      <w:rFonts w:cs="Wingdings"/>
      <w:sz w:val="20"/>
    </w:rPr>
  </w:style>
  <w:style w:type="character" w:styleId="ListLabel6">
    <w:name w:val="ListLabel 6"/>
    <w:qFormat/>
    <w:rPr>
      <w:rFonts w:cs="Symbol"/>
      <w:sz w:val="20"/>
    </w:rPr>
  </w:style>
  <w:style w:type="character" w:styleId="ListLabel7">
    <w:name w:val="ListLabel 7"/>
    <w:qFormat/>
    <w:rPr>
      <w:rFonts w:cs="Courier New"/>
      <w:sz w:val="20"/>
    </w:rPr>
  </w:style>
  <w:style w:type="character" w:styleId="ListLabel8">
    <w:name w:val="ListLabel 8"/>
    <w:qFormat/>
    <w:rPr>
      <w:rFonts w:cs="Wingdings"/>
      <w:sz w:val="20"/>
    </w:rPr>
  </w:style>
  <w:style w:type="character" w:styleId="ListLabel9">
    <w:name w:val="ListLabel 9"/>
    <w:qFormat/>
    <w:rPr>
      <w:rFonts w:cs="Symbol"/>
      <w:sz w:val="20"/>
    </w:rPr>
  </w:style>
  <w:style w:type="character" w:styleId="ListLabel10">
    <w:name w:val="ListLabel 10"/>
    <w:qFormat/>
    <w:rPr>
      <w:rFonts w:cs="Courier New"/>
      <w:sz w:val="20"/>
    </w:rPr>
  </w:style>
  <w:style w:type="character" w:styleId="ListLabel11">
    <w:name w:val="ListLabel 11"/>
    <w:qFormat/>
    <w:rPr>
      <w:rFonts w:cs="Wingdings"/>
      <w:sz w:val="20"/>
    </w:rPr>
  </w:style>
  <w:style w:type="paragraph" w:styleId="Heading" w:customStyle="1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Header">
    <w:name w:val="Header"/>
    <w:basedOn w:val="Normal"/>
    <w:link w:val="HeaderChar"/>
    <w:semiHidden/>
    <w:rsid w:val="00d70e17"/>
    <w:pPr>
      <w:tabs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link w:val="FooterChar"/>
    <w:semiHidden/>
    <w:rsid w:val="00d70e17"/>
    <w:pPr>
      <w:tabs>
        <w:tab w:val="center" w:pos="4703" w:leader="none"/>
        <w:tab w:val="right" w:pos="9406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70e17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d70e17"/>
    <w:pPr>
      <w:suppressAutoHyphens w:val="false"/>
      <w:spacing w:lineRule="auto" w:line="288" w:beforeAutospacing="1" w:after="142"/>
    </w:pPr>
    <w:rPr/>
  </w:style>
  <w:style w:type="paragraph" w:styleId="Western" w:customStyle="1">
    <w:name w:val="western"/>
    <w:basedOn w:val="Normal"/>
    <w:qFormat/>
    <w:rsid w:val="00d70e17"/>
    <w:pPr>
      <w:suppressAutoHyphens w:val="false"/>
      <w:spacing w:lineRule="auto" w:line="288" w:beforeAutospacing="1" w:after="142"/>
    </w:pPr>
    <w:rPr>
      <w:rFonts w:ascii="Calibri" w:hAnsi="Calibri"/>
      <w:color w:val="00000A"/>
      <w:sz w:val="22"/>
      <w:szCs w:val="22"/>
    </w:rPr>
  </w:style>
  <w:style w:type="paragraph" w:styleId="NoSpacing">
    <w:name w:val="No Spacing"/>
    <w:uiPriority w:val="1"/>
    <w:qFormat/>
    <w:rsid w:val="006f7c93"/>
    <w:pPr>
      <w:widowControl/>
      <w:suppressAutoHyphens w:val="true"/>
      <w:bidi w:val="0"/>
      <w:spacing w:lineRule="auto" w:line="24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hr-HR" w:eastAsia="ar-SA" w:bidi="ar-SA"/>
    </w:rPr>
  </w:style>
  <w:style w:type="paragraph" w:styleId="Quotations" w:customStyle="1">
    <w:name w:val="Quotations"/>
    <w:basedOn w:val="Normal"/>
    <w:qFormat/>
    <w:pPr/>
    <w:rPr/>
  </w:style>
  <w:style w:type="paragraph" w:styleId="Title">
    <w:name w:val="Title"/>
    <w:basedOn w:val="Heading"/>
    <w:qFormat/>
    <w:pPr/>
    <w:rPr/>
  </w:style>
  <w:style w:type="paragraph" w:styleId="Subtitle">
    <w:name w:val="Subtitle"/>
    <w:basedOn w:val="Heading"/>
    <w:qFormat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monks.ba/" TargetMode="External"/><Relationship Id="rId3" Type="http://schemas.openxmlformats.org/officeDocument/2006/relationships/hyperlink" Target="mailto:monks@ks.gov.ba" TargetMode="External"/><Relationship Id="rId4" Type="http://schemas.openxmlformats.org/officeDocument/2006/relationships/image" Target="media/image3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://www.mon.ks.gov.ba/" TargetMode="External"/><Relationship Id="rId3" Type="http://schemas.openxmlformats.org/officeDocument/2006/relationships/hyperlink" Target="mailto:mon@mon.ks.gov.ba" TargetMode="External"/><Relationship Id="rId4" Type="http://schemas.openxmlformats.org/officeDocument/2006/relationships/image" Target="media/image5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LibreOffice/4.4.6.3$Windows_x86 LibreOffice_project/e8938fd3328e95dcf59dd64e7facd2c7d67c704d</Application>
  <Paragraphs>45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2016-03-22T09:52:00Z</dcterms:created>
  <dc:creator>Alija Grabovica</dc:creator>
  <dc:language>bs-BA</dc:language>
  <cp:lastPrinted>2016-03-23T15:32:15Z</cp:lastPrinted>
  <dcterms:modified xsi:type="dcterms:W3CDTF">2016-03-23T15:46:28Z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