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D83" w:rsidRDefault="00134D83" w:rsidP="00134D83">
      <w:r>
        <w:t>Context:</w:t>
      </w:r>
    </w:p>
    <w:p w:rsidR="00134D83" w:rsidRDefault="00134D83" w:rsidP="00134D83">
      <w:r>
        <w:t xml:space="preserve">The existing </w:t>
      </w:r>
      <w:r w:rsidR="00154D3F">
        <w:t>system</w:t>
      </w:r>
      <w:r>
        <w:t xml:space="preserve"> sends data </w:t>
      </w:r>
      <w:r w:rsidR="00154D3F">
        <w:t>from a</w:t>
      </w:r>
      <w:r>
        <w:t xml:space="preserve"> </w:t>
      </w:r>
      <w:r w:rsidRPr="00134D83">
        <w:rPr>
          <w:b/>
        </w:rPr>
        <w:t>single</w:t>
      </w:r>
      <w:r>
        <w:t xml:space="preserve"> </w:t>
      </w:r>
      <w:r w:rsidR="00154D3F">
        <w:t>source</w:t>
      </w:r>
      <w:r>
        <w:t xml:space="preserve"> over REST.  It runs on client machine that has memory </w:t>
      </w:r>
      <w:r>
        <w:t>constraints</w:t>
      </w:r>
      <w:r>
        <w:t xml:space="preserve"> wherein the process cannot consume more than 512MB. </w:t>
      </w:r>
    </w:p>
    <w:p w:rsidR="00154D3F" w:rsidRDefault="00134D83" w:rsidP="00134D83">
      <w:r>
        <w:t>The volume of data sent</w:t>
      </w:r>
      <w:r>
        <w:t xml:space="preserve"> for a SINGLE property</w:t>
      </w:r>
      <w:r>
        <w:t xml:space="preserve"> is of the order of </w:t>
      </w:r>
      <w:r>
        <w:t>26</w:t>
      </w:r>
      <w:r>
        <w:t xml:space="preserve">MB (1350 records/day * 100 days * 200 bytes/record).   </w:t>
      </w:r>
    </w:p>
    <w:p w:rsidR="00134D83" w:rsidRDefault="00134D83" w:rsidP="00134D83">
      <w:r>
        <w:t>Goals:</w:t>
      </w:r>
    </w:p>
    <w:p w:rsidR="00134D83" w:rsidRDefault="00134D83" w:rsidP="00134D83">
      <w:r>
        <w:t xml:space="preserve">1) </w:t>
      </w:r>
      <w:r>
        <w:t xml:space="preserve">SCALABILITY </w:t>
      </w:r>
      <w:r>
        <w:sym w:font="Wingdings" w:char="F0E0"/>
      </w:r>
      <w:r>
        <w:t xml:space="preserve"> </w:t>
      </w:r>
      <w:r w:rsidRPr="00134D83">
        <w:rPr>
          <w:b/>
        </w:rPr>
        <w:t>multiple</w:t>
      </w:r>
      <w:r>
        <w:t xml:space="preserve"> </w:t>
      </w:r>
      <w:r w:rsidR="00154D3F">
        <w:t xml:space="preserve">sources should be able to send data without </w:t>
      </w:r>
      <w:r>
        <w:t>violating the above memory constraints.</w:t>
      </w:r>
    </w:p>
    <w:p w:rsidR="00134D83" w:rsidRDefault="00134D83" w:rsidP="00134D83">
      <w:r>
        <w:t xml:space="preserve">2) </w:t>
      </w:r>
      <w:r>
        <w:t xml:space="preserve">FAIL SAFE </w:t>
      </w:r>
      <w:r>
        <w:sym w:font="Wingdings" w:char="F0E0"/>
      </w:r>
      <w:r>
        <w:t xml:space="preserve"> Ensure d</w:t>
      </w:r>
      <w:r>
        <w:t xml:space="preserve">ata transfer </w:t>
      </w:r>
      <w:r>
        <w:t>can be resumed from point of failure</w:t>
      </w:r>
      <w:r>
        <w:t xml:space="preserve"> to avoid sending the whole data </w:t>
      </w:r>
      <w:r>
        <w:t>again</w:t>
      </w:r>
      <w:r w:rsidR="00154D3F">
        <w:t>. This implies that a bi-directional communication channel be established.</w:t>
      </w:r>
    </w:p>
    <w:p w:rsidR="00154D3F" w:rsidRDefault="00154D3F" w:rsidP="00134D83"/>
    <w:p w:rsidR="00134D83" w:rsidRDefault="00134D83" w:rsidP="00134D83">
      <w:r>
        <w:t>Proposed Solution:</w:t>
      </w:r>
    </w:p>
    <w:p w:rsidR="00134D83" w:rsidRDefault="00134D83" w:rsidP="00154D3F">
      <w:r>
        <w:t xml:space="preserve">In order to find a scalable </w:t>
      </w:r>
      <w:r w:rsidR="00154D3F">
        <w:t xml:space="preserve">solution we explored </w:t>
      </w:r>
      <w:r>
        <w:t>WebSockets . The</w:t>
      </w:r>
      <w:r>
        <w:t xml:space="preserve"> </w:t>
      </w:r>
      <w:r>
        <w:t xml:space="preserve">idea was to spawn a WebSocket per </w:t>
      </w:r>
      <w:r w:rsidR="00154D3F">
        <w:t>source</w:t>
      </w:r>
      <w:r>
        <w:t xml:space="preserve"> when data-transfer is initiated, perform transfer and close socket after it is complete.  </w:t>
      </w:r>
    </w:p>
    <w:p w:rsidR="00154D3F" w:rsidRDefault="00154D3F" w:rsidP="00154D3F"/>
    <w:p w:rsidR="00154D3F" w:rsidRDefault="00154D3F" w:rsidP="00154D3F">
      <w:r>
        <w:t xml:space="preserve">Spike Tools: </w:t>
      </w:r>
    </w:p>
    <w:p w:rsidR="00000000" w:rsidRPr="00154D3F" w:rsidRDefault="00E435F7" w:rsidP="00154D3F">
      <w:pPr>
        <w:numPr>
          <w:ilvl w:val="0"/>
          <w:numId w:val="2"/>
        </w:numPr>
      </w:pPr>
      <w:r w:rsidRPr="00154D3F">
        <w:t>Language – Groovy , Java, Gradle</w:t>
      </w:r>
    </w:p>
    <w:p w:rsidR="00000000" w:rsidRPr="00154D3F" w:rsidRDefault="00E435F7" w:rsidP="00154D3F">
      <w:pPr>
        <w:numPr>
          <w:ilvl w:val="0"/>
          <w:numId w:val="2"/>
        </w:numPr>
      </w:pPr>
      <w:r w:rsidRPr="00154D3F">
        <w:t xml:space="preserve">OS : Windows </w:t>
      </w:r>
      <w:r w:rsidR="00154D3F">
        <w:t>7 -64bit</w:t>
      </w:r>
    </w:p>
    <w:p w:rsidR="00000000" w:rsidRPr="00154D3F" w:rsidRDefault="00E435F7" w:rsidP="00154D3F">
      <w:pPr>
        <w:numPr>
          <w:ilvl w:val="0"/>
          <w:numId w:val="2"/>
        </w:numPr>
      </w:pPr>
      <w:r w:rsidRPr="00154D3F">
        <w:t>DB : MSSQL</w:t>
      </w:r>
      <w:r w:rsidR="00154D3F">
        <w:t xml:space="preserve"> 2008</w:t>
      </w:r>
      <w:r w:rsidRPr="00154D3F">
        <w:t xml:space="preserve"> , Oracle</w:t>
      </w:r>
      <w:r w:rsidR="00154D3F">
        <w:t xml:space="preserve"> 10</w:t>
      </w:r>
    </w:p>
    <w:p w:rsidR="00000000" w:rsidRPr="00154D3F" w:rsidRDefault="00E435F7" w:rsidP="00154D3F">
      <w:pPr>
        <w:numPr>
          <w:ilvl w:val="0"/>
          <w:numId w:val="2"/>
        </w:numPr>
      </w:pPr>
      <w:r w:rsidRPr="00154D3F">
        <w:t>Profiling tools : YourKit, JConsole</w:t>
      </w:r>
    </w:p>
    <w:p w:rsidR="00000000" w:rsidRPr="00154D3F" w:rsidRDefault="00E435F7" w:rsidP="00154D3F">
      <w:pPr>
        <w:numPr>
          <w:ilvl w:val="0"/>
          <w:numId w:val="2"/>
        </w:numPr>
      </w:pPr>
      <w:r w:rsidRPr="00154D3F">
        <w:t>Versioning Control : GIT</w:t>
      </w:r>
    </w:p>
    <w:p w:rsidR="00154D3F" w:rsidRDefault="00E435F7" w:rsidP="00154D3F">
      <w:pPr>
        <w:numPr>
          <w:ilvl w:val="0"/>
          <w:numId w:val="2"/>
        </w:numPr>
      </w:pPr>
      <w:r w:rsidRPr="00154D3F">
        <w:t xml:space="preserve">Libraries: </w:t>
      </w:r>
    </w:p>
    <w:p w:rsidR="00154D3F" w:rsidRDefault="00E435F7" w:rsidP="00154D3F">
      <w:pPr>
        <w:numPr>
          <w:ilvl w:val="1"/>
          <w:numId w:val="2"/>
        </w:numPr>
      </w:pPr>
      <w:r w:rsidRPr="00154D3F">
        <w:t>MSSQLd</w:t>
      </w:r>
      <w:r w:rsidRPr="00154D3F">
        <w:t>river</w:t>
      </w:r>
      <w:r w:rsidR="00154D3F">
        <w:t xml:space="preserve"> – </w:t>
      </w:r>
      <w:r w:rsidR="00154D3F" w:rsidRPr="00154D3F">
        <w:t>sqljdbc4-1.jar</w:t>
      </w:r>
    </w:p>
    <w:p w:rsidR="00154D3F" w:rsidRDefault="00E435F7" w:rsidP="00154D3F">
      <w:pPr>
        <w:numPr>
          <w:ilvl w:val="1"/>
          <w:numId w:val="2"/>
        </w:numPr>
      </w:pPr>
      <w:r w:rsidRPr="00154D3F">
        <w:t>JTDSdriver</w:t>
      </w:r>
      <w:r w:rsidR="00154D3F">
        <w:t xml:space="preserve"> - </w:t>
      </w:r>
      <w:r w:rsidR="00154D3F" w:rsidRPr="00154D3F">
        <w:t>jtds-1.2.7</w:t>
      </w:r>
    </w:p>
    <w:p w:rsidR="00154D3F" w:rsidRDefault="00E435F7" w:rsidP="00154D3F">
      <w:pPr>
        <w:numPr>
          <w:ilvl w:val="1"/>
          <w:numId w:val="2"/>
        </w:numPr>
      </w:pPr>
      <w:r w:rsidRPr="00154D3F">
        <w:t>ODBCdriver</w:t>
      </w:r>
      <w:r w:rsidR="00154D3F">
        <w:t xml:space="preserve"> - </w:t>
      </w:r>
      <w:r w:rsidR="00154D3F" w:rsidRPr="00154D3F">
        <w:t>ojdbc14-10.2.0.1.0.jar</w:t>
      </w:r>
    </w:p>
    <w:p w:rsidR="00000000" w:rsidRPr="00154D3F" w:rsidRDefault="00E435F7" w:rsidP="00154D3F">
      <w:pPr>
        <w:numPr>
          <w:ilvl w:val="1"/>
          <w:numId w:val="2"/>
        </w:numPr>
      </w:pPr>
      <w:r w:rsidRPr="00154D3F">
        <w:t>JavaWebsocketAPI</w:t>
      </w:r>
      <w:r w:rsidR="00154D3F">
        <w:t xml:space="preserve"> - </w:t>
      </w:r>
      <w:r w:rsidR="00154D3F" w:rsidRPr="00154D3F">
        <w:t>Java-WebSocket-1.3.0.jar</w:t>
      </w:r>
    </w:p>
    <w:p w:rsidR="00154D3F" w:rsidRDefault="00154D3F" w:rsidP="00154D3F"/>
    <w:p w:rsidR="00134D83" w:rsidRDefault="00134D83" w:rsidP="00134D83">
      <w:r>
        <w:t>Approach:</w:t>
      </w:r>
    </w:p>
    <w:p w:rsidR="00134D83" w:rsidRDefault="00134D83" w:rsidP="00134D83">
      <w:r>
        <w:t>Before we started building, we decided to spike this out and get the facts and figures right to ascertain the viability of such a solution.</w:t>
      </w:r>
      <w:r w:rsidR="00154D3F">
        <w:t xml:space="preserve"> </w:t>
      </w:r>
    </w:p>
    <w:p w:rsidR="00154D3F" w:rsidRDefault="00154D3F" w:rsidP="00134D83">
      <w:r>
        <w:t>1.</w:t>
      </w:r>
      <w:r w:rsidR="00134D83">
        <w:t xml:space="preserve"> </w:t>
      </w:r>
      <w:r>
        <w:t xml:space="preserve">We started with a </w:t>
      </w:r>
      <w:r w:rsidR="00134D83">
        <w:t xml:space="preserve">DataCreator that would help us generate production dataset sizes.  </w:t>
      </w:r>
    </w:p>
    <w:p w:rsidR="00154D3F" w:rsidRDefault="00154D3F" w:rsidP="00134D83">
      <w:r>
        <w:lastRenderedPageBreak/>
        <w:t>2. We then wrote a SourceStream which works as WebSocketClient and a</w:t>
      </w:r>
      <w:r w:rsidR="00134D83">
        <w:t xml:space="preserve"> SourceSink </w:t>
      </w:r>
      <w:r>
        <w:t xml:space="preserve"> - </w:t>
      </w:r>
      <w:r w:rsidR="00134D83">
        <w:t>WebSocketServer</w:t>
      </w:r>
    </w:p>
    <w:p w:rsidR="00134D83" w:rsidRDefault="00154D3F" w:rsidP="00134D83">
      <w:r>
        <w:t xml:space="preserve">3. Finally we needed a </w:t>
      </w:r>
      <w:r w:rsidR="00134D83">
        <w:t xml:space="preserve">DataFetcher that would fetch data and feed to SourceStream to be </w:t>
      </w:r>
      <w:r>
        <w:t>delivered</w:t>
      </w:r>
      <w:r w:rsidR="00134D83">
        <w:t xml:space="preserve"> to SourceSink.</w:t>
      </w:r>
    </w:p>
    <w:p w:rsidR="00154D3F" w:rsidRDefault="00154D3F" w:rsidP="00134D83">
      <w:r>
        <w:t>4. Once this basic structure was in place, we added configurability which</w:t>
      </w:r>
      <w:r w:rsidR="00134D83">
        <w:t xml:space="preserve"> allowed us to configure multiple </w:t>
      </w:r>
      <w:r>
        <w:t>Source Streams.</w:t>
      </w:r>
    </w:p>
    <w:p w:rsidR="00154D3F" w:rsidRDefault="00154D3F" w:rsidP="00134D83">
      <w:r>
        <w:t>Data Points included:</w:t>
      </w:r>
    </w:p>
    <w:p w:rsidR="00134D83" w:rsidRDefault="00134D83" w:rsidP="00154D3F">
      <w:pPr>
        <w:ind w:firstLine="720"/>
      </w:pPr>
      <w:r>
        <w:t>1) Memory footprint</w:t>
      </w:r>
    </w:p>
    <w:p w:rsidR="00134D83" w:rsidRDefault="00134D83" w:rsidP="00154D3F">
      <w:pPr>
        <w:ind w:firstLine="720"/>
      </w:pPr>
      <w:r>
        <w:t>2) Time taken for entire data-transfer</w:t>
      </w:r>
    </w:p>
    <w:p w:rsidR="00134D83" w:rsidRDefault="00134D83" w:rsidP="00134D83"/>
    <w:p w:rsidR="00CD5F7E" w:rsidRDefault="00CD5F7E" w:rsidP="00134D83">
      <w:r>
        <w:t>Data Analysis – Stage 1</w:t>
      </w:r>
    </w:p>
    <w:tbl>
      <w:tblPr>
        <w:tblW w:w="7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0"/>
        <w:gridCol w:w="2780"/>
        <w:gridCol w:w="2500"/>
        <w:gridCol w:w="1400"/>
      </w:tblGrid>
      <w:tr w:rsidR="00CD5F7E" w:rsidRPr="00CD5F7E" w:rsidTr="00CD5F7E">
        <w:trPr>
          <w:trHeight w:val="300"/>
        </w:trPr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5F7E" w:rsidRPr="00CD5F7E" w:rsidRDefault="00CD5F7E" w:rsidP="00CD5F7E">
            <w:r w:rsidRPr="00CD5F7E">
              <w:t>Data Size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5F7E" w:rsidRPr="00CD5F7E" w:rsidRDefault="00CD5F7E" w:rsidP="00CD5F7E">
            <w:r w:rsidRPr="00CD5F7E">
              <w:t>Time (secs)</w:t>
            </w:r>
          </w:p>
        </w:tc>
        <w:tc>
          <w:tcPr>
            <w:tcW w:w="2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5F7E" w:rsidRPr="00CD5F7E" w:rsidRDefault="00CD5F7E" w:rsidP="00CD5F7E">
            <w:r w:rsidRPr="00CD5F7E">
              <w:t>Memory Consumed(Mbs)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5F7E" w:rsidRPr="00CD5F7E" w:rsidRDefault="00CD5F7E" w:rsidP="00CD5F7E">
            <w:r w:rsidRPr="00CD5F7E">
              <w:t>No of Sources</w:t>
            </w:r>
          </w:p>
        </w:tc>
      </w:tr>
      <w:tr w:rsidR="00CD5F7E" w:rsidRPr="00CD5F7E" w:rsidTr="00CD5F7E">
        <w:trPr>
          <w:trHeight w:val="300"/>
        </w:trPr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5F7E" w:rsidRPr="00CD5F7E" w:rsidRDefault="00CD5F7E" w:rsidP="00CD5F7E">
            <w:r w:rsidRPr="00CD5F7E">
              <w:t>2000K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5F7E" w:rsidRPr="00CD5F7E" w:rsidRDefault="00CD5F7E" w:rsidP="00CD5F7E">
            <w:r w:rsidRPr="00CD5F7E">
              <w:t>73.63</w:t>
            </w:r>
          </w:p>
        </w:tc>
        <w:tc>
          <w:tcPr>
            <w:tcW w:w="2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5F7E" w:rsidRPr="00CD5F7E" w:rsidRDefault="00CD5F7E" w:rsidP="00CD5F7E">
            <w:r w:rsidRPr="00CD5F7E">
              <w:t>100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5F7E" w:rsidRPr="00CD5F7E" w:rsidRDefault="00CD5F7E" w:rsidP="00CD5F7E">
            <w:r w:rsidRPr="00CD5F7E">
              <w:t>1</w:t>
            </w:r>
          </w:p>
        </w:tc>
      </w:tr>
      <w:tr w:rsidR="00CD5F7E" w:rsidRPr="00CD5F7E" w:rsidTr="00CD5F7E">
        <w:trPr>
          <w:trHeight w:val="300"/>
        </w:trPr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5F7E" w:rsidRPr="00CD5F7E" w:rsidRDefault="00CD5F7E" w:rsidP="00CD5F7E">
            <w:r w:rsidRPr="00CD5F7E">
              <w:t>2000K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5F7E" w:rsidRPr="00CD5F7E" w:rsidRDefault="00CD5F7E" w:rsidP="00CD5F7E">
            <w:r w:rsidRPr="00CD5F7E">
              <w:t>97.809</w:t>
            </w:r>
          </w:p>
        </w:tc>
        <w:tc>
          <w:tcPr>
            <w:tcW w:w="2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5F7E" w:rsidRPr="00CD5F7E" w:rsidRDefault="00CD5F7E" w:rsidP="00CD5F7E">
            <w:r w:rsidRPr="00CD5F7E">
              <w:t>189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5F7E" w:rsidRPr="00CD5F7E" w:rsidRDefault="00CD5F7E" w:rsidP="00CD5F7E">
            <w:r w:rsidRPr="00CD5F7E">
              <w:t>2</w:t>
            </w:r>
          </w:p>
        </w:tc>
      </w:tr>
      <w:tr w:rsidR="00CD5F7E" w:rsidRPr="00CD5F7E" w:rsidTr="00CD5F7E">
        <w:trPr>
          <w:trHeight w:val="300"/>
        </w:trPr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5F7E" w:rsidRPr="00CD5F7E" w:rsidRDefault="00CD5F7E" w:rsidP="00CD5F7E">
            <w:r w:rsidRPr="00CD5F7E">
              <w:t>2000K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5F7E" w:rsidRPr="00CD5F7E" w:rsidRDefault="00CD5F7E" w:rsidP="00CD5F7E">
            <w:r w:rsidRPr="00CD5F7E">
              <w:t>110</w:t>
            </w:r>
          </w:p>
        </w:tc>
        <w:tc>
          <w:tcPr>
            <w:tcW w:w="2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5F7E" w:rsidRPr="00CD5F7E" w:rsidRDefault="00CD5F7E" w:rsidP="00CD5F7E">
            <w:r w:rsidRPr="00CD5F7E">
              <w:t>283.33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5F7E" w:rsidRPr="00CD5F7E" w:rsidRDefault="00CD5F7E" w:rsidP="00CD5F7E">
            <w:r w:rsidRPr="00CD5F7E">
              <w:t>3</w:t>
            </w:r>
          </w:p>
        </w:tc>
      </w:tr>
      <w:tr w:rsidR="00CD5F7E" w:rsidRPr="00CD5F7E" w:rsidTr="00CD5F7E">
        <w:trPr>
          <w:trHeight w:val="300"/>
        </w:trPr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5F7E" w:rsidRPr="00CD5F7E" w:rsidRDefault="00CD5F7E" w:rsidP="00CD5F7E">
            <w:r w:rsidRPr="00CD5F7E">
              <w:t>2000K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5F7E" w:rsidRPr="00CD5F7E" w:rsidRDefault="00CD5F7E" w:rsidP="00CD5F7E">
            <w:r w:rsidRPr="00CD5F7E">
              <w:t>130</w:t>
            </w:r>
          </w:p>
        </w:tc>
        <w:tc>
          <w:tcPr>
            <w:tcW w:w="2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5F7E" w:rsidRPr="00CD5F7E" w:rsidRDefault="00CD5F7E" w:rsidP="00CD5F7E">
            <w:r w:rsidRPr="00CD5F7E">
              <w:t>420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5F7E" w:rsidRPr="00CD5F7E" w:rsidRDefault="00CD5F7E" w:rsidP="00CD5F7E">
            <w:r w:rsidRPr="00CD5F7E">
              <w:t>4</w:t>
            </w:r>
          </w:p>
        </w:tc>
      </w:tr>
      <w:tr w:rsidR="00CD5F7E" w:rsidRPr="00CD5F7E" w:rsidTr="00CD5F7E">
        <w:trPr>
          <w:trHeight w:val="300"/>
        </w:trPr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5F7E" w:rsidRPr="00CD5F7E" w:rsidRDefault="00CD5F7E" w:rsidP="00CD5F7E">
            <w:r w:rsidRPr="00CD5F7E">
              <w:t>2000K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5F7E" w:rsidRPr="00CD5F7E" w:rsidRDefault="00CD5F7E" w:rsidP="00CD5F7E">
            <w:r w:rsidRPr="00CD5F7E">
              <w:t>OOM</w:t>
            </w:r>
          </w:p>
        </w:tc>
        <w:tc>
          <w:tcPr>
            <w:tcW w:w="2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5F7E" w:rsidRPr="00CD5F7E" w:rsidRDefault="00CD5F7E" w:rsidP="00CD5F7E">
            <w:r w:rsidRPr="00CD5F7E">
              <w:t>OOM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5F7E" w:rsidRPr="00CD5F7E" w:rsidRDefault="00CD5F7E" w:rsidP="00CD5F7E">
            <w:r w:rsidRPr="00CD5F7E">
              <w:t>5</w:t>
            </w:r>
          </w:p>
        </w:tc>
      </w:tr>
    </w:tbl>
    <w:p w:rsidR="00CD5F7E" w:rsidRDefault="00CD5F7E" w:rsidP="00134D83"/>
    <w:p w:rsidR="00CD5F7E" w:rsidRDefault="00CD5F7E" w:rsidP="00134D83">
      <w:r w:rsidRPr="00CD5F7E">
        <w:drawing>
          <wp:inline distT="0" distB="0" distL="0" distR="0" wp14:anchorId="28C1DE6C" wp14:editId="307EA1E3">
            <wp:extent cx="489585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34D83" w:rsidRDefault="00134D83" w:rsidP="00134D83"/>
    <w:p w:rsidR="00CD5F7E" w:rsidRDefault="00134D83" w:rsidP="00134D83">
      <w:r>
        <w:lastRenderedPageBreak/>
        <w:t>Data showed us that memory consumption was increasing with number of SourceStreams (which is expected), but would not support more than 4 concurrent</w:t>
      </w:r>
      <w:r w:rsidR="00CD5F7E">
        <w:t xml:space="preserve"> SourceStreams. 512MB heap was not sufficient for </w:t>
      </w:r>
      <w:r w:rsidR="00CD5F7E">
        <w:t>data transfer</w:t>
      </w:r>
      <w:r w:rsidR="00CD5F7E">
        <w:t xml:space="preserve"> with </w:t>
      </w:r>
      <w:r w:rsidR="00CD5F7E">
        <w:t>volume of 2000K records</w:t>
      </w:r>
      <w:r w:rsidR="00CD5F7E">
        <w:t xml:space="preserve"> per source with 5 sources, and we faced an OOM error.</w:t>
      </w:r>
    </w:p>
    <w:p w:rsidR="00134D83" w:rsidRDefault="00CD5F7E" w:rsidP="00134D83">
      <w:r>
        <w:t>Browsing through various blogs and documentation</w:t>
      </w:r>
      <w:r w:rsidR="00134D83">
        <w:t xml:space="preserve"> gave us hints that by default MS-SQL loads </w:t>
      </w:r>
      <w:r>
        <w:t>the entire resultset in memory and using cursors would reduce memory footprint.</w:t>
      </w:r>
    </w:p>
    <w:p w:rsidR="00134D83" w:rsidRDefault="00CD5F7E" w:rsidP="00134D83">
      <w:r>
        <w:t>On using the connection parameter - 'selectMethod' = 'cursor', w</w:t>
      </w:r>
      <w:r w:rsidR="00134D83">
        <w:t xml:space="preserve">e observed there were </w:t>
      </w:r>
      <w:r>
        <w:t>intermittent</w:t>
      </w:r>
      <w:r w:rsidR="00134D83">
        <w:t xml:space="preserve"> thread locks</w:t>
      </w:r>
      <w:r>
        <w:t xml:space="preserve"> so the data transfer was never completed. We </w:t>
      </w:r>
      <w:r w:rsidR="00134D83">
        <w:t>were quite intrigued by it.</w:t>
      </w:r>
      <w:r>
        <w:t xml:space="preserve"> </w:t>
      </w:r>
    </w:p>
    <w:p w:rsidR="00134D83" w:rsidRDefault="00134D83" w:rsidP="00134D83">
      <w:r>
        <w:t>Upon profiling the client we observed that there was initial 45MB taken up upon the JVM start, whether it was 1 SourceStream or 3 SourceStreams for any volumes 10K or 100K or 1000K.  Clearly something was amiss here.  To our surprise discovered that</w:t>
      </w:r>
    </w:p>
    <w:p w:rsidR="00134D83" w:rsidRDefault="00134D83" w:rsidP="00815610">
      <w:pPr>
        <w:ind w:firstLine="720"/>
      </w:pPr>
      <w:r>
        <w:t xml:space="preserve">1) ResultSet size occupying </w:t>
      </w:r>
      <w:r w:rsidR="00815610">
        <w:t>68</w:t>
      </w:r>
      <w:r>
        <w:t>% of JVM space</w:t>
      </w:r>
    </w:p>
    <w:p w:rsidR="00134D83" w:rsidRDefault="00134D83" w:rsidP="00815610">
      <w:pPr>
        <w:ind w:firstLine="720"/>
      </w:pPr>
      <w:r>
        <w:t xml:space="preserve">2) WebSocket </w:t>
      </w:r>
      <w:r w:rsidR="00815610">
        <w:t xml:space="preserve">30 </w:t>
      </w:r>
      <w:r>
        <w:t>%</w:t>
      </w:r>
    </w:p>
    <w:p w:rsidR="00815610" w:rsidRDefault="00815610" w:rsidP="00815610">
      <w:r w:rsidRPr="00815610">
        <w:drawing>
          <wp:inline distT="0" distB="0" distL="0" distR="0" wp14:anchorId="7E1301D1" wp14:editId="25330BD0">
            <wp:extent cx="6305909" cy="2318385"/>
            <wp:effectExtent l="0" t="0" r="0" b="5715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1825" cy="232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83" w:rsidRDefault="00134D83" w:rsidP="00134D83"/>
    <w:p w:rsidR="00815610" w:rsidRDefault="00815610" w:rsidP="00134D83">
      <w:r>
        <w:t>This profiling forked 2 paths</w:t>
      </w:r>
    </w:p>
    <w:p w:rsidR="00815610" w:rsidRDefault="00815610" w:rsidP="00815610">
      <w:pPr>
        <w:pStyle w:val="ListParagraph"/>
        <w:numPr>
          <w:ilvl w:val="0"/>
          <w:numId w:val="3"/>
        </w:numPr>
      </w:pPr>
      <w:r>
        <w:t xml:space="preserve">Change </w:t>
      </w:r>
      <w:r>
        <w:t xml:space="preserve">driver and re-test </w:t>
      </w:r>
    </w:p>
    <w:p w:rsidR="00815610" w:rsidRDefault="00815610" w:rsidP="00815610">
      <w:pPr>
        <w:pStyle w:val="ListParagraph"/>
        <w:numPr>
          <w:ilvl w:val="0"/>
          <w:numId w:val="3"/>
        </w:numPr>
      </w:pPr>
      <w:r>
        <w:t>Use Java instead of Groovy and re-test</w:t>
      </w:r>
    </w:p>
    <w:p w:rsidR="00134D83" w:rsidRDefault="00815610" w:rsidP="00134D83">
      <w:r>
        <w:t>Both these paths produced similar output, so clearly data fetching needed a re-look.</w:t>
      </w:r>
    </w:p>
    <w:p w:rsidR="00134D83" w:rsidRDefault="00134D83" w:rsidP="00134D83"/>
    <w:p w:rsidR="00815610" w:rsidRDefault="00815610" w:rsidP="00134D83">
      <w:r>
        <w:t>Using fetchSize for Resultset:</w:t>
      </w:r>
    </w:p>
    <w:p w:rsidR="00134D83" w:rsidRDefault="00815610" w:rsidP="00134D83">
      <w:r>
        <w:tab/>
      </w:r>
      <w:r w:rsidR="00134D83">
        <w:t>Next option was to try 'fetchSize'</w:t>
      </w:r>
      <w:r>
        <w:t xml:space="preserve"> with range of fetchSizes </w:t>
      </w:r>
      <w:r w:rsidR="00134D83">
        <w:t>to see the effect on memory.</w:t>
      </w:r>
      <w:r>
        <w:t xml:space="preserve"> Results of testing with combination of cursor and fetch size , No Cursor but use  fetchSize alone or Use only Cursor, all had similar memory and time requirements.</w:t>
      </w:r>
      <w:r w:rsidR="000451F7">
        <w:t xml:space="preserve"> </w:t>
      </w:r>
      <w:r w:rsidR="000451F7">
        <w:t xml:space="preserve">Data showed that even if the fetchSize was increased, there was no observed variance in memory consumption.  </w:t>
      </w:r>
    </w:p>
    <w:p w:rsidR="00815610" w:rsidRDefault="000451F7" w:rsidP="00134D83">
      <w:r>
        <w:lastRenderedPageBreak/>
        <w:t>Data Analysis – Stage 2 (Cursor and fetchSize)</w:t>
      </w:r>
    </w:p>
    <w:tbl>
      <w:tblPr>
        <w:tblW w:w="83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92"/>
        <w:gridCol w:w="4654"/>
      </w:tblGrid>
      <w:tr w:rsidR="000451F7" w:rsidRPr="000451F7" w:rsidTr="000451F7">
        <w:trPr>
          <w:trHeight w:val="674"/>
        </w:trPr>
        <w:tc>
          <w:tcPr>
            <w:tcW w:w="834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1F7" w:rsidRPr="000451F7" w:rsidRDefault="000451F7" w:rsidP="000451F7">
            <w:pPr>
              <w:jc w:val="center"/>
            </w:pPr>
            <w:r w:rsidRPr="000451F7">
              <w:t>100K - CURSOR ON</w:t>
            </w:r>
          </w:p>
        </w:tc>
      </w:tr>
      <w:tr w:rsidR="000451F7" w:rsidRPr="000451F7" w:rsidTr="000451F7">
        <w:trPr>
          <w:trHeight w:val="396"/>
        </w:trPr>
        <w:tc>
          <w:tcPr>
            <w:tcW w:w="36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1F7" w:rsidRPr="000451F7" w:rsidRDefault="000451F7" w:rsidP="000451F7">
            <w:pPr>
              <w:jc w:val="center"/>
            </w:pPr>
            <w:r w:rsidRPr="000451F7">
              <w:t>Fetch Size</w:t>
            </w:r>
          </w:p>
        </w:tc>
        <w:tc>
          <w:tcPr>
            <w:tcW w:w="4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1F7" w:rsidRPr="000451F7" w:rsidRDefault="000451F7" w:rsidP="000451F7">
            <w:pPr>
              <w:jc w:val="center"/>
            </w:pPr>
            <w:r w:rsidRPr="000451F7">
              <w:t>Memory consumed(MB)</w:t>
            </w:r>
          </w:p>
        </w:tc>
      </w:tr>
      <w:tr w:rsidR="000451F7" w:rsidRPr="000451F7" w:rsidTr="000451F7">
        <w:trPr>
          <w:trHeight w:val="396"/>
        </w:trPr>
        <w:tc>
          <w:tcPr>
            <w:tcW w:w="36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1F7" w:rsidRPr="000451F7" w:rsidRDefault="000451F7" w:rsidP="000451F7">
            <w:pPr>
              <w:jc w:val="center"/>
            </w:pPr>
            <w:r w:rsidRPr="000451F7">
              <w:t>1</w:t>
            </w:r>
          </w:p>
        </w:tc>
        <w:tc>
          <w:tcPr>
            <w:tcW w:w="4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1F7" w:rsidRPr="000451F7" w:rsidRDefault="000451F7" w:rsidP="000451F7">
            <w:pPr>
              <w:jc w:val="center"/>
            </w:pPr>
            <w:r w:rsidRPr="000451F7">
              <w:t>62</w:t>
            </w:r>
          </w:p>
        </w:tc>
      </w:tr>
      <w:tr w:rsidR="000451F7" w:rsidRPr="000451F7" w:rsidTr="000451F7">
        <w:trPr>
          <w:trHeight w:val="396"/>
        </w:trPr>
        <w:tc>
          <w:tcPr>
            <w:tcW w:w="36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1F7" w:rsidRPr="000451F7" w:rsidRDefault="000451F7" w:rsidP="000451F7">
            <w:pPr>
              <w:jc w:val="center"/>
            </w:pPr>
            <w:r w:rsidRPr="000451F7">
              <w:t>50</w:t>
            </w:r>
          </w:p>
        </w:tc>
        <w:tc>
          <w:tcPr>
            <w:tcW w:w="4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1F7" w:rsidRPr="000451F7" w:rsidRDefault="000451F7" w:rsidP="000451F7">
            <w:pPr>
              <w:jc w:val="center"/>
            </w:pPr>
            <w:r w:rsidRPr="000451F7">
              <w:t>147</w:t>
            </w:r>
          </w:p>
        </w:tc>
      </w:tr>
      <w:tr w:rsidR="000451F7" w:rsidRPr="000451F7" w:rsidTr="000451F7">
        <w:trPr>
          <w:trHeight w:val="396"/>
        </w:trPr>
        <w:tc>
          <w:tcPr>
            <w:tcW w:w="36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1F7" w:rsidRPr="000451F7" w:rsidRDefault="000451F7" w:rsidP="000451F7">
            <w:pPr>
              <w:jc w:val="center"/>
            </w:pPr>
            <w:r w:rsidRPr="000451F7">
              <w:t>100</w:t>
            </w:r>
          </w:p>
        </w:tc>
        <w:tc>
          <w:tcPr>
            <w:tcW w:w="4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1F7" w:rsidRPr="000451F7" w:rsidRDefault="000451F7" w:rsidP="000451F7">
            <w:pPr>
              <w:jc w:val="center"/>
            </w:pPr>
            <w:r w:rsidRPr="000451F7">
              <w:t>148</w:t>
            </w:r>
          </w:p>
        </w:tc>
      </w:tr>
      <w:tr w:rsidR="000451F7" w:rsidRPr="000451F7" w:rsidTr="000451F7">
        <w:trPr>
          <w:trHeight w:val="396"/>
        </w:trPr>
        <w:tc>
          <w:tcPr>
            <w:tcW w:w="36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1F7" w:rsidRPr="000451F7" w:rsidRDefault="000451F7" w:rsidP="000451F7">
            <w:pPr>
              <w:jc w:val="center"/>
            </w:pPr>
            <w:r w:rsidRPr="000451F7">
              <w:t>150</w:t>
            </w:r>
          </w:p>
        </w:tc>
        <w:tc>
          <w:tcPr>
            <w:tcW w:w="4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1F7" w:rsidRPr="000451F7" w:rsidRDefault="000451F7" w:rsidP="000451F7">
            <w:pPr>
              <w:jc w:val="center"/>
            </w:pPr>
            <w:r w:rsidRPr="000451F7">
              <w:t>132</w:t>
            </w:r>
          </w:p>
        </w:tc>
      </w:tr>
      <w:tr w:rsidR="000451F7" w:rsidRPr="000451F7" w:rsidTr="000451F7">
        <w:trPr>
          <w:trHeight w:val="396"/>
        </w:trPr>
        <w:tc>
          <w:tcPr>
            <w:tcW w:w="36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1F7" w:rsidRPr="000451F7" w:rsidRDefault="000451F7" w:rsidP="000451F7">
            <w:pPr>
              <w:jc w:val="center"/>
            </w:pPr>
            <w:r w:rsidRPr="000451F7">
              <w:t>500</w:t>
            </w:r>
          </w:p>
        </w:tc>
        <w:tc>
          <w:tcPr>
            <w:tcW w:w="4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1F7" w:rsidRPr="000451F7" w:rsidRDefault="000451F7" w:rsidP="000451F7">
            <w:pPr>
              <w:jc w:val="center"/>
            </w:pPr>
            <w:r w:rsidRPr="000451F7">
              <w:t>148</w:t>
            </w:r>
          </w:p>
        </w:tc>
      </w:tr>
      <w:tr w:rsidR="000451F7" w:rsidRPr="000451F7" w:rsidTr="000451F7">
        <w:trPr>
          <w:trHeight w:val="396"/>
        </w:trPr>
        <w:tc>
          <w:tcPr>
            <w:tcW w:w="36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1F7" w:rsidRPr="000451F7" w:rsidRDefault="000451F7" w:rsidP="000451F7">
            <w:pPr>
              <w:jc w:val="center"/>
            </w:pPr>
            <w:r w:rsidRPr="000451F7">
              <w:t>1000</w:t>
            </w:r>
          </w:p>
        </w:tc>
        <w:tc>
          <w:tcPr>
            <w:tcW w:w="4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1F7" w:rsidRPr="000451F7" w:rsidRDefault="000451F7" w:rsidP="000451F7">
            <w:pPr>
              <w:jc w:val="center"/>
            </w:pPr>
            <w:r w:rsidRPr="000451F7">
              <w:t>150</w:t>
            </w:r>
          </w:p>
        </w:tc>
      </w:tr>
    </w:tbl>
    <w:p w:rsidR="00815610" w:rsidRDefault="00815610" w:rsidP="00134D83"/>
    <w:tbl>
      <w:tblPr>
        <w:tblW w:w="852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65"/>
        <w:gridCol w:w="1398"/>
        <w:gridCol w:w="5064"/>
      </w:tblGrid>
      <w:tr w:rsidR="000451F7" w:rsidRPr="000451F7" w:rsidTr="000451F7">
        <w:trPr>
          <w:trHeight w:val="565"/>
        </w:trPr>
        <w:tc>
          <w:tcPr>
            <w:tcW w:w="85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1F7" w:rsidRPr="000451F7" w:rsidRDefault="000451F7" w:rsidP="000451F7">
            <w:pPr>
              <w:jc w:val="center"/>
            </w:pPr>
            <w:r w:rsidRPr="000451F7">
              <w:t xml:space="preserve">100K - All </w:t>
            </w:r>
            <w:r>
              <w:t xml:space="preserve">Cursor </w:t>
            </w:r>
            <w:r w:rsidRPr="000451F7">
              <w:t>Combinations</w:t>
            </w:r>
          </w:p>
        </w:tc>
      </w:tr>
      <w:tr w:rsidR="000451F7" w:rsidRPr="000451F7" w:rsidTr="000451F7">
        <w:trPr>
          <w:trHeight w:val="565"/>
        </w:trPr>
        <w:tc>
          <w:tcPr>
            <w:tcW w:w="2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1F7" w:rsidRPr="000451F7" w:rsidRDefault="000451F7" w:rsidP="000451F7">
            <w:pPr>
              <w:jc w:val="center"/>
            </w:pPr>
            <w:r w:rsidRPr="000451F7">
              <w:t>Fetch Size</w:t>
            </w:r>
          </w:p>
        </w:tc>
        <w:tc>
          <w:tcPr>
            <w:tcW w:w="13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1F7" w:rsidRPr="000451F7" w:rsidRDefault="000451F7" w:rsidP="000451F7">
            <w:pPr>
              <w:jc w:val="center"/>
            </w:pPr>
            <w:r w:rsidRPr="000451F7">
              <w:t>Cursor</w:t>
            </w:r>
          </w:p>
        </w:tc>
        <w:tc>
          <w:tcPr>
            <w:tcW w:w="5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1F7" w:rsidRPr="000451F7" w:rsidRDefault="000451F7" w:rsidP="000451F7">
            <w:pPr>
              <w:jc w:val="center"/>
            </w:pPr>
            <w:r w:rsidRPr="000451F7">
              <w:t>After Complete</w:t>
            </w:r>
          </w:p>
        </w:tc>
      </w:tr>
      <w:tr w:rsidR="000451F7" w:rsidRPr="000451F7" w:rsidTr="000451F7">
        <w:trPr>
          <w:trHeight w:val="565"/>
        </w:trPr>
        <w:tc>
          <w:tcPr>
            <w:tcW w:w="2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1F7" w:rsidRPr="000451F7" w:rsidRDefault="000451F7" w:rsidP="000451F7">
            <w:pPr>
              <w:jc w:val="center"/>
            </w:pPr>
            <w:r w:rsidRPr="000451F7">
              <w:t>1</w:t>
            </w:r>
          </w:p>
        </w:tc>
        <w:tc>
          <w:tcPr>
            <w:tcW w:w="13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1F7" w:rsidRPr="000451F7" w:rsidRDefault="000451F7" w:rsidP="000451F7">
            <w:pPr>
              <w:jc w:val="center"/>
            </w:pPr>
            <w:r w:rsidRPr="000451F7">
              <w:t>OFF</w:t>
            </w:r>
          </w:p>
        </w:tc>
        <w:tc>
          <w:tcPr>
            <w:tcW w:w="5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1F7" w:rsidRPr="000451F7" w:rsidRDefault="000451F7" w:rsidP="000451F7">
            <w:pPr>
              <w:jc w:val="center"/>
            </w:pPr>
            <w:r w:rsidRPr="000451F7">
              <w:t>209</w:t>
            </w:r>
          </w:p>
        </w:tc>
      </w:tr>
      <w:tr w:rsidR="000451F7" w:rsidRPr="000451F7" w:rsidTr="000451F7">
        <w:trPr>
          <w:trHeight w:val="565"/>
        </w:trPr>
        <w:tc>
          <w:tcPr>
            <w:tcW w:w="2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1F7" w:rsidRPr="000451F7" w:rsidRDefault="000451F7" w:rsidP="000451F7">
            <w:pPr>
              <w:jc w:val="center"/>
            </w:pPr>
            <w:r w:rsidRPr="000451F7">
              <w:t>OFF</w:t>
            </w:r>
          </w:p>
        </w:tc>
        <w:tc>
          <w:tcPr>
            <w:tcW w:w="13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1F7" w:rsidRPr="000451F7" w:rsidRDefault="000451F7" w:rsidP="000451F7">
            <w:pPr>
              <w:jc w:val="center"/>
            </w:pPr>
            <w:r w:rsidRPr="000451F7">
              <w:t>OFF</w:t>
            </w:r>
          </w:p>
        </w:tc>
        <w:tc>
          <w:tcPr>
            <w:tcW w:w="5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1F7" w:rsidRPr="000451F7" w:rsidRDefault="000451F7" w:rsidP="000451F7">
            <w:pPr>
              <w:jc w:val="center"/>
            </w:pPr>
            <w:r w:rsidRPr="000451F7">
              <w:t>151</w:t>
            </w:r>
          </w:p>
        </w:tc>
      </w:tr>
      <w:tr w:rsidR="000451F7" w:rsidRPr="000451F7" w:rsidTr="000451F7">
        <w:trPr>
          <w:trHeight w:val="565"/>
        </w:trPr>
        <w:tc>
          <w:tcPr>
            <w:tcW w:w="2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1F7" w:rsidRPr="000451F7" w:rsidRDefault="000451F7" w:rsidP="000451F7">
            <w:pPr>
              <w:jc w:val="center"/>
            </w:pPr>
            <w:r w:rsidRPr="000451F7">
              <w:t>OFF</w:t>
            </w:r>
          </w:p>
        </w:tc>
        <w:tc>
          <w:tcPr>
            <w:tcW w:w="13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1F7" w:rsidRPr="000451F7" w:rsidRDefault="000451F7" w:rsidP="000451F7">
            <w:pPr>
              <w:jc w:val="center"/>
            </w:pPr>
            <w:r w:rsidRPr="000451F7">
              <w:t>ON</w:t>
            </w:r>
          </w:p>
        </w:tc>
        <w:tc>
          <w:tcPr>
            <w:tcW w:w="5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1F7" w:rsidRPr="000451F7" w:rsidRDefault="000451F7" w:rsidP="000451F7">
            <w:pPr>
              <w:jc w:val="center"/>
            </w:pPr>
            <w:r w:rsidRPr="000451F7">
              <w:t>132</w:t>
            </w:r>
          </w:p>
        </w:tc>
      </w:tr>
      <w:tr w:rsidR="000451F7" w:rsidRPr="000451F7" w:rsidTr="000451F7">
        <w:trPr>
          <w:trHeight w:val="565"/>
        </w:trPr>
        <w:tc>
          <w:tcPr>
            <w:tcW w:w="2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1F7" w:rsidRPr="000451F7" w:rsidRDefault="000451F7" w:rsidP="000451F7">
            <w:pPr>
              <w:jc w:val="center"/>
            </w:pPr>
            <w:r w:rsidRPr="000451F7">
              <w:t>OFF</w:t>
            </w:r>
          </w:p>
        </w:tc>
        <w:tc>
          <w:tcPr>
            <w:tcW w:w="13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1F7" w:rsidRPr="000451F7" w:rsidRDefault="000451F7" w:rsidP="000451F7">
            <w:pPr>
              <w:jc w:val="center"/>
            </w:pPr>
            <w:r w:rsidRPr="000451F7">
              <w:t>OFF</w:t>
            </w:r>
          </w:p>
        </w:tc>
        <w:tc>
          <w:tcPr>
            <w:tcW w:w="5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1F7" w:rsidRPr="000451F7" w:rsidRDefault="000451F7" w:rsidP="000451F7">
            <w:pPr>
              <w:jc w:val="center"/>
            </w:pPr>
            <w:r w:rsidRPr="000451F7">
              <w:t>160</w:t>
            </w:r>
          </w:p>
        </w:tc>
      </w:tr>
    </w:tbl>
    <w:p w:rsidR="000451F7" w:rsidRDefault="000451F7" w:rsidP="00134D83"/>
    <w:p w:rsidR="00134D83" w:rsidRDefault="000451F7" w:rsidP="00134D83">
      <w:r>
        <w:t xml:space="preserve">At this point , We </w:t>
      </w:r>
      <w:r w:rsidR="00F33CA7">
        <w:t>st</w:t>
      </w:r>
      <w:r>
        <w:t>umbled upon the blog:</w:t>
      </w:r>
    </w:p>
    <w:p w:rsidR="000451F7" w:rsidRDefault="000451F7" w:rsidP="00134D83">
      <w:r>
        <w:tab/>
      </w:r>
      <w:hyperlink r:id="rId7" w:history="1">
        <w:r w:rsidRPr="004010C6">
          <w:rPr>
            <w:rStyle w:val="Hyperlink"/>
          </w:rPr>
          <w:t>http://blogs.msdn.com/b/jdbcteam/archive/2007/05/02/what-is-adaptive-response-buffering-and-why-should-i-use-it.aspx</w:t>
        </w:r>
      </w:hyperlink>
    </w:p>
    <w:p w:rsidR="00AE7D8B" w:rsidRDefault="00AE7D8B" w:rsidP="00134D83">
      <w:hyperlink r:id="rId8" w:history="1">
        <w:r w:rsidRPr="004010C6">
          <w:rPr>
            <w:rStyle w:val="Hyperlink"/>
          </w:rPr>
          <w:t>http://technet.microsoft.com/en-us/library/bb879937(v=sql.110).aspx</w:t>
        </w:r>
      </w:hyperlink>
    </w:p>
    <w:p w:rsidR="00AE7D8B" w:rsidRDefault="00AE7D8B" w:rsidP="00134D83"/>
    <w:p w:rsidR="00134D83" w:rsidRDefault="00134D83" w:rsidP="00134D83">
      <w:r>
        <w:t xml:space="preserve">MSDN recommendation </w:t>
      </w:r>
      <w:r w:rsidR="000451F7">
        <w:t>suggests DO</w:t>
      </w:r>
      <w:r>
        <w:t xml:space="preserve"> NOT USE 'selectMethod'='cursor' for read-only large data-sets a</w:t>
      </w:r>
      <w:r w:rsidR="000451F7">
        <w:t>nd a</w:t>
      </w:r>
      <w:r>
        <w:t xml:space="preserve"> better option is to use 'responseBuffering'='adaptive'.</w:t>
      </w:r>
    </w:p>
    <w:p w:rsidR="00071997" w:rsidRDefault="00071997" w:rsidP="00134D83"/>
    <w:p w:rsidR="00071997" w:rsidRDefault="00071997" w:rsidP="00134D83"/>
    <w:p w:rsidR="00071997" w:rsidRDefault="00071997" w:rsidP="00071997">
      <w:r>
        <w:lastRenderedPageBreak/>
        <w:t>Using 'responseBuffering'='adaptive' we were able to get rid of both the problems:</w:t>
      </w:r>
    </w:p>
    <w:p w:rsidR="00071997" w:rsidRDefault="00071997" w:rsidP="00071997">
      <w:pPr>
        <w:pStyle w:val="ListParagraph"/>
        <w:numPr>
          <w:ilvl w:val="0"/>
          <w:numId w:val="4"/>
        </w:numPr>
      </w:pPr>
      <w:r>
        <w:t>Out of Memory issue was resolved</w:t>
      </w:r>
    </w:p>
    <w:p w:rsidR="00071997" w:rsidRDefault="00071997" w:rsidP="00071997">
      <w:pPr>
        <w:pStyle w:val="ListParagraph"/>
        <w:numPr>
          <w:ilvl w:val="0"/>
          <w:numId w:val="4"/>
        </w:numPr>
      </w:pPr>
      <w:r>
        <w:t>There were no deadlocks.</w:t>
      </w:r>
    </w:p>
    <w:p w:rsidR="00071997" w:rsidRDefault="00071997" w:rsidP="00134D83">
      <w:r>
        <w:t xml:space="preserve">With the simplest code, data transfer of 2000K records with </w:t>
      </w:r>
      <w:r>
        <w:t>5 sources</w:t>
      </w:r>
      <w:r>
        <w:t xml:space="preserve"> was failing. Adding adaptive response buffering enabled a transfer of 2000K records per source with 40 sources without any issues. </w:t>
      </w:r>
    </w:p>
    <w:p w:rsidR="00877ED7" w:rsidRDefault="00877ED7" w:rsidP="00134D83">
      <w:r>
        <w:t>However, this does not mean that above 40 sources failed in transfer.</w:t>
      </w:r>
    </w:p>
    <w:p w:rsidR="00877ED7" w:rsidRDefault="00071997" w:rsidP="00134D83">
      <w:r w:rsidRPr="00071997">
        <w:drawing>
          <wp:anchor distT="0" distB="0" distL="114300" distR="114300" simplePos="0" relativeHeight="251659264" behindDoc="0" locked="0" layoutInCell="1" allowOverlap="1" wp14:anchorId="16B80F19" wp14:editId="2E27DF1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95900" cy="1905000"/>
            <wp:effectExtent l="0" t="0" r="0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1997">
        <w:drawing>
          <wp:anchor distT="0" distB="0" distL="114300" distR="114300" simplePos="0" relativeHeight="251660288" behindDoc="0" locked="0" layoutInCell="1" allowOverlap="1" wp14:anchorId="0CABCA8F" wp14:editId="039AE7B7">
            <wp:simplePos x="0" y="0"/>
            <wp:positionH relativeFrom="column">
              <wp:posOffset>22225</wp:posOffset>
            </wp:positionH>
            <wp:positionV relativeFrom="paragraph">
              <wp:posOffset>2152015</wp:posOffset>
            </wp:positionV>
            <wp:extent cx="5273675" cy="1038225"/>
            <wp:effectExtent l="0" t="0" r="3175" b="0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ED7" w:rsidRPr="00877ED7" w:rsidRDefault="00877ED7" w:rsidP="00877ED7"/>
    <w:p w:rsidR="00877ED7" w:rsidRPr="00877ED7" w:rsidRDefault="00877ED7" w:rsidP="00877ED7"/>
    <w:p w:rsidR="00877ED7" w:rsidRPr="00877ED7" w:rsidRDefault="00877ED7" w:rsidP="00877ED7"/>
    <w:p w:rsidR="00877ED7" w:rsidRPr="00877ED7" w:rsidRDefault="00877ED7" w:rsidP="00877ED7"/>
    <w:p w:rsidR="00877ED7" w:rsidRPr="00877ED7" w:rsidRDefault="00877ED7" w:rsidP="00877ED7"/>
    <w:p w:rsidR="00877ED7" w:rsidRPr="00877ED7" w:rsidRDefault="00877ED7" w:rsidP="00877ED7"/>
    <w:p w:rsidR="00877ED7" w:rsidRPr="00877ED7" w:rsidRDefault="00877ED7" w:rsidP="00877ED7"/>
    <w:p w:rsidR="00877ED7" w:rsidRPr="00877ED7" w:rsidRDefault="00877ED7" w:rsidP="00877ED7"/>
    <w:p w:rsidR="00877ED7" w:rsidRPr="00877ED7" w:rsidRDefault="00877ED7" w:rsidP="00877ED7"/>
    <w:p w:rsidR="00877ED7" w:rsidRPr="00877ED7" w:rsidRDefault="00877ED7" w:rsidP="00877ED7"/>
    <w:p w:rsidR="00877ED7" w:rsidRPr="00877ED7" w:rsidRDefault="00877ED7" w:rsidP="00877ED7"/>
    <w:p w:rsidR="00877ED7" w:rsidRDefault="00877ED7" w:rsidP="00877ED7"/>
    <w:p w:rsidR="008A5576" w:rsidRDefault="008A5576" w:rsidP="00877ED7">
      <w:r w:rsidRPr="008A5576">
        <w:drawing>
          <wp:inline distT="0" distB="0" distL="0" distR="0" wp14:anchorId="1F2D4397" wp14:editId="7D92EF8B">
            <wp:extent cx="5857875" cy="296227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p w:rsidR="008A5576" w:rsidRPr="00877ED7" w:rsidRDefault="008A5576" w:rsidP="00877ED7"/>
    <w:p w:rsidR="00071997" w:rsidRDefault="00877ED7" w:rsidP="00877ED7">
      <w:pPr>
        <w:tabs>
          <w:tab w:val="left" w:pos="992"/>
        </w:tabs>
      </w:pPr>
      <w:r>
        <w:t>Conclusion:</w:t>
      </w:r>
    </w:p>
    <w:p w:rsidR="00877ED7" w:rsidRDefault="00877ED7" w:rsidP="00877ED7">
      <w:pPr>
        <w:tabs>
          <w:tab w:val="left" w:pos="992"/>
        </w:tabs>
      </w:pPr>
      <w:r>
        <w:tab/>
        <w:t xml:space="preserve">For large read-only </w:t>
      </w:r>
      <w:r w:rsidR="008A5576">
        <w:t>result sets</w:t>
      </w:r>
      <w:r>
        <w:t>, setting response-buffering as adaptive is the best choice.</w:t>
      </w:r>
    </w:p>
    <w:sectPr w:rsidR="00877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9310C"/>
    <w:multiLevelType w:val="hybridMultilevel"/>
    <w:tmpl w:val="1B62C1A8"/>
    <w:lvl w:ilvl="0" w:tplc="D08C0D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C501D9"/>
    <w:multiLevelType w:val="hybridMultilevel"/>
    <w:tmpl w:val="BD863370"/>
    <w:lvl w:ilvl="0" w:tplc="8408D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8A7ACC"/>
    <w:multiLevelType w:val="hybridMultilevel"/>
    <w:tmpl w:val="61F66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F3736E"/>
    <w:multiLevelType w:val="hybridMultilevel"/>
    <w:tmpl w:val="3F2868F6"/>
    <w:lvl w:ilvl="0" w:tplc="248453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BE73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FCE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EE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ACD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E84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ACEF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38F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EE6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83"/>
    <w:rsid w:val="000451F7"/>
    <w:rsid w:val="00071997"/>
    <w:rsid w:val="00134D83"/>
    <w:rsid w:val="00154D3F"/>
    <w:rsid w:val="00815610"/>
    <w:rsid w:val="00877ED7"/>
    <w:rsid w:val="008A5576"/>
    <w:rsid w:val="008C288B"/>
    <w:rsid w:val="00AE7D8B"/>
    <w:rsid w:val="00CD5F7E"/>
    <w:rsid w:val="00E435F7"/>
    <w:rsid w:val="00F3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02B23-6343-4286-8D6A-799E93D7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D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1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6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1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69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8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1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et.microsoft.com/en-us/library/bb879937(v=sql.110)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s.msdn.com/b/jdbcteam/archive/2007/05/02/what-is-adaptive-response-buffering-and-why-should-i-use-it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OperaClientStreaming\reports\Opera-Client-Streaming-Measuremen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dnpak\Desktop\Memory_Opera_Streaming\Analysis_Cursor_FetchSize_ResponseBuff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2000K Records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(secs)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Sheet1!$B$2:$B$5</c:f>
              <c:numCache>
                <c:formatCode>General</c:formatCode>
                <c:ptCount val="4"/>
                <c:pt idx="0">
                  <c:v>73.63</c:v>
                </c:pt>
                <c:pt idx="1">
                  <c:v>97.808999999999997</c:v>
                </c:pt>
                <c:pt idx="2">
                  <c:v>110</c:v>
                </c:pt>
                <c:pt idx="3">
                  <c:v>130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Memory Consumed(Mbs)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Sheet1!$C$2:$C$5</c:f>
              <c:numCache>
                <c:formatCode>General</c:formatCode>
                <c:ptCount val="4"/>
                <c:pt idx="0">
                  <c:v>100</c:v>
                </c:pt>
                <c:pt idx="1">
                  <c:v>189</c:v>
                </c:pt>
                <c:pt idx="2">
                  <c:v>283.33</c:v>
                </c:pt>
                <c:pt idx="3">
                  <c:v>420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No of Sources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Sheet1!$D$2:$D$5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9231440"/>
        <c:axId val="367920392"/>
      </c:lineChart>
      <c:catAx>
        <c:axId val="36923144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920392"/>
        <c:crosses val="autoZero"/>
        <c:auto val="1"/>
        <c:lblAlgn val="ctr"/>
        <c:lblOffset val="100"/>
        <c:noMultiLvlLbl val="0"/>
      </c:catAx>
      <c:valAx>
        <c:axId val="36792039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9231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MSSQL Response Buffering for</a:t>
            </a:r>
            <a:r>
              <a:rPr lang="en-US" baseline="0"/>
              <a:t> 2000K with multiple sources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'MSSQL Response Buffering'!$E$1</c:f>
              <c:strCache>
                <c:ptCount val="1"/>
                <c:pt idx="0">
                  <c:v>Number of Sources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'MSSQL Response Buffering'!$E$2:$E$6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'MSSQL Response Buffering'!$F$1</c:f>
              <c:strCache>
                <c:ptCount val="1"/>
                <c:pt idx="0">
                  <c:v>Memory (MB)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'MSSQL Response Buffering'!$F$2:$F$6</c:f>
              <c:numCache>
                <c:formatCode>General</c:formatCode>
                <c:ptCount val="5"/>
                <c:pt idx="0">
                  <c:v>324</c:v>
                </c:pt>
                <c:pt idx="1">
                  <c:v>376.5</c:v>
                </c:pt>
                <c:pt idx="2">
                  <c:v>405.33333333333331</c:v>
                </c:pt>
                <c:pt idx="3">
                  <c:v>425.75</c:v>
                </c:pt>
                <c:pt idx="4">
                  <c:v>435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'MSSQL Response Buffering'!$G$1</c:f>
              <c:strCache>
                <c:ptCount val="1"/>
                <c:pt idx="0">
                  <c:v>Avg Time (secs)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'MSSQL Response Buffering'!$G$2:$G$6</c:f>
              <c:numCache>
                <c:formatCode>General</c:formatCode>
                <c:ptCount val="5"/>
                <c:pt idx="0">
                  <c:v>52.945999999999998</c:v>
                </c:pt>
                <c:pt idx="1">
                  <c:v>106.9075</c:v>
                </c:pt>
                <c:pt idx="2">
                  <c:v>159.64599999999999</c:v>
                </c:pt>
                <c:pt idx="3">
                  <c:v>212.27974999999998</c:v>
                </c:pt>
                <c:pt idx="4">
                  <c:v>268.04300000000001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4006728"/>
        <c:axId val="294007120"/>
      </c:lineChart>
      <c:catAx>
        <c:axId val="29400672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007120"/>
        <c:crosses val="autoZero"/>
        <c:auto val="1"/>
        <c:lblAlgn val="ctr"/>
        <c:lblOffset val="100"/>
        <c:noMultiLvlLbl val="0"/>
      </c:catAx>
      <c:valAx>
        <c:axId val="29400712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006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Karanjkar</dc:creator>
  <cp:keywords/>
  <dc:description/>
  <cp:lastModifiedBy>Pallavi Karanjkar</cp:lastModifiedBy>
  <cp:revision>4</cp:revision>
  <dcterms:created xsi:type="dcterms:W3CDTF">2014-10-13T05:31:00Z</dcterms:created>
  <dcterms:modified xsi:type="dcterms:W3CDTF">2014-10-13T12:29:00Z</dcterms:modified>
</cp:coreProperties>
</file>