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2F00E">
      <w:pPr>
        <w:pStyle w:val="2"/>
        <w:pageBreakBefore w:val="0"/>
        <w:widowControl w:val="0"/>
        <w:kinsoku/>
        <w:wordWrap/>
        <w:overflowPunct/>
        <w:topLinePunct w:val="0"/>
        <w:autoSpaceDE/>
        <w:autoSpaceDN/>
        <w:bidi w:val="0"/>
        <w:adjustRightInd/>
        <w:snapToGrid/>
        <w:spacing w:line="500" w:lineRule="exact"/>
        <w:jc w:val="center"/>
        <w:textAlignment w:val="auto"/>
        <w:rPr>
          <w:rFonts w:hint="eastAsia" w:ascii="方正公文小标宋" w:hAnsi="方正公文小标宋" w:eastAsia="方正公文小标宋" w:cs="方正公文小标宋"/>
          <w:b w:val="0"/>
          <w:bCs/>
          <w:kern w:val="44"/>
          <w:sz w:val="36"/>
          <w:szCs w:val="36"/>
          <w:lang w:val="en-US" w:eastAsia="zh-CN" w:bidi="ar-SA"/>
        </w:rPr>
      </w:pPr>
      <w:bookmarkStart w:id="0" w:name="_GoBack"/>
      <w:bookmarkEnd w:id="0"/>
      <w:r>
        <w:rPr>
          <w:rFonts w:hint="eastAsia" w:ascii="方正公文小标宋" w:hAnsi="方正公文小标宋" w:eastAsia="方正公文小标宋" w:cs="方正公文小标宋"/>
          <w:b w:val="0"/>
          <w:bCs/>
          <w:kern w:val="44"/>
          <w:sz w:val="36"/>
          <w:szCs w:val="36"/>
          <w:lang w:val="en-US" w:eastAsia="zh-CN" w:bidi="ar-SA"/>
        </w:rPr>
        <w:t>江西省职教高考服务平台项目建设与运营方案</w:t>
      </w:r>
    </w:p>
    <w:p w14:paraId="486F530F">
      <w:pPr>
        <w:keepNext w:val="0"/>
        <w:keepLines w:val="0"/>
        <w:pageBreakBefore w:val="0"/>
        <w:widowControl w:val="0"/>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一、 项目概述与战略定位</w:t>
      </w:r>
    </w:p>
    <w:p w14:paraId="5C7AD937">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1.项目项目缘起与目标</w:t>
      </w:r>
    </w:p>
    <w:p w14:paraId="77D4966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i w:val="0"/>
          <w:iCs w:val="0"/>
          <w:caps w:val="0"/>
          <w:color w:val="0F1115"/>
          <w:spacing w:val="0"/>
          <w:sz w:val="32"/>
          <w:szCs w:val="32"/>
          <w:shd w:val="clear" w:fill="FFFFFF"/>
        </w:rPr>
        <w:t>为深入贯彻落实国家及江西省关于现代职业教育体系建设的改革部署，精准服务将于2027年全面实施的江西省职教高考制度，高欣公司拟依托总社“高效学”平台的技术与品牌优势，立项建设“江西省职教高考服务平台”。本项目旨在构建一个集“教学、测评、实训、升学”于一体的省级数字化公共服务平台，系统性解决职教高考背景下的教学资源不均、备考效率不高、技能实训受限、志愿决策盲目等核心痛点，最终实现服务改革战略、赋能全省师生、引领出版转型的核心目标。</w:t>
      </w:r>
    </w:p>
    <w:p w14:paraId="3C45BCD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2.核心战略定位</w:t>
      </w:r>
    </w:p>
    <w:p w14:paraId="73F346B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i w:val="0"/>
          <w:iCs w:val="0"/>
          <w:caps w:val="0"/>
          <w:color w:val="0F1115"/>
          <w:spacing w:val="0"/>
          <w:sz w:val="32"/>
          <w:szCs w:val="32"/>
          <w:shd w:val="clear" w:fill="FFFFFF"/>
        </w:rPr>
        <w:t>本平台不仅是商业产品，更是服务省级教育战略的关键数字基础设施。其定位为：</w:t>
      </w:r>
    </w:p>
    <w:p w14:paraId="273816A6">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kern w:val="2"/>
          <w:sz w:val="32"/>
          <w:szCs w:val="32"/>
          <w:lang w:val="en-US" w:eastAsia="zh-CN" w:bidi="ar-SA"/>
        </w:rPr>
        <w:t>官方合作的支撑平台：</w:t>
      </w:r>
      <w:r>
        <w:rPr>
          <w:rFonts w:hint="eastAsia" w:ascii="仿宋" w:hAnsi="仿宋" w:eastAsia="仿宋" w:cs="仿宋"/>
          <w:i w:val="0"/>
          <w:iCs w:val="0"/>
          <w:caps w:val="0"/>
          <w:color w:val="0F1115"/>
          <w:spacing w:val="0"/>
          <w:sz w:val="32"/>
          <w:szCs w:val="32"/>
          <w:shd w:val="clear" w:fill="FFFFFF"/>
        </w:rPr>
        <w:t>致力于成为江西省教育考试院及各专业大类牵头院校在技能考核数字化、备考资源标准化领域的首选合作伙伴与技术承载平台。</w:t>
      </w:r>
    </w:p>
    <w:p w14:paraId="328C6194">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kern w:val="2"/>
          <w:sz w:val="32"/>
          <w:szCs w:val="32"/>
          <w:lang w:val="en-US" w:eastAsia="zh-CN" w:bidi="ar-SA"/>
        </w:rPr>
        <w:t>教育公平的赋能平台：</w:t>
      </w:r>
      <w:r>
        <w:rPr>
          <w:rFonts w:hint="eastAsia" w:ascii="仿宋" w:hAnsi="仿宋" w:eastAsia="仿宋" w:cs="仿宋"/>
          <w:i w:val="0"/>
          <w:iCs w:val="0"/>
          <w:caps w:val="0"/>
          <w:color w:val="0F1115"/>
          <w:spacing w:val="0"/>
          <w:sz w:val="32"/>
          <w:szCs w:val="32"/>
          <w:shd w:val="clear" w:fill="FFFFFF"/>
        </w:rPr>
        <w:t>通过汇聚与分发全省最优质的数字化资源，打破地域与校际壁垒，使所有考生享有均等的高质量备考条件。</w:t>
      </w:r>
    </w:p>
    <w:p w14:paraId="0DE61476">
      <w:pPr>
        <w:keepNext w:val="0"/>
        <w:keepLines w:val="0"/>
        <w:pageBreakBefore w:val="0"/>
        <w:widowControl w:val="0"/>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kern w:val="2"/>
          <w:sz w:val="32"/>
          <w:szCs w:val="32"/>
          <w:lang w:val="en-US" w:eastAsia="zh-CN" w:bidi="ar-SA"/>
        </w:rPr>
        <w:t>出版转型的示范平台：</w:t>
      </w:r>
      <w:r>
        <w:rPr>
          <w:rFonts w:hint="eastAsia" w:ascii="仿宋" w:hAnsi="仿宋" w:eastAsia="仿宋" w:cs="仿宋"/>
          <w:i w:val="0"/>
          <w:iCs w:val="0"/>
          <w:caps w:val="0"/>
          <w:color w:val="0F1115"/>
          <w:spacing w:val="0"/>
          <w:sz w:val="32"/>
          <w:szCs w:val="32"/>
          <w:shd w:val="clear" w:fill="FFFFFF"/>
        </w:rPr>
        <w:t>探索从传统教材发行向“内容+科技+数据+服务”的现代教育服务模式转型，打造省级文化国企融合发展的标杆案例。</w:t>
      </w:r>
    </w:p>
    <w:p w14:paraId="588A5FA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二、</w:t>
      </w:r>
      <w:r>
        <w:rPr>
          <w:rFonts w:hint="default" w:ascii="仿宋" w:hAnsi="仿宋" w:eastAsia="仿宋" w:cs="仿宋"/>
          <w:b/>
          <w:bCs/>
          <w:kern w:val="2"/>
          <w:sz w:val="32"/>
          <w:szCs w:val="32"/>
          <w:lang w:val="en-US" w:eastAsia="zh-CN" w:bidi="ar-SA"/>
        </w:rPr>
        <w:t>平台顶层设计与核心功能</w:t>
      </w:r>
    </w:p>
    <w:p w14:paraId="42F6EF6D">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default" w:ascii="仿宋" w:hAnsi="仿宋" w:eastAsia="仿宋" w:cs="仿宋"/>
          <w:i w:val="0"/>
          <w:iCs w:val="0"/>
          <w:caps w:val="0"/>
          <w:color w:val="0F1115"/>
          <w:spacing w:val="0"/>
          <w:sz w:val="32"/>
          <w:szCs w:val="32"/>
          <w:shd w:val="clear" w:fill="FFFFFF"/>
        </w:rPr>
        <w:t>平台遵循“一体化设计、模块化构建、数据化驱动”的原则，围绕职教高考“文化素质（300分）+专业技能（450分）”的考评体系，设计四大核心功能板块。</w:t>
      </w:r>
    </w:p>
    <w:p w14:paraId="76CA5F5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0" w:firstLineChars="0"/>
        <w:jc w:val="both"/>
        <w:textAlignment w:val="auto"/>
        <w:rPr>
          <w:rFonts w:hint="eastAsia" w:ascii="仿宋" w:hAnsi="仿宋" w:eastAsia="仿宋" w:cs="仿宋"/>
          <w:kern w:val="2"/>
          <w:sz w:val="32"/>
          <w:szCs w:val="32"/>
          <w:lang w:val="en-US" w:eastAsia="zh-CN" w:bidi="ar-SA"/>
        </w:rPr>
      </w:pPr>
    </w:p>
    <w:p w14:paraId="404F2FF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bCs/>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rPr>
        <w:t>板块一：智能化教学资源库——服务于“教”与“学”的起点</w:t>
      </w:r>
    </w:p>
    <w:p w14:paraId="36C2C01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kern w:val="2"/>
          <w:sz w:val="32"/>
          <w:szCs w:val="32"/>
          <w:lang w:val="en-US" w:eastAsia="zh-CN" w:bidi="ar-SA"/>
        </w:rPr>
        <w:t>目标：</w:t>
      </w:r>
      <w:r>
        <w:rPr>
          <w:rFonts w:hint="eastAsia" w:ascii="仿宋" w:hAnsi="仿宋" w:eastAsia="仿宋" w:cs="仿宋"/>
          <w:i w:val="0"/>
          <w:iCs w:val="0"/>
          <w:caps w:val="0"/>
          <w:color w:val="0F1115"/>
          <w:spacing w:val="0"/>
          <w:sz w:val="32"/>
          <w:szCs w:val="32"/>
          <w:shd w:val="clear" w:fill="FFFFFF"/>
        </w:rPr>
        <w:t>为全省教师提供标准化、体系化的数字备课资源，服务文化课与专业理论基础教学。</w:t>
      </w:r>
    </w:p>
    <w:p w14:paraId="0EF7C314">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关键功能：</w:t>
      </w:r>
    </w:p>
    <w:p w14:paraId="7100F00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kern w:val="2"/>
          <w:sz w:val="32"/>
          <w:szCs w:val="32"/>
          <w:lang w:val="en-US" w:eastAsia="zh-CN" w:bidi="ar-SA"/>
        </w:rPr>
        <w:t>1.</w:t>
      </w:r>
      <w:r>
        <w:rPr>
          <w:rFonts w:hint="eastAsia" w:ascii="仿宋" w:hAnsi="仿宋" w:eastAsia="仿宋" w:cs="仿宋"/>
          <w:b/>
          <w:bCs/>
          <w:i w:val="0"/>
          <w:iCs w:val="0"/>
          <w:caps w:val="0"/>
          <w:color w:val="0F1115"/>
          <w:spacing w:val="0"/>
          <w:sz w:val="32"/>
          <w:szCs w:val="32"/>
          <w:shd w:val="clear" w:fill="FFFFFF"/>
        </w:rPr>
        <w:t>结构化资源中心：</w:t>
      </w:r>
      <w:r>
        <w:rPr>
          <w:rFonts w:hint="eastAsia" w:ascii="仿宋" w:hAnsi="仿宋" w:eastAsia="仿宋" w:cs="仿宋"/>
          <w:i w:val="0"/>
          <w:iCs w:val="0"/>
          <w:caps w:val="0"/>
          <w:color w:val="0F1115"/>
          <w:spacing w:val="0"/>
          <w:sz w:val="32"/>
          <w:szCs w:val="32"/>
          <w:shd w:val="clear" w:fill="FFFFFF"/>
        </w:rPr>
        <w:t>按省考纲与19个大类教学标准，建设覆盖知识点的精品资源库（课件、教案、微课），所有资源强制标注知识点标签。</w:t>
      </w:r>
    </w:p>
    <w:p w14:paraId="6B67641C">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2.</w:t>
      </w:r>
      <w:r>
        <w:rPr>
          <w:rFonts w:hint="eastAsia" w:ascii="仿宋" w:hAnsi="仿宋" w:eastAsia="仿宋" w:cs="仿宋"/>
          <w:b/>
          <w:bCs/>
          <w:kern w:val="2"/>
          <w:sz w:val="32"/>
          <w:szCs w:val="32"/>
          <w:lang w:val="en-US" w:eastAsia="zh-CN" w:bidi="ar-SA"/>
        </w:rPr>
        <w:t>智能备课工具：</w:t>
      </w:r>
      <w:r>
        <w:rPr>
          <w:rFonts w:hint="eastAsia" w:ascii="仿宋" w:hAnsi="仿宋" w:eastAsia="仿宋" w:cs="仿宋"/>
          <w:kern w:val="2"/>
          <w:sz w:val="32"/>
          <w:szCs w:val="32"/>
          <w:lang w:val="en-US" w:eastAsia="zh-CN" w:bidi="ar-SA"/>
        </w:rPr>
        <w:t>支持教师根据教学进度一键式获取推荐资源包，并可便捷地进行个性化编辑与整合，极大提升备课效率。</w:t>
      </w:r>
    </w:p>
    <w:p w14:paraId="34C0058D">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3.</w:t>
      </w:r>
      <w:r>
        <w:rPr>
          <w:rFonts w:hint="eastAsia" w:ascii="仿宋" w:hAnsi="仿宋" w:eastAsia="仿宋" w:cs="仿宋"/>
          <w:b/>
          <w:bCs/>
          <w:i w:val="0"/>
          <w:iCs w:val="0"/>
          <w:caps w:val="0"/>
          <w:color w:val="0F1115"/>
          <w:spacing w:val="0"/>
          <w:sz w:val="32"/>
          <w:szCs w:val="32"/>
          <w:shd w:val="clear" w:fill="FFFFFF"/>
        </w:rPr>
        <w:t>本地化共建生态：</w:t>
      </w:r>
      <w:r>
        <w:rPr>
          <w:rFonts w:hint="eastAsia" w:ascii="仿宋" w:hAnsi="仿宋" w:eastAsia="仿宋" w:cs="仿宋"/>
          <w:i w:val="0"/>
          <w:iCs w:val="0"/>
          <w:caps w:val="0"/>
          <w:color w:val="0F1115"/>
          <w:spacing w:val="0"/>
          <w:sz w:val="32"/>
          <w:szCs w:val="32"/>
          <w:shd w:val="clear" w:fill="FFFFFF"/>
        </w:rPr>
        <w:t>设立“赣鄱金课”专区，激励本省名师共建共享特色资源。</w:t>
      </w:r>
    </w:p>
    <w:p w14:paraId="7C4C846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i w:val="0"/>
          <w:iCs w:val="0"/>
          <w:caps w:val="0"/>
          <w:color w:val="0F1115"/>
          <w:spacing w:val="0"/>
          <w:sz w:val="32"/>
          <w:szCs w:val="32"/>
          <w:shd w:val="clear" w:fill="FFFFFF"/>
        </w:rPr>
      </w:pPr>
    </w:p>
    <w:p w14:paraId="6E44E14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rPr>
        <w:t>板块二：自适应智能题库与测评系统（理论提分核心引擎）——应对“理论考试”</w:t>
      </w:r>
    </w:p>
    <w:p w14:paraId="0A1DCE0F">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kern w:val="2"/>
          <w:sz w:val="32"/>
          <w:szCs w:val="32"/>
          <w:lang w:val="en-US" w:eastAsia="zh-CN" w:bidi="ar-SA"/>
        </w:rPr>
        <w:t>目标：</w:t>
      </w:r>
      <w:r>
        <w:rPr>
          <w:rFonts w:hint="eastAsia" w:ascii="仿宋" w:hAnsi="仿宋" w:eastAsia="仿宋" w:cs="仿宋"/>
          <w:i w:val="0"/>
          <w:iCs w:val="0"/>
          <w:caps w:val="0"/>
          <w:color w:val="0F1115"/>
          <w:spacing w:val="0"/>
          <w:sz w:val="32"/>
          <w:szCs w:val="32"/>
          <w:shd w:val="clear" w:fill="FFFFFF"/>
        </w:rPr>
        <w:t>通过数据驱动，实现学生理论学习的个性化、精准化，针对性地提升文化课（300分）与专业理论（200分）考试成绩。</w:t>
      </w:r>
    </w:p>
    <w:p w14:paraId="41B1305A">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关键功能：</w:t>
      </w:r>
    </w:p>
    <w:p w14:paraId="7ECB037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1.</w:t>
      </w:r>
      <w:r>
        <w:rPr>
          <w:rFonts w:hint="eastAsia" w:ascii="仿宋" w:hAnsi="仿宋" w:eastAsia="仿宋" w:cs="仿宋"/>
          <w:b/>
          <w:bCs/>
          <w:i w:val="0"/>
          <w:iCs w:val="0"/>
          <w:caps w:val="0"/>
          <w:color w:val="0F1115"/>
          <w:spacing w:val="0"/>
          <w:sz w:val="32"/>
          <w:szCs w:val="32"/>
          <w:shd w:val="clear" w:fill="FFFFFF"/>
        </w:rPr>
        <w:t>知识图谱题库：</w:t>
      </w:r>
      <w:r>
        <w:rPr>
          <w:rFonts w:hint="eastAsia" w:ascii="仿宋" w:hAnsi="仿宋" w:eastAsia="仿宋" w:cs="仿宋"/>
          <w:i w:val="0"/>
          <w:iCs w:val="0"/>
          <w:caps w:val="0"/>
          <w:color w:val="0F1115"/>
          <w:spacing w:val="0"/>
          <w:sz w:val="32"/>
          <w:szCs w:val="32"/>
          <w:shd w:val="clear" w:fill="FFFFFF"/>
        </w:rPr>
        <w:t>所有题目关联至精细化的知识点标签体系（章节、难度、考频、能力维度），构成智能化的数据基础。</w:t>
      </w:r>
    </w:p>
    <w:p w14:paraId="0DA0834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2.</w:t>
      </w:r>
      <w:r>
        <w:rPr>
          <w:rFonts w:hint="eastAsia" w:ascii="仿宋" w:hAnsi="仿宋" w:eastAsia="仿宋" w:cs="仿宋"/>
          <w:b/>
          <w:bCs/>
          <w:i w:val="0"/>
          <w:iCs w:val="0"/>
          <w:caps w:val="0"/>
          <w:color w:val="0F1115"/>
          <w:spacing w:val="0"/>
          <w:sz w:val="32"/>
          <w:szCs w:val="32"/>
          <w:shd w:val="clear" w:fill="FFFFFF"/>
        </w:rPr>
        <w:t>薄弱点智能诊断：</w:t>
      </w:r>
      <w:r>
        <w:rPr>
          <w:rFonts w:hint="eastAsia" w:ascii="仿宋" w:hAnsi="仿宋" w:eastAsia="仿宋" w:cs="仿宋"/>
          <w:i w:val="0"/>
          <w:iCs w:val="0"/>
          <w:caps w:val="0"/>
          <w:color w:val="0F1115"/>
          <w:spacing w:val="0"/>
          <w:sz w:val="32"/>
          <w:szCs w:val="32"/>
          <w:shd w:val="clear" w:fill="FFFFFF"/>
        </w:rPr>
        <w:t>系统通过日常练习与模拟考试，自动分析学生错题，可视化呈现其个人知识掌握度图谱，精准定位薄弱环节。</w:t>
      </w:r>
    </w:p>
    <w:p w14:paraId="6A59F28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3.</w:t>
      </w:r>
      <w:r>
        <w:rPr>
          <w:rFonts w:hint="eastAsia" w:ascii="仿宋" w:hAnsi="仿宋" w:eastAsia="仿宋" w:cs="仿宋"/>
          <w:b/>
          <w:bCs/>
          <w:i w:val="0"/>
          <w:iCs w:val="0"/>
          <w:caps w:val="0"/>
          <w:color w:val="0F1115"/>
          <w:spacing w:val="0"/>
          <w:sz w:val="32"/>
          <w:szCs w:val="32"/>
          <w:shd w:val="clear" w:fill="FFFFFF"/>
        </w:rPr>
        <w:t>自适应推送与专项突破：</w:t>
      </w:r>
      <w:r>
        <w:rPr>
          <w:rFonts w:hint="eastAsia" w:ascii="仿宋" w:hAnsi="仿宋" w:eastAsia="仿宋" w:cs="仿宋"/>
          <w:i w:val="0"/>
          <w:iCs w:val="0"/>
          <w:caps w:val="0"/>
          <w:color w:val="0F1115"/>
          <w:spacing w:val="0"/>
          <w:sz w:val="32"/>
          <w:szCs w:val="32"/>
          <w:shd w:val="clear" w:fill="FFFFFF"/>
        </w:rPr>
        <w:t>基于诊断结果，系统自动生成并推送“个性化错题本”和“靶向强化练习包”。学生亦可主动选择薄弱知识点进行“专项突破”训练。</w:t>
      </w:r>
    </w:p>
    <w:p w14:paraId="0B89076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4.</w:t>
      </w:r>
      <w:r>
        <w:rPr>
          <w:rFonts w:hint="eastAsia" w:ascii="仿宋" w:hAnsi="仿宋" w:eastAsia="仿宋" w:cs="仿宋"/>
          <w:b/>
          <w:bCs/>
          <w:i w:val="0"/>
          <w:iCs w:val="0"/>
          <w:caps w:val="0"/>
          <w:color w:val="0F1115"/>
          <w:spacing w:val="0"/>
          <w:sz w:val="32"/>
          <w:szCs w:val="32"/>
          <w:shd w:val="clear" w:fill="FFFFFF"/>
        </w:rPr>
        <w:t>全真模拟与学情报告：</w:t>
      </w:r>
      <w:r>
        <w:rPr>
          <w:rFonts w:hint="eastAsia" w:ascii="仿宋" w:hAnsi="仿宋" w:eastAsia="仿宋" w:cs="仿宋"/>
          <w:i w:val="0"/>
          <w:iCs w:val="0"/>
          <w:caps w:val="0"/>
          <w:color w:val="0F1115"/>
          <w:spacing w:val="0"/>
          <w:sz w:val="32"/>
          <w:szCs w:val="32"/>
          <w:shd w:val="clear" w:fill="FFFFFF"/>
        </w:rPr>
        <w:t>提供高仿真的在线模考环境，考后生成包含知识点掌握分析、趋势对比、改进建议的详细报告，让进步“看得见”。</w:t>
      </w:r>
    </w:p>
    <w:p w14:paraId="604F6DA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i w:val="0"/>
          <w:iCs w:val="0"/>
          <w:caps w:val="0"/>
          <w:color w:val="0F1115"/>
          <w:spacing w:val="0"/>
          <w:sz w:val="32"/>
          <w:szCs w:val="32"/>
          <w:shd w:val="clear" w:fill="FFFFFF"/>
        </w:rPr>
      </w:pPr>
    </w:p>
    <w:p w14:paraId="6E7DD3E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rPr>
        <w:t>板块三：协同化虚拟仿真实训平台（技能备考核心引擎）——应对“技能考试”</w:t>
      </w:r>
    </w:p>
    <w:p w14:paraId="34B81050">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kern w:val="2"/>
          <w:sz w:val="32"/>
          <w:szCs w:val="32"/>
          <w:lang w:val="en-US" w:eastAsia="zh-CN" w:bidi="ar-SA"/>
        </w:rPr>
        <w:t>目标：</w:t>
      </w:r>
      <w:r>
        <w:rPr>
          <w:rFonts w:hint="eastAsia" w:ascii="仿宋" w:hAnsi="仿宋" w:eastAsia="仿宋" w:cs="仿宋"/>
          <w:i w:val="0"/>
          <w:iCs w:val="0"/>
          <w:caps w:val="0"/>
          <w:color w:val="0F1115"/>
          <w:spacing w:val="0"/>
          <w:sz w:val="32"/>
          <w:szCs w:val="32"/>
          <w:shd w:val="clear" w:fill="FFFFFF"/>
        </w:rPr>
        <w:t>打造与官方技能考试平台“同源同构”的培训环境，让学生提前熟悉考试流程、界面与评分标准，实现技能考试的“考场还原”。</w:t>
      </w:r>
    </w:p>
    <w:p w14:paraId="43B1C4E5">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关键功能：</w:t>
      </w:r>
    </w:p>
    <w:p w14:paraId="79AF97A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1.</w:t>
      </w:r>
      <w:r>
        <w:rPr>
          <w:rFonts w:hint="eastAsia" w:ascii="仿宋" w:hAnsi="仿宋" w:eastAsia="仿宋" w:cs="仿宋"/>
          <w:b/>
          <w:bCs/>
          <w:i w:val="0"/>
          <w:iCs w:val="0"/>
          <w:caps w:val="0"/>
          <w:color w:val="0F1115"/>
          <w:spacing w:val="0"/>
          <w:sz w:val="32"/>
          <w:szCs w:val="32"/>
          <w:shd w:val="clear" w:fill="FFFFFF"/>
        </w:rPr>
        <w:t>三方协同机制：</w:t>
      </w:r>
      <w:r>
        <w:rPr>
          <w:rFonts w:hint="eastAsia" w:ascii="仿宋" w:hAnsi="仿宋" w:eastAsia="仿宋" w:cs="仿宋"/>
          <w:i w:val="0"/>
          <w:iCs w:val="0"/>
          <w:caps w:val="0"/>
          <w:color w:val="0F1115"/>
          <w:spacing w:val="0"/>
          <w:sz w:val="32"/>
          <w:szCs w:val="32"/>
          <w:shd w:val="clear" w:fill="FFFFFF"/>
        </w:rPr>
        <w:t>与每个专业大类的牵头院校（标准制定方） 及核心合作企业（技术提供方） 建立联盟。</w:t>
      </w:r>
    </w:p>
    <w:p w14:paraId="5668CBB5">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left="420" w:leftChars="0" w:hanging="420" w:firstLineChars="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i w:val="0"/>
          <w:iCs w:val="0"/>
          <w:caps w:val="0"/>
          <w:color w:val="0F1115"/>
          <w:spacing w:val="0"/>
          <w:sz w:val="32"/>
          <w:szCs w:val="32"/>
          <w:shd w:val="clear" w:fill="FFFFFF"/>
        </w:rPr>
        <w:t>牵头院校：提供官方考试大纲、评分细则、真实考题场景，并主导录制技能点讲解微视频。</w:t>
      </w:r>
    </w:p>
    <w:p w14:paraId="71B8CCE3">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left="420" w:leftChars="0" w:hanging="420" w:firstLineChars="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i w:val="0"/>
          <w:iCs w:val="0"/>
          <w:caps w:val="0"/>
          <w:color w:val="0F1115"/>
          <w:spacing w:val="0"/>
          <w:sz w:val="32"/>
          <w:szCs w:val="32"/>
          <w:shd w:val="clear" w:fill="FFFFFF"/>
        </w:rPr>
        <w:t>合作企业：提供其已开发或正在为考试服务的实训平台技术框架、仿真模型与交互逻辑。</w:t>
      </w:r>
    </w:p>
    <w:p w14:paraId="57FA1FF9">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left="420" w:leftChars="0" w:hanging="420" w:firstLineChars="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i w:val="0"/>
          <w:iCs w:val="0"/>
          <w:caps w:val="0"/>
          <w:color w:val="0F1115"/>
          <w:spacing w:val="0"/>
          <w:sz w:val="32"/>
          <w:szCs w:val="32"/>
          <w:shd w:val="clear" w:fill="FFFFFF"/>
        </w:rPr>
        <w:t>平台方（我方）：整合资源，开发统一的平台接口、用户系统与运营体系。</w:t>
      </w:r>
    </w:p>
    <w:p w14:paraId="397DC74F">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20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2.</w:t>
      </w:r>
      <w:r>
        <w:rPr>
          <w:rFonts w:hint="eastAsia" w:ascii="仿宋" w:hAnsi="仿宋" w:eastAsia="仿宋" w:cs="仿宋"/>
          <w:b/>
          <w:bCs/>
          <w:i w:val="0"/>
          <w:iCs w:val="0"/>
          <w:caps w:val="0"/>
          <w:color w:val="0F1115"/>
          <w:spacing w:val="0"/>
          <w:sz w:val="32"/>
          <w:szCs w:val="32"/>
          <w:shd w:val="clear" w:fill="FFFFFF"/>
        </w:rPr>
        <w:t>“培训版”产品定位：</w:t>
      </w:r>
      <w:r>
        <w:rPr>
          <w:rFonts w:hint="eastAsia" w:ascii="仿宋" w:hAnsi="仿宋" w:eastAsia="仿宋" w:cs="仿宋"/>
          <w:i w:val="0"/>
          <w:iCs w:val="0"/>
          <w:caps w:val="0"/>
          <w:color w:val="0F1115"/>
          <w:spacing w:val="0"/>
          <w:sz w:val="32"/>
          <w:szCs w:val="32"/>
          <w:shd w:val="clear" w:fill="FFFFFF"/>
        </w:rPr>
        <w:t>共建的实训软件，在操作界面、工作流程、工具设备、评分逻辑上与官方考试平台保持高度一致，仅弱化或移除部分高风险的考试控制功能，强化练习引导与错误反馈，成为名副其实的“官方模拟器”。</w:t>
      </w:r>
    </w:p>
    <w:p w14:paraId="705FB3F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20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3.</w:t>
      </w:r>
      <w:r>
        <w:rPr>
          <w:rFonts w:hint="eastAsia" w:ascii="仿宋" w:hAnsi="仿宋" w:eastAsia="仿宋" w:cs="仿宋"/>
          <w:b/>
          <w:bCs/>
          <w:i w:val="0"/>
          <w:iCs w:val="0"/>
          <w:caps w:val="0"/>
          <w:color w:val="0F1115"/>
          <w:spacing w:val="0"/>
          <w:sz w:val="32"/>
          <w:szCs w:val="32"/>
          <w:shd w:val="clear" w:fill="FFFFFF"/>
        </w:rPr>
        <w:t>过程性智能评价：</w:t>
      </w:r>
      <w:r>
        <w:rPr>
          <w:rFonts w:hint="eastAsia" w:ascii="仿宋" w:hAnsi="仿宋" w:eastAsia="仿宋" w:cs="仿宋"/>
          <w:i w:val="0"/>
          <w:iCs w:val="0"/>
          <w:caps w:val="0"/>
          <w:color w:val="0F1115"/>
          <w:spacing w:val="0"/>
          <w:sz w:val="32"/>
          <w:szCs w:val="32"/>
          <w:shd w:val="clear" w:fill="FFFFFF"/>
        </w:rPr>
        <w:t>不仅评判操作结果，更记录并分析操作过程（如步骤顺序、参数设置、安全规范），给予实时提示与改进建议，实现“练即评”。</w:t>
      </w:r>
    </w:p>
    <w:p w14:paraId="42AD364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200" w:firstLine="643" w:firstLineChars="200"/>
        <w:jc w:val="both"/>
        <w:textAlignment w:val="auto"/>
        <w:rPr>
          <w:rFonts w:hint="eastAsia" w:ascii="仿宋" w:hAnsi="仿宋" w:eastAsia="仿宋" w:cs="仿宋"/>
          <w:b/>
          <w:bCs/>
          <w:i w:val="0"/>
          <w:iCs w:val="0"/>
          <w:caps w:val="0"/>
          <w:color w:val="0F1115"/>
          <w:spacing w:val="0"/>
          <w:sz w:val="32"/>
          <w:szCs w:val="32"/>
          <w:shd w:val="clear" w:fill="FFFFFF"/>
        </w:rPr>
      </w:pPr>
    </w:p>
    <w:p w14:paraId="03BD5D58">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20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rPr>
        <w:t>板块四：大数据智能志愿填报与分析系统——服务于“考后选择”</w:t>
      </w:r>
    </w:p>
    <w:p w14:paraId="2CB7B70A">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3"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b/>
          <w:bCs/>
          <w:kern w:val="2"/>
          <w:sz w:val="32"/>
          <w:szCs w:val="32"/>
          <w:lang w:val="en-US" w:eastAsia="zh-CN" w:bidi="ar-SA"/>
        </w:rPr>
        <w:t>目标：</w:t>
      </w:r>
      <w:r>
        <w:rPr>
          <w:rFonts w:hint="eastAsia" w:ascii="仿宋" w:hAnsi="仿宋" w:eastAsia="仿宋" w:cs="仿宋"/>
          <w:kern w:val="2"/>
          <w:sz w:val="32"/>
          <w:szCs w:val="32"/>
          <w:lang w:val="en-US" w:eastAsia="zh-CN" w:bidi="ar-SA"/>
        </w:rPr>
        <w:t>整合历年招录数据、院校专业信息与就业动态，为学生提供科学的志愿填报智能推荐与生涯规划参考，完成从“备考”到“升学”的全链条服务闭环。</w:t>
      </w:r>
    </w:p>
    <w:p w14:paraId="3D702FF7">
      <w:pPr>
        <w:keepNext w:val="0"/>
        <w:keepLines w:val="0"/>
        <w:pageBreakBefore w:val="0"/>
        <w:widowControl w:val="0"/>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关键功能：</w:t>
      </w:r>
    </w:p>
    <w:p w14:paraId="2452D946">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kern w:val="2"/>
          <w:sz w:val="32"/>
          <w:szCs w:val="32"/>
          <w:lang w:val="en-US" w:eastAsia="zh-CN" w:bidi="ar-SA"/>
        </w:rPr>
        <w:t>1.全景数据库：</w:t>
      </w:r>
      <w:r>
        <w:rPr>
          <w:rFonts w:hint="eastAsia" w:ascii="仿宋" w:hAnsi="仿宋" w:eastAsia="仿宋" w:cs="仿宋"/>
          <w:i w:val="0"/>
          <w:iCs w:val="0"/>
          <w:caps w:val="0"/>
          <w:color w:val="0F1115"/>
          <w:spacing w:val="0"/>
          <w:sz w:val="32"/>
          <w:szCs w:val="32"/>
          <w:shd w:val="clear" w:fill="FFFFFF"/>
        </w:rPr>
        <w:t>集成全省招生院校、专业的历年录取分数、位次、计划及就业质量数据。</w:t>
      </w:r>
    </w:p>
    <w:p w14:paraId="3CFAF61B">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kern w:val="2"/>
          <w:sz w:val="32"/>
          <w:szCs w:val="32"/>
          <w:lang w:val="en-US" w:eastAsia="zh-CN" w:bidi="ar-SA"/>
        </w:rPr>
        <w:t>2.智能推荐引擎：</w:t>
      </w:r>
      <w:r>
        <w:rPr>
          <w:rFonts w:hint="eastAsia" w:ascii="仿宋" w:hAnsi="仿宋" w:eastAsia="仿宋" w:cs="仿宋"/>
          <w:i w:val="0"/>
          <w:iCs w:val="0"/>
          <w:caps w:val="0"/>
          <w:color w:val="0F1115"/>
          <w:spacing w:val="0"/>
          <w:sz w:val="32"/>
          <w:szCs w:val="32"/>
          <w:shd w:val="clear" w:fill="FFFFFF"/>
        </w:rPr>
        <w:t>基于“冲、稳、保”算法，结合学生考分、位次及兴趣偏好，生成个性化志愿方案。</w:t>
      </w:r>
    </w:p>
    <w:p w14:paraId="2E279EF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i w:val="0"/>
          <w:iCs w:val="0"/>
          <w:caps w:val="0"/>
          <w:color w:val="0F1115"/>
          <w:spacing w:val="0"/>
          <w:sz w:val="32"/>
          <w:szCs w:val="32"/>
          <w:shd w:val="clear" w:fill="FFFFFF"/>
        </w:rPr>
      </w:pPr>
      <w:r>
        <w:rPr>
          <w:rFonts w:hint="eastAsia" w:ascii="仿宋" w:hAnsi="仿宋" w:eastAsia="仿宋" w:cs="仿宋"/>
          <w:b/>
          <w:bCs/>
          <w:i w:val="0"/>
          <w:iCs w:val="0"/>
          <w:caps w:val="0"/>
          <w:color w:val="0F1115"/>
          <w:spacing w:val="0"/>
          <w:sz w:val="32"/>
          <w:szCs w:val="32"/>
          <w:shd w:val="clear" w:fill="FFFFFF"/>
          <w:lang w:val="en-US" w:eastAsia="zh-CN"/>
        </w:rPr>
        <w:t>3.</w:t>
      </w:r>
      <w:r>
        <w:rPr>
          <w:rFonts w:hint="eastAsia" w:ascii="仿宋" w:hAnsi="仿宋" w:eastAsia="仿宋" w:cs="仿宋"/>
          <w:b/>
          <w:bCs/>
          <w:i w:val="0"/>
          <w:iCs w:val="0"/>
          <w:caps w:val="0"/>
          <w:color w:val="0F1115"/>
          <w:spacing w:val="0"/>
          <w:sz w:val="32"/>
          <w:szCs w:val="32"/>
          <w:shd w:val="clear" w:fill="FFFFFF"/>
        </w:rPr>
        <w:t>生涯规划辅助</w:t>
      </w:r>
      <w:r>
        <w:rPr>
          <w:rFonts w:hint="eastAsia" w:ascii="仿宋" w:hAnsi="仿宋" w:eastAsia="仿宋" w:cs="仿宋"/>
          <w:b/>
          <w:bCs/>
          <w:i w:val="0"/>
          <w:iCs w:val="0"/>
          <w:caps w:val="0"/>
          <w:color w:val="0F1115"/>
          <w:spacing w:val="0"/>
          <w:sz w:val="32"/>
          <w:szCs w:val="32"/>
          <w:shd w:val="clear" w:fill="FFFFFF"/>
          <w:lang w:eastAsia="zh-CN"/>
        </w:rPr>
        <w:t>：</w:t>
      </w:r>
      <w:r>
        <w:rPr>
          <w:rFonts w:hint="eastAsia" w:ascii="仿宋" w:hAnsi="仿宋" w:eastAsia="仿宋" w:cs="仿宋"/>
          <w:i w:val="0"/>
          <w:iCs w:val="0"/>
          <w:caps w:val="0"/>
          <w:color w:val="0F1115"/>
          <w:spacing w:val="0"/>
          <w:sz w:val="32"/>
          <w:szCs w:val="32"/>
          <w:shd w:val="clear" w:fill="FFFFFF"/>
        </w:rPr>
        <w:t>关联产业人才需求数据，提供专业发展前景分析，引导学生将升学选择与长远职业规划相结合。</w:t>
      </w:r>
    </w:p>
    <w:p w14:paraId="40AD515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p>
    <w:p w14:paraId="0F91384A">
      <w:pPr>
        <w:keepNext w:val="0"/>
        <w:keepLines w:val="0"/>
        <w:pageBreakBefore w:val="0"/>
        <w:widowControl w:val="0"/>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三、 三年实施规划与市场策略</w:t>
      </w:r>
    </w:p>
    <w:p w14:paraId="61C2460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1.实施路线图。</w:t>
      </w:r>
    </w:p>
    <w:p w14:paraId="19B74558">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项目的实施将分三个阶段稳扎稳打地推进：</w:t>
      </w:r>
    </w:p>
    <w:p w14:paraId="530D1A88">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第一阶段：产品验证与标杆打造期（2026年）</w:t>
      </w:r>
    </w:p>
    <w:p w14:paraId="2438AE12">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核心任务是完成平台基础开发及首批3-5个热门专业大类内容建设。关键行动是，遴选5-10所合作意愿强的代表性中职学校作为标杆试点校，免费提供平台全功能使用权。本阶段的目标是深度收集师生使用反馈、验证平台对教学与学习效率的实际提升效果、积累成功案例。</w:t>
      </w:r>
    </w:p>
    <w:p w14:paraId="0126DA1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第二阶段：市场启动与规模扩张期（2027年）</w:t>
      </w:r>
    </w:p>
    <w:p w14:paraId="45A58F8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核心任务是实现商业化运营的突破。在优化产品的基础上，将技能实训模块扩展至8-10个大类，并启动全省市场推广。我们将重点利用标杆校的验证数据和成果进行宣传，把握首场技能考试前的备考黄金窗口，开展销售攻坚。</w:t>
      </w:r>
    </w:p>
    <w:p w14:paraId="56D75493">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第三阶段：全面盈利与生态巩固期（2028年）</w:t>
      </w:r>
    </w:p>
    <w:p w14:paraId="3C5D7B7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核心任务是实现稳定盈利与市场领先。我们将持续完善内容，力争覆盖全部19个专业大类，深化客户服务，并探索基于平台数据的增值服务，构建深厚的业务护城河。</w:t>
      </w:r>
    </w:p>
    <w:p w14:paraId="1989CBCD">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2.市场推广策略</w:t>
      </w:r>
    </w:p>
    <w:p w14:paraId="2674AAD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推广的核心逻辑是分别向校方管理者与师生群体证明价值。针对校方，通过呈现平台如何系统提升教师工作效率、科学管理备考过程、整体提升学生成绩来驱动采购决策。具体策略包括：打造“标杆校”案例，制作《教学增效与成绩提升白皮书》；举办校长研讨会，展示平台对学校管理的赋能价值。针对师生，则通过体验式营销，如举办“名师备课大赛”、“学生提分挑战赛”等活动，以及运营新媒体进行内容渗透，直接展示平台对“教”与“学”的实用性。</w:t>
      </w:r>
    </w:p>
    <w:p w14:paraId="23ADC9D1">
      <w:pPr>
        <w:keepNext w:val="0"/>
        <w:keepLines w:val="0"/>
        <w:pageBreakBefore w:val="0"/>
        <w:widowControl w:val="0"/>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四、 投入预算、商业模式与财务预测</w:t>
      </w:r>
    </w:p>
    <w:p w14:paraId="2B086342">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1.商业模式</w:t>
      </w:r>
    </w:p>
    <w:p w14:paraId="2AFE5DA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为确保项目长期健康发展，采用清晰且可持续的收费模式。面向学校端，采取“一次性软件授权费”加“年度运维与更新服务费”的模式。学校按所选专业大类支付25-30万元/大类的授权费，之后每年按授权费的一定比例（约15-20%）支付服务费，用于系统维护、内容更新及持续的技术与教研支持。面向学生端的增值服务（如深度学情分析报告、个性化冲刺课程）可按约360元/年/生的标准收取订阅费。</w:t>
      </w:r>
    </w:p>
    <w:p w14:paraId="3D2BF989">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2.详细投入预算</w:t>
      </w:r>
    </w:p>
    <w:tbl>
      <w:tblPr>
        <w:tblStyle w:val="7"/>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8"/>
        <w:gridCol w:w="1657"/>
        <w:gridCol w:w="3897"/>
        <w:gridCol w:w="1770"/>
      </w:tblGrid>
      <w:tr w14:paraId="367CE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98" w:type="dxa"/>
            <w:tcBorders>
              <w:top w:val="nil"/>
            </w:tcBorders>
            <w:shd w:val="clear" w:color="auto" w:fill="auto"/>
            <w:tcMar>
              <w:top w:w="150" w:type="dxa"/>
              <w:left w:w="0" w:type="dxa"/>
              <w:bottom w:w="150" w:type="dxa"/>
              <w:right w:w="240" w:type="dxa"/>
            </w:tcMar>
            <w:vAlign w:val="center"/>
          </w:tcPr>
          <w:p w14:paraId="7BA09125">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sz w:val="22"/>
                <w:szCs w:val="22"/>
              </w:rPr>
            </w:pPr>
            <w:r>
              <w:rPr>
                <w:rFonts w:hint="default" w:ascii="Segoe UI" w:hAnsi="Segoe UI" w:eastAsia="Segoe UI" w:cs="Segoe UI"/>
                <w:b/>
                <w:kern w:val="0"/>
                <w:sz w:val="22"/>
                <w:szCs w:val="22"/>
                <w:lang w:val="en-US" w:eastAsia="zh-CN" w:bidi="ar"/>
              </w:rPr>
              <w:t>板块</w:t>
            </w:r>
          </w:p>
        </w:tc>
        <w:tc>
          <w:tcPr>
            <w:tcW w:w="1657" w:type="dxa"/>
            <w:tcBorders>
              <w:top w:val="nil"/>
            </w:tcBorders>
            <w:shd w:val="clear" w:color="auto" w:fill="auto"/>
            <w:tcMar>
              <w:top w:w="150" w:type="dxa"/>
              <w:left w:w="240" w:type="dxa"/>
              <w:bottom w:w="150" w:type="dxa"/>
              <w:right w:w="240" w:type="dxa"/>
            </w:tcMar>
            <w:vAlign w:val="center"/>
          </w:tcPr>
          <w:p w14:paraId="0C538E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建设内容与模式</w:t>
            </w:r>
          </w:p>
        </w:tc>
        <w:tc>
          <w:tcPr>
            <w:tcW w:w="3897" w:type="dxa"/>
            <w:tcBorders>
              <w:top w:val="nil"/>
            </w:tcBorders>
            <w:shd w:val="clear" w:color="auto" w:fill="auto"/>
            <w:tcMar>
              <w:top w:w="150" w:type="dxa"/>
              <w:left w:w="240" w:type="dxa"/>
              <w:bottom w:w="150" w:type="dxa"/>
              <w:right w:w="240" w:type="dxa"/>
            </w:tcMar>
            <w:vAlign w:val="center"/>
          </w:tcPr>
          <w:p w14:paraId="4594E88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预算说明</w:t>
            </w:r>
          </w:p>
        </w:tc>
        <w:tc>
          <w:tcPr>
            <w:tcW w:w="1770" w:type="dxa"/>
            <w:tcBorders>
              <w:top w:val="nil"/>
            </w:tcBorders>
            <w:shd w:val="clear" w:color="auto" w:fill="auto"/>
            <w:tcMar>
              <w:top w:w="150" w:type="dxa"/>
              <w:left w:w="240" w:type="dxa"/>
              <w:bottom w:w="150" w:type="dxa"/>
              <w:right w:w="240" w:type="dxa"/>
            </w:tcMar>
            <w:vAlign w:val="center"/>
          </w:tcPr>
          <w:p w14:paraId="787592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sz w:val="22"/>
                <w:szCs w:val="22"/>
              </w:rPr>
            </w:pPr>
            <w:r>
              <w:rPr>
                <w:rFonts w:hint="default" w:ascii="Segoe UI" w:hAnsi="Segoe UI" w:eastAsia="Segoe UI" w:cs="Segoe UI"/>
                <w:b/>
                <w:kern w:val="0"/>
                <w:sz w:val="22"/>
                <w:szCs w:val="22"/>
                <w:lang w:val="en-US" w:eastAsia="zh-CN" w:bidi="ar"/>
              </w:rPr>
              <w:t>金额（万元）</w:t>
            </w:r>
          </w:p>
        </w:tc>
      </w:tr>
      <w:tr w14:paraId="35CF1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98" w:type="dxa"/>
            <w:shd w:val="clear" w:color="auto" w:fill="auto"/>
            <w:tcMar>
              <w:top w:w="150" w:type="dxa"/>
              <w:left w:w="0" w:type="dxa"/>
              <w:bottom w:w="150" w:type="dxa"/>
              <w:right w:w="240" w:type="dxa"/>
            </w:tcMar>
            <w:vAlign w:val="center"/>
          </w:tcPr>
          <w:p w14:paraId="0BE3A0C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Style w:val="9"/>
                <w:rFonts w:hint="default" w:ascii="Segoe UI" w:hAnsi="Segoe UI" w:eastAsia="Segoe UI" w:cs="Segoe UI"/>
                <w:b/>
                <w:bCs/>
                <w:kern w:val="0"/>
                <w:sz w:val="22"/>
                <w:szCs w:val="22"/>
                <w:lang w:val="en-US" w:eastAsia="zh-CN" w:bidi="ar"/>
              </w:rPr>
              <w:t>板块一</w:t>
            </w:r>
          </w:p>
        </w:tc>
        <w:tc>
          <w:tcPr>
            <w:tcW w:w="1657" w:type="dxa"/>
            <w:shd w:val="clear" w:color="auto" w:fill="auto"/>
            <w:tcMar>
              <w:top w:w="150" w:type="dxa"/>
              <w:left w:w="240" w:type="dxa"/>
              <w:bottom w:w="150" w:type="dxa"/>
              <w:right w:w="240" w:type="dxa"/>
            </w:tcMar>
            <w:vAlign w:val="center"/>
          </w:tcPr>
          <w:p w14:paraId="00723B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数字课程资源开发</w:t>
            </w:r>
          </w:p>
        </w:tc>
        <w:tc>
          <w:tcPr>
            <w:tcW w:w="3897" w:type="dxa"/>
            <w:shd w:val="clear" w:color="auto" w:fill="auto"/>
            <w:tcMar>
              <w:top w:w="150" w:type="dxa"/>
              <w:left w:w="240" w:type="dxa"/>
              <w:bottom w:w="150" w:type="dxa"/>
              <w:right w:w="240" w:type="dxa"/>
            </w:tcMar>
            <w:vAlign w:val="center"/>
          </w:tcPr>
          <w:p w14:paraId="73AA434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近百门课程，分批次建设（课件+线上课）</w:t>
            </w:r>
          </w:p>
        </w:tc>
        <w:tc>
          <w:tcPr>
            <w:tcW w:w="1770" w:type="dxa"/>
            <w:shd w:val="clear" w:color="auto" w:fill="auto"/>
            <w:tcMar>
              <w:top w:w="150" w:type="dxa"/>
              <w:left w:w="240" w:type="dxa"/>
              <w:bottom w:w="150" w:type="dxa"/>
              <w:right w:w="0" w:type="dxa"/>
            </w:tcMar>
            <w:vAlign w:val="center"/>
          </w:tcPr>
          <w:p w14:paraId="219B171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2"/>
                <w:szCs w:val="22"/>
                <w:lang w:val="en-US"/>
              </w:rPr>
            </w:pPr>
            <w:r>
              <w:rPr>
                <w:rFonts w:hint="default" w:ascii="Segoe UI" w:hAnsi="Segoe UI" w:eastAsia="Segoe UI" w:cs="Segoe UI"/>
                <w:kern w:val="0"/>
                <w:sz w:val="22"/>
                <w:szCs w:val="22"/>
                <w:lang w:val="en-US" w:eastAsia="zh-CN" w:bidi="ar"/>
              </w:rPr>
              <w:t>总预算约4</w:t>
            </w:r>
            <w:r>
              <w:rPr>
                <w:rFonts w:hint="eastAsia" w:ascii="Segoe UI" w:hAnsi="Segoe UI" w:eastAsia="Segoe UI" w:cs="Segoe UI"/>
                <w:kern w:val="0"/>
                <w:sz w:val="22"/>
                <w:szCs w:val="22"/>
                <w:lang w:val="en-US" w:eastAsia="zh-CN" w:bidi="ar"/>
              </w:rPr>
              <w:t>30万</w:t>
            </w:r>
          </w:p>
        </w:tc>
      </w:tr>
      <w:tr w14:paraId="278CA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98" w:type="dxa"/>
            <w:shd w:val="clear" w:color="auto" w:fill="auto"/>
            <w:tcMar>
              <w:top w:w="150" w:type="dxa"/>
              <w:left w:w="0" w:type="dxa"/>
              <w:bottom w:w="150" w:type="dxa"/>
              <w:right w:w="240" w:type="dxa"/>
            </w:tcMar>
            <w:vAlign w:val="center"/>
          </w:tcPr>
          <w:p w14:paraId="2BFF7B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Style w:val="9"/>
                <w:rFonts w:hint="default" w:ascii="Segoe UI" w:hAnsi="Segoe UI" w:eastAsia="Segoe UI" w:cs="Segoe UI"/>
                <w:b/>
                <w:bCs/>
                <w:kern w:val="0"/>
                <w:sz w:val="22"/>
                <w:szCs w:val="22"/>
                <w:lang w:val="en-US" w:eastAsia="zh-CN" w:bidi="ar"/>
              </w:rPr>
              <w:t>板块二</w:t>
            </w:r>
          </w:p>
        </w:tc>
        <w:tc>
          <w:tcPr>
            <w:tcW w:w="1657" w:type="dxa"/>
            <w:shd w:val="clear" w:color="auto" w:fill="auto"/>
            <w:tcMar>
              <w:top w:w="150" w:type="dxa"/>
              <w:left w:w="240" w:type="dxa"/>
              <w:bottom w:w="150" w:type="dxa"/>
              <w:right w:w="240" w:type="dxa"/>
            </w:tcMar>
            <w:vAlign w:val="center"/>
          </w:tcPr>
          <w:p w14:paraId="72A52B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智能题库系统建设</w:t>
            </w:r>
          </w:p>
        </w:tc>
        <w:tc>
          <w:tcPr>
            <w:tcW w:w="3897" w:type="dxa"/>
            <w:shd w:val="clear" w:color="auto" w:fill="auto"/>
            <w:tcMar>
              <w:top w:w="150" w:type="dxa"/>
              <w:left w:w="240" w:type="dxa"/>
              <w:bottom w:w="150" w:type="dxa"/>
              <w:right w:w="240" w:type="dxa"/>
            </w:tcMar>
            <w:vAlign w:val="center"/>
          </w:tcPr>
          <w:p w14:paraId="0F89A17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19个大类题库的标签化、结构化建设</w:t>
            </w:r>
          </w:p>
        </w:tc>
        <w:tc>
          <w:tcPr>
            <w:tcW w:w="1770" w:type="dxa"/>
            <w:shd w:val="clear" w:color="auto" w:fill="auto"/>
            <w:tcMar>
              <w:top w:w="150" w:type="dxa"/>
              <w:left w:w="240" w:type="dxa"/>
              <w:bottom w:w="150" w:type="dxa"/>
              <w:right w:w="0" w:type="dxa"/>
            </w:tcMar>
            <w:vAlign w:val="center"/>
          </w:tcPr>
          <w:p w14:paraId="460ED09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2"/>
                <w:szCs w:val="22"/>
                <w:lang w:val="en-US"/>
              </w:rPr>
            </w:pPr>
            <w:r>
              <w:rPr>
                <w:rFonts w:hint="eastAsia" w:ascii="Segoe UI" w:hAnsi="Segoe UI" w:eastAsia="Segoe UI" w:cs="Segoe UI"/>
                <w:kern w:val="0"/>
                <w:sz w:val="22"/>
                <w:szCs w:val="22"/>
                <w:lang w:val="en-US" w:eastAsia="zh-CN" w:bidi="ar"/>
              </w:rPr>
              <w:t>38万</w:t>
            </w:r>
          </w:p>
        </w:tc>
      </w:tr>
      <w:tr w14:paraId="125C0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98" w:type="dxa"/>
            <w:shd w:val="clear" w:color="auto" w:fill="auto"/>
            <w:tcMar>
              <w:top w:w="150" w:type="dxa"/>
              <w:left w:w="0" w:type="dxa"/>
              <w:bottom w:w="150" w:type="dxa"/>
              <w:right w:w="240" w:type="dxa"/>
            </w:tcMar>
            <w:vAlign w:val="center"/>
          </w:tcPr>
          <w:p w14:paraId="690C12A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Style w:val="9"/>
                <w:rFonts w:hint="default" w:ascii="Segoe UI" w:hAnsi="Segoe UI" w:eastAsia="Segoe UI" w:cs="Segoe UI"/>
                <w:b/>
                <w:bCs/>
                <w:kern w:val="0"/>
                <w:sz w:val="22"/>
                <w:szCs w:val="22"/>
                <w:lang w:val="en-US" w:eastAsia="zh-CN" w:bidi="ar"/>
              </w:rPr>
              <w:t>板块三</w:t>
            </w:r>
          </w:p>
        </w:tc>
        <w:tc>
          <w:tcPr>
            <w:tcW w:w="1657" w:type="dxa"/>
            <w:shd w:val="clear" w:color="auto" w:fill="auto"/>
            <w:tcMar>
              <w:top w:w="150" w:type="dxa"/>
              <w:left w:w="240" w:type="dxa"/>
              <w:bottom w:w="150" w:type="dxa"/>
              <w:right w:w="240" w:type="dxa"/>
            </w:tcMar>
            <w:vAlign w:val="center"/>
          </w:tcPr>
          <w:p w14:paraId="59C203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虚拟仿真实训平台</w:t>
            </w:r>
          </w:p>
        </w:tc>
        <w:tc>
          <w:tcPr>
            <w:tcW w:w="3897" w:type="dxa"/>
            <w:shd w:val="clear" w:color="auto" w:fill="auto"/>
            <w:tcMar>
              <w:top w:w="150" w:type="dxa"/>
              <w:left w:w="240" w:type="dxa"/>
              <w:bottom w:w="150" w:type="dxa"/>
              <w:right w:w="240" w:type="dxa"/>
            </w:tcMar>
            <w:vAlign w:val="center"/>
          </w:tcPr>
          <w:p w14:paraId="3B66881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Style w:val="9"/>
                <w:rFonts w:hint="default" w:ascii="Segoe UI" w:hAnsi="Segoe UI" w:eastAsia="Segoe UI" w:cs="Segoe UI"/>
                <w:b/>
                <w:bCs/>
                <w:kern w:val="0"/>
                <w:sz w:val="22"/>
                <w:szCs w:val="22"/>
                <w:lang w:val="en-US" w:eastAsia="zh-CN" w:bidi="ar"/>
              </w:rPr>
              <w:t>采用“自建+合作分成”模式</w:t>
            </w:r>
            <w:r>
              <w:rPr>
                <w:rFonts w:hint="default" w:ascii="Segoe UI" w:hAnsi="Segoe UI" w:eastAsia="Segoe UI" w:cs="Segoe UI"/>
                <w:kern w:val="0"/>
                <w:sz w:val="22"/>
                <w:szCs w:val="22"/>
                <w:lang w:val="en-US" w:eastAsia="zh-CN" w:bidi="ar"/>
              </w:rPr>
              <w:t>。自建部分（如8类）按20万/类；合作共建类无预付成本。</w:t>
            </w:r>
            <w:r>
              <w:rPr>
                <w:rStyle w:val="9"/>
                <w:rFonts w:hint="default" w:ascii="Segoe UI" w:hAnsi="Segoe UI" w:eastAsia="Segoe UI" w:cs="Segoe UI"/>
                <w:b/>
                <w:bCs/>
                <w:kern w:val="0"/>
                <w:sz w:val="22"/>
                <w:szCs w:val="22"/>
                <w:lang w:val="en-US" w:eastAsia="zh-CN" w:bidi="ar"/>
              </w:rPr>
              <w:t>新增微视频</w:t>
            </w:r>
            <w:r>
              <w:rPr>
                <w:rStyle w:val="9"/>
                <w:rFonts w:hint="eastAsia" w:ascii="Segoe UI" w:hAnsi="Segoe UI" w:eastAsia="Segoe UI" w:cs="Segoe UI"/>
                <w:b/>
                <w:bCs/>
                <w:kern w:val="0"/>
                <w:sz w:val="22"/>
                <w:szCs w:val="22"/>
                <w:lang w:val="en-US" w:eastAsia="zh-CN" w:bidi="ar"/>
              </w:rPr>
              <w:t>讲解</w:t>
            </w:r>
            <w:r>
              <w:rPr>
                <w:rFonts w:hint="default" w:ascii="Segoe UI" w:hAnsi="Segoe UI" w:eastAsia="Segoe UI" w:cs="Segoe UI"/>
                <w:kern w:val="0"/>
                <w:sz w:val="22"/>
                <w:szCs w:val="22"/>
                <w:lang w:val="en-US" w:eastAsia="zh-CN" w:bidi="ar"/>
              </w:rPr>
              <w:t>：5万/类。</w:t>
            </w:r>
          </w:p>
        </w:tc>
        <w:tc>
          <w:tcPr>
            <w:tcW w:w="1770" w:type="dxa"/>
            <w:shd w:val="clear" w:color="auto" w:fill="auto"/>
            <w:tcMar>
              <w:top w:w="150" w:type="dxa"/>
              <w:left w:w="240" w:type="dxa"/>
              <w:bottom w:w="150" w:type="dxa"/>
              <w:right w:w="0" w:type="dxa"/>
            </w:tcMar>
            <w:vAlign w:val="center"/>
          </w:tcPr>
          <w:p w14:paraId="7620903A">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2"/>
                <w:szCs w:val="22"/>
                <w:lang w:val="en-US"/>
              </w:rPr>
            </w:pPr>
            <w:r>
              <w:rPr>
                <w:rFonts w:hint="eastAsia" w:ascii="Segoe UI" w:hAnsi="Segoe UI" w:eastAsia="Segoe UI" w:cs="Segoe UI"/>
                <w:kern w:val="0"/>
                <w:sz w:val="22"/>
                <w:szCs w:val="22"/>
                <w:lang w:val="en-US" w:eastAsia="zh-CN" w:bidi="ar"/>
              </w:rPr>
              <w:t>总预算480万，</w:t>
            </w:r>
            <w:r>
              <w:rPr>
                <w:rFonts w:hint="default" w:ascii="Segoe UI" w:hAnsi="Segoe UI" w:eastAsia="Segoe UI" w:cs="Segoe UI"/>
                <w:kern w:val="0"/>
                <w:sz w:val="22"/>
                <w:szCs w:val="22"/>
                <w:lang w:val="en-US" w:eastAsia="zh-CN" w:bidi="ar"/>
              </w:rPr>
              <w:t>首年自建投入</w:t>
            </w:r>
            <w:r>
              <w:rPr>
                <w:rFonts w:hint="eastAsia" w:ascii="Segoe UI" w:hAnsi="Segoe UI" w:eastAsia="Segoe UI" w:cs="Segoe UI"/>
                <w:kern w:val="0"/>
                <w:sz w:val="22"/>
                <w:szCs w:val="22"/>
                <w:lang w:val="en-US" w:eastAsia="zh-CN" w:bidi="ar"/>
              </w:rPr>
              <w:t>125万</w:t>
            </w:r>
          </w:p>
        </w:tc>
      </w:tr>
      <w:tr w14:paraId="7435F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98" w:type="dxa"/>
            <w:shd w:val="clear" w:color="auto" w:fill="auto"/>
            <w:tcMar>
              <w:top w:w="150" w:type="dxa"/>
              <w:left w:w="0" w:type="dxa"/>
              <w:bottom w:w="150" w:type="dxa"/>
              <w:right w:w="240" w:type="dxa"/>
            </w:tcMar>
            <w:vAlign w:val="center"/>
          </w:tcPr>
          <w:p w14:paraId="3210D79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Style w:val="9"/>
                <w:rFonts w:hint="default" w:ascii="Segoe UI" w:hAnsi="Segoe UI" w:eastAsia="Segoe UI" w:cs="Segoe UI"/>
                <w:b/>
                <w:bCs/>
                <w:kern w:val="0"/>
                <w:sz w:val="22"/>
                <w:szCs w:val="22"/>
                <w:lang w:val="en-US" w:eastAsia="zh-CN" w:bidi="ar"/>
              </w:rPr>
              <w:t>板块四</w:t>
            </w:r>
          </w:p>
        </w:tc>
        <w:tc>
          <w:tcPr>
            <w:tcW w:w="1657" w:type="dxa"/>
            <w:shd w:val="clear" w:color="auto" w:fill="auto"/>
            <w:tcMar>
              <w:top w:w="150" w:type="dxa"/>
              <w:left w:w="240" w:type="dxa"/>
              <w:bottom w:w="150" w:type="dxa"/>
              <w:right w:w="240" w:type="dxa"/>
            </w:tcMar>
            <w:vAlign w:val="center"/>
          </w:tcPr>
          <w:p w14:paraId="63F3AF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大数据志愿系统</w:t>
            </w:r>
          </w:p>
        </w:tc>
        <w:tc>
          <w:tcPr>
            <w:tcW w:w="3897" w:type="dxa"/>
            <w:shd w:val="clear" w:color="auto" w:fill="auto"/>
            <w:tcMar>
              <w:top w:w="150" w:type="dxa"/>
              <w:left w:w="240" w:type="dxa"/>
              <w:bottom w:w="150" w:type="dxa"/>
              <w:right w:w="240" w:type="dxa"/>
            </w:tcMar>
            <w:vAlign w:val="center"/>
          </w:tcPr>
          <w:p w14:paraId="073689F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与第三方合作，按收入分成</w:t>
            </w:r>
          </w:p>
        </w:tc>
        <w:tc>
          <w:tcPr>
            <w:tcW w:w="1770" w:type="dxa"/>
            <w:shd w:val="clear" w:color="auto" w:fill="auto"/>
            <w:tcMar>
              <w:top w:w="150" w:type="dxa"/>
              <w:left w:w="240" w:type="dxa"/>
              <w:bottom w:w="150" w:type="dxa"/>
              <w:right w:w="0" w:type="dxa"/>
            </w:tcMar>
            <w:vAlign w:val="center"/>
          </w:tcPr>
          <w:p w14:paraId="790CB96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w:t>
            </w:r>
          </w:p>
        </w:tc>
      </w:tr>
      <w:tr w14:paraId="6C3FF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98" w:type="dxa"/>
            <w:shd w:val="clear" w:color="auto" w:fill="auto"/>
            <w:tcMar>
              <w:top w:w="150" w:type="dxa"/>
              <w:left w:w="0" w:type="dxa"/>
              <w:bottom w:w="150" w:type="dxa"/>
              <w:right w:w="240" w:type="dxa"/>
            </w:tcMar>
            <w:vAlign w:val="center"/>
          </w:tcPr>
          <w:p w14:paraId="6CDDA5F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Style w:val="9"/>
                <w:rFonts w:hint="default" w:ascii="Segoe UI" w:hAnsi="Segoe UI" w:eastAsia="Segoe UI" w:cs="Segoe UI"/>
                <w:b/>
                <w:bCs/>
                <w:kern w:val="0"/>
                <w:sz w:val="22"/>
                <w:szCs w:val="22"/>
                <w:lang w:val="en-US" w:eastAsia="zh-CN" w:bidi="ar"/>
              </w:rPr>
              <w:t>平台研发与运维</w:t>
            </w:r>
          </w:p>
        </w:tc>
        <w:tc>
          <w:tcPr>
            <w:tcW w:w="1657" w:type="dxa"/>
            <w:shd w:val="clear" w:color="auto" w:fill="auto"/>
            <w:tcMar>
              <w:top w:w="150" w:type="dxa"/>
              <w:left w:w="240" w:type="dxa"/>
              <w:bottom w:w="150" w:type="dxa"/>
              <w:right w:w="240" w:type="dxa"/>
            </w:tcMar>
            <w:vAlign w:val="center"/>
          </w:tcPr>
          <w:p w14:paraId="34C7FD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技术开发、云服务等</w:t>
            </w:r>
          </w:p>
        </w:tc>
        <w:tc>
          <w:tcPr>
            <w:tcW w:w="3897" w:type="dxa"/>
            <w:shd w:val="clear" w:color="auto" w:fill="auto"/>
            <w:tcMar>
              <w:top w:w="150" w:type="dxa"/>
              <w:left w:w="240" w:type="dxa"/>
              <w:bottom w:w="150" w:type="dxa"/>
              <w:right w:w="240" w:type="dxa"/>
            </w:tcMar>
            <w:vAlign w:val="center"/>
          </w:tcPr>
          <w:p w14:paraId="02D9238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年度持续性投入</w:t>
            </w:r>
          </w:p>
        </w:tc>
        <w:tc>
          <w:tcPr>
            <w:tcW w:w="1770" w:type="dxa"/>
            <w:shd w:val="clear" w:color="auto" w:fill="auto"/>
            <w:tcMar>
              <w:top w:w="150" w:type="dxa"/>
              <w:left w:w="240" w:type="dxa"/>
              <w:bottom w:w="150" w:type="dxa"/>
              <w:right w:w="0" w:type="dxa"/>
            </w:tcMar>
            <w:vAlign w:val="center"/>
          </w:tcPr>
          <w:p w14:paraId="43ABA76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按年计提</w:t>
            </w:r>
          </w:p>
        </w:tc>
      </w:tr>
      <w:tr w14:paraId="12ECA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98" w:type="dxa"/>
            <w:shd w:val="clear" w:color="auto" w:fill="auto"/>
            <w:tcMar>
              <w:top w:w="150" w:type="dxa"/>
              <w:left w:w="0" w:type="dxa"/>
              <w:bottom w:w="150" w:type="dxa"/>
              <w:right w:w="240" w:type="dxa"/>
            </w:tcMar>
            <w:vAlign w:val="center"/>
          </w:tcPr>
          <w:p w14:paraId="2E4C8B2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sz w:val="22"/>
                <w:szCs w:val="22"/>
              </w:rPr>
            </w:pPr>
            <w:r>
              <w:rPr>
                <w:rStyle w:val="9"/>
                <w:rFonts w:hint="default" w:ascii="Segoe UI" w:hAnsi="Segoe UI" w:eastAsia="Segoe UI" w:cs="Segoe UI"/>
                <w:b/>
                <w:bCs/>
                <w:kern w:val="0"/>
                <w:sz w:val="22"/>
                <w:szCs w:val="22"/>
                <w:lang w:val="en-US" w:eastAsia="zh-CN" w:bidi="ar"/>
              </w:rPr>
              <w:t>总计</w:t>
            </w:r>
          </w:p>
        </w:tc>
        <w:tc>
          <w:tcPr>
            <w:tcW w:w="1657" w:type="dxa"/>
            <w:shd w:val="clear" w:color="auto" w:fill="auto"/>
            <w:tcMar>
              <w:top w:w="150" w:type="dxa"/>
              <w:left w:w="240" w:type="dxa"/>
              <w:bottom w:w="150" w:type="dxa"/>
              <w:right w:w="240" w:type="dxa"/>
            </w:tcMar>
            <w:vAlign w:val="center"/>
          </w:tcPr>
          <w:p w14:paraId="0689028A">
            <w:pPr>
              <w:snapToGrid w:val="0"/>
              <w:ind w:left="0" w:leftChars="0" w:right="0" w:rightChars="0" w:firstLine="0" w:firstLineChars="0"/>
              <w:jc w:val="center"/>
              <w:rPr>
                <w:rFonts w:hint="default" w:ascii="Segoe UI" w:hAnsi="Segoe UI" w:eastAsia="Segoe UI" w:cs="Segoe UI"/>
                <w:b/>
                <w:sz w:val="22"/>
                <w:szCs w:val="22"/>
              </w:rPr>
            </w:pPr>
          </w:p>
        </w:tc>
        <w:tc>
          <w:tcPr>
            <w:tcW w:w="3897" w:type="dxa"/>
            <w:shd w:val="clear" w:color="auto" w:fill="auto"/>
            <w:tcMar>
              <w:top w:w="150" w:type="dxa"/>
              <w:left w:w="240" w:type="dxa"/>
              <w:bottom w:w="150" w:type="dxa"/>
              <w:right w:w="240" w:type="dxa"/>
            </w:tcMar>
            <w:vAlign w:val="center"/>
          </w:tcPr>
          <w:p w14:paraId="3CE0FC11">
            <w:pPr>
              <w:snapToGrid w:val="0"/>
              <w:ind w:left="0" w:leftChars="0" w:right="0" w:rightChars="0" w:firstLine="0" w:firstLineChars="0"/>
              <w:jc w:val="left"/>
              <w:rPr>
                <w:rFonts w:hint="default" w:ascii="Segoe UI" w:hAnsi="Segoe UI" w:eastAsia="Segoe UI" w:cs="Segoe UI"/>
                <w:b/>
                <w:sz w:val="22"/>
                <w:szCs w:val="22"/>
              </w:rPr>
            </w:pPr>
          </w:p>
        </w:tc>
        <w:tc>
          <w:tcPr>
            <w:tcW w:w="1770" w:type="dxa"/>
            <w:shd w:val="clear" w:color="auto" w:fill="auto"/>
            <w:tcMar>
              <w:top w:w="150" w:type="dxa"/>
              <w:left w:w="240" w:type="dxa"/>
              <w:bottom w:w="150" w:type="dxa"/>
              <w:right w:w="0" w:type="dxa"/>
            </w:tcMar>
            <w:vAlign w:val="center"/>
          </w:tcPr>
          <w:p w14:paraId="693A5E3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sz w:val="22"/>
                <w:szCs w:val="22"/>
              </w:rPr>
            </w:pPr>
            <w:r>
              <w:rPr>
                <w:rStyle w:val="9"/>
                <w:rFonts w:hint="default" w:ascii="Segoe UI" w:hAnsi="Segoe UI" w:eastAsia="Segoe UI" w:cs="Segoe UI"/>
                <w:b/>
                <w:bCs/>
                <w:kern w:val="0"/>
                <w:sz w:val="22"/>
                <w:szCs w:val="22"/>
                <w:lang w:val="en-US" w:eastAsia="zh-CN" w:bidi="ar"/>
              </w:rPr>
              <w:t>约</w:t>
            </w:r>
            <w:r>
              <w:rPr>
                <w:rStyle w:val="9"/>
                <w:rFonts w:hint="eastAsia" w:ascii="Segoe UI" w:hAnsi="Segoe UI" w:eastAsia="Segoe UI" w:cs="Segoe UI"/>
                <w:b/>
                <w:bCs/>
                <w:kern w:val="0"/>
                <w:sz w:val="22"/>
                <w:szCs w:val="22"/>
                <w:lang w:val="en-US" w:eastAsia="zh-CN" w:bidi="ar"/>
              </w:rPr>
              <w:t>948</w:t>
            </w:r>
            <w:r>
              <w:rPr>
                <w:rStyle w:val="9"/>
                <w:rFonts w:hint="default" w:ascii="Segoe UI" w:hAnsi="Segoe UI" w:eastAsia="Segoe UI" w:cs="Segoe UI"/>
                <w:b/>
                <w:bCs/>
                <w:kern w:val="0"/>
                <w:sz w:val="22"/>
                <w:szCs w:val="22"/>
                <w:lang w:val="en-US" w:eastAsia="zh-CN" w:bidi="ar"/>
              </w:rPr>
              <w:t>万元 + 年度研发费</w:t>
            </w:r>
          </w:p>
        </w:tc>
      </w:tr>
    </w:tbl>
    <w:p w14:paraId="1991040E">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p>
    <w:p w14:paraId="0C07462F">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项目总直接投入预算为948万元，将严格依据项目进度分三年投入。2026年投入预算的30%，即284.4万元，主要用于产品基础开发、首批资源制作及试点运营。2027年投入50%，即474万元，是投入高峰，用于完善资源制作、拓展技能实训模块、丰富题库资源、加强市场推广力度。2028年投入剩余的20%，即189.6万元，用于产品优化、内容补充及生态建设。此项预算主要涵盖平台研发、四大板块的内容建设（如教学资源库素材制作、智能题库标引、仿真软件开发合作、微视频录制等）以及前期市场启动费用。所有投入均在发生年度计入项目成本，用于核算项目利润。</w:t>
      </w:r>
    </w:p>
    <w:p w14:paraId="7421B47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3.分年度财务预测</w:t>
      </w:r>
    </w:p>
    <w:p w14:paraId="252D6A84">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基于审慎原则，财务预测设定如下：2026年为产品验证期，平台免费供标杆校使用，故确认营业收入为0元。2027年市场启动，目标签约50个专业大类，学生用户渗透率达15%（1.8万人），预计实现营业收入1890万元。2028年进入盈利期，目标新增签约80个专业大类，学生渗透率达20%（3.2万人），预计营业收入跃升至3152万元。</w:t>
      </w:r>
    </w:p>
    <w:p w14:paraId="368FD90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在成本费用方面，2026年至2028年的直接营业成本（即上述投入）分别为284.4万元、474万元和189.6万元。期间费用主要包括一个3人核心管理团队的人力成本（按每人每年综合成本25万元计算，每年固定为75万元）及其他运营费用30万元/年（办公、行政、市场活动等）。经核算，项目税前利润在2026年为战略性亏损389.4万元，2027年即转为盈利1311万元，2028年实现高额利润2857.4万元。</w:t>
      </w:r>
    </w:p>
    <w:p w14:paraId="466B8779">
      <w:pPr>
        <w:keepNext w:val="0"/>
        <w:keepLines w:val="0"/>
        <w:pageBreakBefore w:val="0"/>
        <w:widowControl w:val="0"/>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五、综合效益分析</w:t>
      </w:r>
    </w:p>
    <w:p w14:paraId="795C280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1.社会效益</w:t>
      </w:r>
    </w:p>
    <w:p w14:paraId="44C466F6">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一是在教师发展层面，通过提供优质资源和智能工具，切实赋能教师，提升其教学专业性与职业幸福感；二是在学生成长层面，通过个性化训练与仿真实操，有效提升学生的理论素养与实操技能，增强其升学与就业竞争力；三是在学校建设层面，平台为学校提供了系统化的专业建设数字资源和教学管理抓手，助力学校提升整体办学水平与应对改革的能力；四是在区域教育层面，平台有助于促进优质教育资源在省内的普惠共享，服务于职教高考的平稳实施与人才选拔的公平公正。</w:t>
      </w:r>
    </w:p>
    <w:p w14:paraId="46046D6C">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2.经济效益与战略价值</w:t>
      </w:r>
    </w:p>
    <w:p w14:paraId="4AE9D4AE">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首先，它将为我社创造一个全新的、可持续的利润增长点，开辟一个高粘性的B端服务市场，预计带来可观的规模化营收。其次，它是完成我社深度业务转型的关键实践，通过此项目积累的数字化产品研发、运营及服务能力，将驱动我社商业模式的整体升级。最后，项目能深度绑定全省中职学校，从单纯的教材供应关系升级为深度的教学服务伙伴关系，极大巩固我社的市场领导地位，构建长期的竞争壁垒。</w:t>
      </w:r>
    </w:p>
    <w:p w14:paraId="7AD40852">
      <w:pPr>
        <w:keepNext w:val="0"/>
        <w:keepLines w:val="0"/>
        <w:pageBreakBefore w:val="0"/>
        <w:widowControl w:val="0"/>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b/>
          <w:bCs/>
          <w:kern w:val="2"/>
          <w:sz w:val="32"/>
          <w:szCs w:val="32"/>
          <w:lang w:val="en-US" w:eastAsia="zh-CN" w:bidi="ar-SA"/>
        </w:rPr>
      </w:pPr>
      <w:r>
        <w:rPr>
          <w:rFonts w:hint="eastAsia" w:ascii="仿宋" w:hAnsi="仿宋" w:eastAsia="仿宋" w:cs="仿宋"/>
          <w:b/>
          <w:bCs/>
          <w:kern w:val="2"/>
          <w:sz w:val="32"/>
          <w:szCs w:val="32"/>
          <w:lang w:val="en-US" w:eastAsia="zh-CN" w:bidi="ar-SA"/>
        </w:rPr>
        <w:t>六、核心支持请求与结论</w:t>
      </w:r>
    </w:p>
    <w:p w14:paraId="3661C36C">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1.核心支持请求</w:t>
      </w:r>
    </w:p>
    <w:p w14:paraId="35832B11">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为确保这一战略性项目顺利启动并获得成功，恳请社领导班子审议并批准以下两项关键支持：</w:t>
      </w:r>
    </w:p>
    <w:p w14:paraId="05E3B7EF">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b/>
          <w:kern w:val="44"/>
          <w:sz w:val="32"/>
          <w:szCs w:val="32"/>
          <w:lang w:val="en-US" w:eastAsia="zh-CN" w:bidi="ar-SA"/>
        </w:rPr>
        <w:t>第一，请求批准战略孵化期的利润考核调整。</w:t>
      </w:r>
      <w:r>
        <w:rPr>
          <w:rFonts w:hint="eastAsia" w:ascii="仿宋" w:hAnsi="仿宋" w:eastAsia="仿宋" w:cs="仿宋"/>
          <w:kern w:val="2"/>
          <w:sz w:val="32"/>
          <w:szCs w:val="32"/>
          <w:lang w:val="en-US" w:eastAsia="zh-CN" w:bidi="ar-SA"/>
        </w:rPr>
        <w:t>平台建设前期投入巨大，市场需要耐心培育。根据“2026年投入大于产出、2027年基本持平、2028年实现盈利”的财务预测，恳请总社充分考虑该业务的战略培育属性，适当调减我公司2026-2027年度的利润考核指标，为新兴业务的孵化与成长提供必要的战略空间和政策包容，允许我们在市场培育期优先聚焦于产品打磨与生态构建。</w:t>
      </w:r>
    </w:p>
    <w:p w14:paraId="632F48E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3"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b/>
          <w:kern w:val="44"/>
          <w:sz w:val="32"/>
          <w:szCs w:val="32"/>
          <w:lang w:val="en-US" w:eastAsia="zh-CN" w:bidi="ar-SA"/>
        </w:rPr>
        <w:t>第二，请求给予专项人力与启动资金补助。</w:t>
      </w:r>
      <w:r>
        <w:rPr>
          <w:rFonts w:hint="eastAsia" w:ascii="仿宋" w:hAnsi="仿宋" w:eastAsia="仿宋" w:cs="仿宋"/>
          <w:kern w:val="2"/>
          <w:sz w:val="32"/>
          <w:szCs w:val="32"/>
          <w:lang w:val="en-US" w:eastAsia="zh-CN" w:bidi="ar-SA"/>
        </w:rPr>
        <w:t>因项目前期无法产生足够利润以覆盖全部人力与运营成本，为确保核心团队稳定与业务持续推进，申请总社在项目启动初期（2026-2027年）给予专项支持。一是专项人力成本补助，用于支持一个由产品、技术、运营核心岗位构成的3人骨干团队的配置；二是批准本方案所述的总计948万元项目启动资金预算，并同意按30%、50%、20%的年度比例分阶段投入。</w:t>
      </w:r>
    </w:p>
    <w:p w14:paraId="461F3605">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0" w:leftChars="0" w:firstLine="643" w:firstLineChars="200"/>
        <w:jc w:val="both"/>
        <w:textAlignment w:val="auto"/>
        <w:rPr>
          <w:rFonts w:hint="eastAsia" w:ascii="仿宋" w:hAnsi="仿宋" w:eastAsia="仿宋" w:cs="仿宋"/>
          <w:b/>
          <w:kern w:val="2"/>
          <w:sz w:val="32"/>
          <w:szCs w:val="32"/>
          <w:lang w:val="en-US" w:eastAsia="zh-CN" w:bidi="ar-SA"/>
        </w:rPr>
      </w:pPr>
      <w:r>
        <w:rPr>
          <w:rFonts w:hint="eastAsia" w:ascii="仿宋" w:hAnsi="仿宋" w:eastAsia="仿宋" w:cs="仿宋"/>
          <w:b/>
          <w:kern w:val="2"/>
          <w:sz w:val="32"/>
          <w:szCs w:val="32"/>
          <w:lang w:val="en-US" w:eastAsia="zh-CN" w:bidi="ar-SA"/>
        </w:rPr>
        <w:t>2.结论</w:t>
      </w:r>
    </w:p>
    <w:p w14:paraId="47B14AC0">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leftChars="0" w:firstLine="640" w:firstLineChars="200"/>
        <w:jc w:val="both"/>
        <w:textAlignment w:val="auto"/>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综上所述，“江西省职教高考服务平台”项目精准响应了政策与市场的双重召唤，规划路径清晰，商业模式稳健可靠。项目独创的“赋能教师”与“成就学生”双中心设计，直击职教高考备考的核心环节，社会效益与经济效益显著。财务预测充分说明，在经历一个必要的战略验证与市场培育期后，项目将迅速实现盈利并带来丰厚回报。该项目不仅是服务江西职教事业发展的创新工程，更是我社面向未来布局、实现可持续高质量发展的关键战略投资。</w:t>
      </w:r>
    </w:p>
    <w:p w14:paraId="285D5FB8">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default" w:ascii="仿宋" w:hAnsi="仿宋" w:eastAsia="仿宋" w:cs="仿宋"/>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公文小标宋">
    <w:panose1 w:val="02000500000000000000"/>
    <w:charset w:val="86"/>
    <w:family w:val="auto"/>
    <w:pitch w:val="default"/>
    <w:sig w:usb0="A00002BF" w:usb1="38CF7CFA" w:usb2="00000016" w:usb3="00000000" w:csb0="00040001" w:csb1="00000000"/>
    <w:embedRegular r:id="rId1" w:fontKey="{E82E26F6-A1FC-4897-BB78-C717A375EF59}"/>
  </w:font>
  <w:font w:name="仿宋">
    <w:panose1 w:val="02010609060101010101"/>
    <w:charset w:val="86"/>
    <w:family w:val="auto"/>
    <w:pitch w:val="default"/>
    <w:sig w:usb0="800002BF" w:usb1="38CF7CFA" w:usb2="00000016" w:usb3="00000000" w:csb0="00040001" w:csb1="00000000"/>
    <w:embedRegular r:id="rId2" w:fontKey="{FC0FEB65-0D3A-441F-9717-AA0575F8B535}"/>
  </w:font>
  <w:font w:name="Segoe UI">
    <w:panose1 w:val="020B0502040204020203"/>
    <w:charset w:val="00"/>
    <w:family w:val="auto"/>
    <w:pitch w:val="default"/>
    <w:sig w:usb0="E4002EFF" w:usb1="C000E47F" w:usb2="00000009" w:usb3="00000000" w:csb0="200001FF" w:csb1="00000000"/>
    <w:embedRegular r:id="rId3" w:fontKey="{87158CCC-A2B3-4A51-8044-5B8259147D2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860CA9"/>
    <w:multiLevelType w:val="singleLevel"/>
    <w:tmpl w:val="20860CA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6C7257"/>
    <w:rsid w:val="2960164D"/>
    <w:rsid w:val="3C2A6D1B"/>
    <w:rsid w:val="4B231D0B"/>
    <w:rsid w:val="4BAA5FB0"/>
    <w:rsid w:val="7E6C7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4367</Words>
  <Characters>4568</Characters>
  <Lines>0</Lines>
  <Paragraphs>0</Paragraphs>
  <TotalTime>42</TotalTime>
  <ScaleCrop>false</ScaleCrop>
  <LinksUpToDate>false</LinksUpToDate>
  <CharactersWithSpaces>4575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2026-01-28T01:20:00Z</dcterms:created>
  <dc:creator>暗地</dc:creator>
  <cp:lastModifiedBy>暗地</cp:lastModifiedBy>
  <dcterms:modified xsi:type="dcterms:W3CDTF">2026-01-28T07:12:11Z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3DAA5252559440AEA0E7331AA40E5852_13</vt:lpwstr>
  </property>
  <property fmtid="{D5CDD505-2E9C-101B-9397-08002B2CF9AE}" pid="4" name="KSOTemplateDocerSaveRecord">
    <vt:lpwstr>eyJoZGlkIjoiNTBmNTZjZTg3N2I0ZjI0YmI5ZTlmZTFkNjY3NjU2NmUiLCJ1c2VySWQiOiI0NDIxMDA3ODEifQ==</vt:lpwstr>
  </property>
</Properties>
</file>