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spacing w:line="360" w:lineRule="auto"/>
        <w:ind w:hanging="0" w:left="0" w:right="-5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0" w:left="0" w:right="-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Заявка на конкурс «2»</w:t>
      </w:r>
    </w:p>
    <w:p>
      <w:pPr>
        <w:pStyle w:val="style0"/>
        <w:spacing w:line="360" w:lineRule="auto"/>
        <w:ind w:hanging="0" w:left="0" w:right="-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Борзых Дмитрий Александрович; Демешев Борис Борисович</w:t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hyperlink r:id="rId2">
        <w:r>
          <w:rPr>
            <w:rStyle w:val="style23"/>
            <w:sz w:val="24"/>
            <w:szCs w:val="24"/>
          </w:rPr>
          <w:t>borzykh.dmitriy@gmail.com</w:t>
        </w:r>
      </w:hyperlink>
      <w:r>
        <w:rPr>
          <w:sz w:val="24"/>
          <w:szCs w:val="24"/>
        </w:rPr>
        <w:t xml:space="preserve">; </w:t>
      </w:r>
      <w:hyperlink r:id="rId3">
        <w:r>
          <w:rPr>
            <w:rStyle w:val="style23"/>
            <w:sz w:val="24"/>
            <w:szCs w:val="24"/>
          </w:rPr>
          <w:t>bdemeshev@hse.ru</w:t>
        </w:r>
      </w:hyperlink>
      <w:r>
        <w:rPr>
          <w:sz w:val="24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ВШЭ, департамент прикладной экономики, кафедра математической экономики и эконометрики (Борзых – 7 лет, Демешев – 13 лет)</w:t>
      </w:r>
    </w:p>
    <w:p>
      <w:pPr>
        <w:pStyle w:val="style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Борзых – баклавриват, магистратура факультет экономики ВШЭ, Демешев –  баклавриват, магистратура факультет экономики ВШЭ, Летняя Школа Университета Эссекса, Великобритания, «Иерархические модели»</w:t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Борзых – стохастический анализ, стохастический анализ в финансах, Демешев – стохастический анализ.</w:t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1. Борзых Д. А. Численное сравнение метода максимального квазиправдоподобия и симуляционного метода моментов для модели со стохастической волатильностью // В кн.: Сборник статей аспирантов — 2012 [Электронный ресурс] / Нац.исслед. ун-т «Высшая школа экономики», ф-т экономики / Науч. ред.: К. А. Букин. М. : Издательский дом НИУ ВШЭ, 2013. С. 4-18.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2. Борзых Д. А., Шоломицкий А. Г. Модель жизненного цикла с «близоруким» принятием решений // Экономический журнал Высшей школы экономики. 2011. Т. 15. № 3. С. 383-398. 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ab/>
        <w:t>3. Борзых Д., Демешев Б., Эконометрика в задачах и упражнениях, 2014, URSS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Стохастический анализ</w:t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Целевая аудитория (программа, специализация, курс):</w:t>
      </w:r>
    </w:p>
    <w:p>
      <w:pPr>
        <w:pStyle w:val="style0"/>
        <w:numPr>
          <w:ilvl w:val="0"/>
          <w:numId w:val="2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Стохастический анализ (Бакалавриат; где читается: Факультет экономики; 2-й курс, 1-3 модуль)</w:t>
      </w:r>
    </w:p>
    <w:p>
      <w:pPr>
        <w:pStyle w:val="style0"/>
        <w:numPr>
          <w:ilvl w:val="0"/>
          <w:numId w:val="2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Стохастический анализ (Бакалавриат; где читается: Отделение статистики, анализа данных и демографии; 2-й курс, 1-3 модуль)</w:t>
      </w:r>
    </w:p>
    <w:p>
      <w:pPr>
        <w:pStyle w:val="style0"/>
        <w:numPr>
          <w:ilvl w:val="0"/>
          <w:numId w:val="2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Стохастический анализ в финансах (Магистратура; где читается: Факультет экономики; программа "Фондовый рынок и инвестиции"; 1-й курс, 3 модуль)</w:t>
      </w:r>
    </w:p>
    <w:p>
      <w:pPr>
        <w:pStyle w:val="style0"/>
        <w:numPr>
          <w:ilvl w:val="0"/>
          <w:numId w:val="2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Стохастический анализ в финансах (Магистратура; где читается: Факультет экономики; программа "Финансы"; 1-й курс, 3 модуль)</w:t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Место курса в программе обучения и требования к студентам:</w:t>
      </w:r>
    </w:p>
    <w:p>
      <w:pPr>
        <w:pStyle w:val="style0"/>
        <w:numPr>
          <w:ilvl w:val="0"/>
          <w:numId w:val="3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Курс стохастического анализа позволяет более глубоко понять математические основы теории вероятностей и случайных процессов.</w:t>
      </w:r>
    </w:p>
    <w:p>
      <w:pPr>
        <w:pStyle w:val="style0"/>
        <w:numPr>
          <w:ilvl w:val="0"/>
          <w:numId w:val="3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Курс стохастического анализа помогает при освоении таких дисциплин как теория вероятностей, анализ временных рядов (модели с условной гетероскедастичностью) и финансовая математика.</w:t>
      </w:r>
    </w:p>
    <w:p>
      <w:pPr>
        <w:pStyle w:val="style0"/>
        <w:numPr>
          <w:ilvl w:val="0"/>
          <w:numId w:val="3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В результате обучения студенты должны освоить следующие темы.</w:t>
      </w:r>
    </w:p>
    <w:p>
      <w:pPr>
        <w:pStyle w:val="style0"/>
        <w:numPr>
          <w:ilvl w:val="0"/>
          <w:numId w:val="3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  <w:lang w:val="en-US"/>
        </w:rPr>
      </w:pPr>
      <w:r>
        <w:rPr>
          <w:sz w:val="24"/>
          <w:szCs w:val="24"/>
          <w:shd w:fill="FFFFFF" w:val="clear"/>
        </w:rPr>
        <w:t xml:space="preserve">По курсу </w:t>
      </w:r>
      <w:r>
        <w:rPr>
          <w:sz w:val="24"/>
          <w:szCs w:val="24"/>
          <w:shd w:fill="FFFFFF" w:val="clear"/>
          <w:lang w:val="en-US"/>
        </w:rPr>
        <w:t>“</w:t>
      </w:r>
      <w:r>
        <w:rPr>
          <w:sz w:val="24"/>
          <w:szCs w:val="24"/>
          <w:shd w:fill="FFFFFF" w:val="clear"/>
        </w:rPr>
        <w:t>Стохастический анализ</w:t>
      </w:r>
      <w:r>
        <w:rPr>
          <w:sz w:val="24"/>
          <w:szCs w:val="24"/>
          <w:shd w:fill="FFFFFF" w:val="clear"/>
          <w:lang w:val="en-US"/>
        </w:rPr>
        <w:t>”:</w:t>
      </w:r>
    </w:p>
    <w:p>
      <w:pPr>
        <w:pStyle w:val="style0"/>
        <w:spacing w:line="360" w:lineRule="auto"/>
        <w:ind w:hanging="0" w:left="0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546"/>
        <w:gridCol w:w="1546"/>
        <w:gridCol w:w="1547"/>
        <w:gridCol w:w="1546"/>
        <w:gridCol w:w="3093"/>
      </w:tblGrid>
      <w:tr>
        <w:trPr>
          <w:cantSplit w:val="tru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1"/>
              <w:spacing w:after="120" w:before="240" w:line="360" w:lineRule="auto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темы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ind w:hanging="0" w:left="105"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часов по дисциплине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1"/>
              <w:spacing w:after="120" w:before="240" w:line="360" w:lineRule="auto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Аудиторные часы</w:t>
            </w:r>
          </w:p>
        </w:tc>
        <w:tc>
          <w:tcPr>
            <w:tcW w:type="dxa" w:w="3093"/>
            <w:gridSpan w:val="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ind w:hanging="0" w:left="105"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</w:t>
            </w:r>
          </w:p>
        </w:tc>
      </w:tr>
      <w:tr>
        <w:trPr>
          <w:cantSplit w:val="true"/>
        </w:trPr>
        <w:tc>
          <w:tcPr>
            <w:tcW w:type="dxa" w:w="154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ind w:hanging="0" w:left="105"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семинары</w:t>
            </w:r>
          </w:p>
        </w:tc>
        <w:tc>
          <w:tcPr>
            <w:tcW w:type="dxa" w:w="154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ind w:hanging="0" w:left="105"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Основания теории вероятностей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Измеримые пространства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Случайные величины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1.3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Интеграл Лебега как математическое ожидание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Декартово произведение мер и связь с интегралом Римана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1.5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Независимость случайных величин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1.6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Виды сходимостей случайных величин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Мартингалы в дискретном времени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Простейшие свойства случайного блуждания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Условное ожидание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2.3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Понятие мартингала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Мартингальное преобразование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2.5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Сходимость мартингалов и мартингальные неравенства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3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Интеграл Ито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Броуновское движение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Определение стохастического интеграла и его свойства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3.3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Модель Блэка-Шоулза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</w:t>
            </w:r>
          </w:p>
        </w:tc>
      </w:tr>
    </w:tbl>
    <w:p>
      <w:pPr>
        <w:pStyle w:val="style0"/>
        <w:numPr>
          <w:ilvl w:val="0"/>
          <w:numId w:val="3"/>
        </w:numPr>
        <w:spacing w:line="360" w:lineRule="auto"/>
        <w:ind w:hanging="360" w:left="1428" w:right="-5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По курсу “Стохастический анализ в финансах”: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546"/>
        <w:gridCol w:w="1546"/>
        <w:gridCol w:w="1547"/>
        <w:gridCol w:w="1546"/>
        <w:gridCol w:w="3093"/>
      </w:tblGrid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темы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Аудиторные часы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type="dxa" w:w="30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часов по дисциплине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Семинары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Математические основания теории вероятностей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bookmarkStart w:id="0" w:name="_Hlk356169318"/>
            <w:bookmarkEnd w:id="0"/>
            <w:r>
              <w:rPr>
                <w:sz w:val="24"/>
                <w:szCs w:val="24"/>
              </w:rPr>
              <w:t>Тема 1.1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Алгебры и сигма-алгебры подмножеств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Случайные величины как измеримые функции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1.3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Борелевская сигма-алгебра, борелевские множества и функции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 и вероятность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1.5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Математическое ожидание как интеграл Лебега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1.6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Независимость событий, сигма-алгебр, случайных величин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1.7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Условное математическое ожидание случайной величины относительно события, относительно сигма-алгебры, относительно другой случайной величины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Введение в стохастический анализ: дискретное время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мартингалов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Момент остановки и соответствующий мартингал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2.3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мартингалов  к случайным блужданиям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3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Приложения стохастического анализа к задачам финансовой математики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Биномиальная модель для расчета справедливой цены европейского опциона. Вывод формулы Кокса-Росса-Рубинштейна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20" w:line="360" w:lineRule="auto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3.2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формулы Блэка-Шоулза из формулы Кокса-Росса-Рубинштейна предельным переходом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</w:rPr>
            </w:pPr>
            <w:bookmarkStart w:id="1" w:name="_Hlk3561693181"/>
            <w:bookmarkStart w:id="2" w:name="_Hlk3561693181"/>
            <w:bookmarkEnd w:id="2"/>
            <w:r>
              <w:rPr>
                <w:sz w:val="24"/>
                <w:szCs w:val="24"/>
              </w:rPr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Итого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type="dxa" w:w="15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type="dxa" w:w="15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96</w:t>
            </w:r>
          </w:p>
        </w:tc>
      </w:tr>
    </w:tbl>
    <w:p>
      <w:pPr>
        <w:pStyle w:val="style0"/>
        <w:spacing w:line="360" w:lineRule="auto"/>
        <w:ind w:hanging="0" w:left="0" w:right="-5"/>
        <w:jc w:val="both"/>
        <w:rPr>
          <w:sz w:val="24"/>
          <w:szCs w:val="24"/>
          <w:shd w:fill="FF6600" w:val="clear"/>
        </w:rPr>
      </w:pPr>
      <w:r>
        <w:rPr>
          <w:sz w:val="24"/>
          <w:szCs w:val="24"/>
          <w:shd w:fill="FF6600" w:val="clear"/>
        </w:rPr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настоящее время полностью отсутствуют на русском языке сборники задач по стохастическому анализу. Решение задач является неотъемлемой частью любого качественного математического курса. </w:t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План-проспект пособия 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Сигма-алгебры и измеримость функций – 10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Мера – 10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Интеграл Лебега – 10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Виды сходимостей – 10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Характеристические функции – 10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Условное ожидание – 20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Приемы решения задач – 10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Мартингалы – 20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Броуновское движение – 20 стр. 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Интеграл Ито – 20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Стохастические дифференциальные уравнения 20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Модель Блэка-Шоулса – 10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Компьютерное моделирование – 10 стр.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Разделение авторства 50% на 50%. По темам разделение авторства крайне затруднено, поскольку мы оба пишем задачи по всем темам.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Литература:</w:t>
      </w:r>
    </w:p>
    <w:p>
      <w:pPr>
        <w:pStyle w:val="style0"/>
        <w:spacing w:line="360" w:lineRule="auto"/>
        <w:ind w:hanging="0" w:left="0" w:righ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Wilde, Measure, Integration and Probability. http://www.mth.kcl.ac.uk/~iwilde/notes/mip/index.html</w:t>
      </w:r>
    </w:p>
    <w:p>
      <w:pPr>
        <w:pStyle w:val="style0"/>
        <w:spacing w:after="60" w:before="240" w:line="360" w:lineRule="auto"/>
        <w:ind w:hanging="0" w:left="0" w:right="0"/>
        <w:contextualSpacing w:val="fals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Wilde, Stochastic Calculus. http://www.mth.kcl.ac.uk/~iwilde/notes/sa/index.html</w:t>
      </w:r>
    </w:p>
    <w:p>
      <w:pPr>
        <w:pStyle w:val="style0"/>
        <w:spacing w:after="0" w:before="100" w:line="360" w:lineRule="auto"/>
        <w:contextualSpacing w:val="fals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Jeffrey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Rosenthal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(2007), A first look at rigorous probability, World Scientific Publishing Co</w:t>
      </w:r>
    </w:p>
    <w:p>
      <w:pPr>
        <w:pStyle w:val="style0"/>
        <w:spacing w:after="0" w:before="100" w:line="360" w:lineRule="auto"/>
        <w:contextualSpacing w:val="fals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Brzezniak, Zastawniak, (2006), Basic Stochastic Processes, Spinger</w:t>
      </w:r>
    </w:p>
    <w:p>
      <w:pPr>
        <w:pStyle w:val="style0"/>
        <w:spacing w:after="0" w:before="100" w:line="360" w:lineRule="auto"/>
        <w:contextualSpacing w:val="fals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Fima C. Klebaner, (2006),  Introduction to stochastic calculus with applications, Imperial College Press</w:t>
      </w:r>
    </w:p>
    <w:p>
      <w:pPr>
        <w:pStyle w:val="style0"/>
        <w:spacing w:after="0" w:before="100" w:line="360" w:lineRule="auto"/>
        <w:contextualSpacing w:val="fals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Michael Steele, (2001), Stochastic Calculus and Financial Applications, Springer</w:t>
      </w:r>
    </w:p>
    <w:p>
      <w:pPr>
        <w:pStyle w:val="style0"/>
        <w:spacing w:after="0" w:before="100" w:line="360" w:lineRule="auto"/>
        <w:ind w:hanging="0" w:left="0" w:right="0"/>
        <w:contextualSpacing w:val="fals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David Williams, (1991), Probability with Martingales, Cambridge University Press</w:t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  <w:t>Текущие наработки по задачнику (60 страниц задач и решений из разных глав) приложены отдельным файлом, также доступны по ссылке</w:t>
      </w:r>
    </w:p>
    <w:p>
      <w:pPr>
        <w:pStyle w:val="style0"/>
        <w:spacing w:line="360" w:lineRule="auto"/>
        <w:ind w:hanging="360" w:left="720" w:right="-5"/>
        <w:jc w:val="both"/>
        <w:rPr>
          <w:rStyle w:val="style23"/>
          <w:sz w:val="24"/>
          <w:szCs w:val="24"/>
        </w:rPr>
      </w:pPr>
      <w:hyperlink r:id="rId4">
        <w:r>
          <w:rPr>
            <w:rStyle w:val="style23"/>
            <w:sz w:val="24"/>
            <w:szCs w:val="24"/>
          </w:rPr>
          <w:t>http://goo.gl/pJXopF</w:t>
        </w:r>
      </w:hyperlink>
    </w:p>
    <w:p>
      <w:pPr>
        <w:pStyle w:val="style0"/>
        <w:spacing w:line="360" w:lineRule="auto"/>
        <w:ind w:hanging="360" w:left="72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0" w:left="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0" w:left="0" w:right="-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Просим принять данную заявку на конкурс грантов факультета экономики 2014 г. </w:t>
      </w:r>
    </w:p>
    <w:p>
      <w:pPr>
        <w:pStyle w:val="style0"/>
        <w:spacing w:line="360" w:lineRule="auto"/>
        <w:ind w:hanging="0" w:left="0" w:right="-5"/>
        <w:jc w:val="both"/>
        <w:rPr>
          <w:sz w:val="24"/>
          <w:szCs w:val="24"/>
        </w:rPr>
      </w:pPr>
      <w:r>
        <w:rPr>
          <w:sz w:val="24"/>
          <w:szCs w:val="24"/>
        </w:rPr>
        <w:t>С условиями конкурса, правилами и порядком выполнения научно-исследовательской работы ознакомлены. С размещением в открытом доступе на сайте факультета отчета и списка публикаций по проекту согласны.</w:t>
      </w:r>
    </w:p>
    <w:p>
      <w:pPr>
        <w:pStyle w:val="style0"/>
        <w:spacing w:line="360" w:lineRule="auto"/>
        <w:ind w:hanging="0" w:left="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0" w:left="0" w:right="-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0" w:left="0" w:right="-5"/>
        <w:jc w:val="right"/>
        <w:rPr>
          <w:sz w:val="24"/>
          <w:szCs w:val="24"/>
        </w:rPr>
      </w:pPr>
      <w:r>
        <w:rPr>
          <w:sz w:val="24"/>
          <w:szCs w:val="24"/>
        </w:rPr>
        <w:t>29 марта 2014</w:t>
      </w:r>
    </w:p>
    <w:p>
      <w:pPr>
        <w:pStyle w:val="style0"/>
        <w:spacing w:line="360" w:lineRule="auto"/>
        <w:ind w:hanging="0" w:left="0" w:right="-5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_____________________Борзых Дмитрий</w:t>
      </w:r>
    </w:p>
    <w:p>
      <w:pPr>
        <w:pStyle w:val="style0"/>
        <w:spacing w:line="360" w:lineRule="auto"/>
        <w:ind w:hanging="0" w:left="0" w:right="-5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_______________________Демешев Борис</w:t>
      </w:r>
    </w:p>
    <w:p>
      <w:pPr>
        <w:pStyle w:val="style0"/>
        <w:spacing w:line="360" w:lineRule="auto"/>
        <w:ind w:hanging="0" w:left="0" w:right="-5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ind w:hanging="0" w:left="0" w:right="-5"/>
        <w:jc w:val="right"/>
        <w:rPr/>
      </w:pPr>
      <w:r>
        <w:rPr/>
      </w:r>
    </w:p>
    <w:sectPr>
      <w:type w:val="nextPage"/>
      <w:pgSz w:h="16838" w:w="11906"/>
      <w:pgMar w:bottom="899" w:footer="0" w:gutter="0" w:header="0" w:left="1701" w:right="926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ru-RU" w:val="ru-RU"/>
    </w:rPr>
  </w:style>
  <w:style w:styleId="style1" w:type="paragraph">
    <w:name w:val="Heading 1"/>
    <w:basedOn w:val="style34"/>
    <w:next w:val="style1"/>
    <w:pPr/>
    <w:rPr/>
  </w:style>
  <w:style w:styleId="style2" w:type="paragraph">
    <w:name w:val="Heading 2"/>
    <w:basedOn w:val="style0"/>
    <w:next w:val="style2"/>
    <w:pPr>
      <w:keepNext/>
      <w:jc w:val="center"/>
    </w:pPr>
    <w:rPr>
      <w:b/>
      <w:szCs w:val="20"/>
    </w:rPr>
  </w:style>
  <w:style w:styleId="style3" w:type="paragraph">
    <w:name w:val="Heading 3"/>
    <w:basedOn w:val="style0"/>
    <w:next w:val="style3"/>
    <w:pPr>
      <w:keepNext/>
      <w:jc w:val="both"/>
    </w:pPr>
    <w:rPr>
      <w:szCs w:val="20"/>
      <w:u w:val="single"/>
      <w:lang w:val="en-US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sz w:val="32"/>
      <w:szCs w:val="32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i/>
      <w:iCs/>
      <w:sz w:val="28"/>
      <w:szCs w:val="28"/>
    </w:rPr>
  </w:style>
  <w:style w:styleId="style18" w:type="character">
    <w:name w:val="Heading 3 Char"/>
    <w:basedOn w:val="style15"/>
    <w:next w:val="style18"/>
    <w:rPr>
      <w:rFonts w:ascii="Cambria" w:cs="" w:hAnsi="Cambria"/>
      <w:b/>
      <w:bCs/>
      <w:sz w:val="26"/>
      <w:szCs w:val="26"/>
    </w:rPr>
  </w:style>
  <w:style w:styleId="style19" w:type="character">
    <w:name w:val="annotation reference"/>
    <w:basedOn w:val="style15"/>
    <w:next w:val="style19"/>
    <w:rPr>
      <w:rFonts w:cs="Times New Roman"/>
      <w:sz w:val="16"/>
      <w:szCs w:val="16"/>
    </w:rPr>
  </w:style>
  <w:style w:styleId="style20" w:type="character">
    <w:name w:val="Текст примечания Знак"/>
    <w:basedOn w:val="style15"/>
    <w:next w:val="style20"/>
    <w:rPr>
      <w:rFonts w:cs="Times New Roman"/>
    </w:rPr>
  </w:style>
  <w:style w:styleId="style21" w:type="character">
    <w:name w:val="Тема примечания Знак"/>
    <w:basedOn w:val="style20"/>
    <w:next w:val="style21"/>
    <w:rPr>
      <w:b/>
      <w:bCs/>
    </w:rPr>
  </w:style>
  <w:style w:styleId="style22" w:type="character">
    <w:name w:val="Текст выноски Знак"/>
    <w:basedOn w:val="style15"/>
    <w:next w:val="style22"/>
    <w:rPr>
      <w:rFonts w:ascii="Segoe UI" w:cs="Segoe UI" w:hAnsi="Segoe UI"/>
      <w:sz w:val="18"/>
      <w:szCs w:val="18"/>
    </w:rPr>
  </w:style>
  <w:style w:styleId="style23" w:type="character">
    <w:name w:val="Internet Link"/>
    <w:basedOn w:val="style15"/>
    <w:next w:val="style23"/>
    <w:rPr>
      <w:rFonts w:cs="Times New Roman"/>
      <w:color w:val="0000FF"/>
      <w:u w:val="single"/>
      <w:lang w:bidi="zxx-" w:eastAsia="zxx-" w:val="zxx-"/>
    </w:rPr>
  </w:style>
  <w:style w:styleId="style24" w:type="character">
    <w:name w:val="ListLabel 1"/>
    <w:next w:val="style24"/>
    <w:rPr>
      <w:color w:val="00000A"/>
      <w:sz w:val="24"/>
    </w:rPr>
  </w:style>
  <w:style w:styleId="style25" w:type="character">
    <w:name w:val="ListLabel 2"/>
    <w:next w:val="style25"/>
    <w:rPr/>
  </w:style>
  <w:style w:styleId="style26" w:type="character">
    <w:name w:val="Comment Text Char"/>
    <w:basedOn w:val="style15"/>
    <w:next w:val="style26"/>
    <w:rPr>
      <w:rFonts w:ascii="Times New Roman" w:hAnsi="Times New Roman"/>
      <w:sz w:val="20"/>
      <w:szCs w:val="20"/>
    </w:rPr>
  </w:style>
  <w:style w:styleId="style27" w:type="character">
    <w:name w:val="Comment Subject Char"/>
    <w:basedOn w:val="style26"/>
    <w:next w:val="style27"/>
    <w:rPr>
      <w:b/>
      <w:bCs/>
    </w:rPr>
  </w:style>
  <w:style w:styleId="style28" w:type="character">
    <w:name w:val="Balloon Text Char"/>
    <w:basedOn w:val="style15"/>
    <w:next w:val="style28"/>
    <w:rPr>
      <w:rFonts w:ascii="Times New Roman" w:hAnsi="Times New Roman"/>
      <w:sz w:val="0"/>
      <w:szCs w:val="0"/>
    </w:rPr>
  </w:style>
  <w:style w:styleId="style29" w:type="character">
    <w:name w:val="ListLabel 3"/>
    <w:next w:val="style29"/>
    <w:rPr>
      <w:rFonts w:cs="Times New Roman"/>
    </w:rPr>
  </w:style>
  <w:style w:styleId="style30" w:type="character">
    <w:name w:val="ListLabel 4"/>
    <w:next w:val="style30"/>
    <w:rPr>
      <w:rFonts w:cs="Times New Roman"/>
      <w:color w:val="00000A"/>
      <w:sz w:val="24"/>
    </w:rPr>
  </w:style>
  <w:style w:styleId="style31" w:type="character">
    <w:name w:val="ListLabel 5"/>
    <w:next w:val="style31"/>
    <w:rPr>
      <w:rFonts w:cs="Symbol"/>
    </w:rPr>
  </w:style>
  <w:style w:styleId="style32" w:type="character">
    <w:name w:val="ListLabel 6"/>
    <w:next w:val="style32"/>
    <w:rPr>
      <w:rFonts w:cs="Courier New"/>
    </w:rPr>
  </w:style>
  <w:style w:styleId="style33" w:type="character">
    <w:name w:val="ListLabel 7"/>
    <w:next w:val="style33"/>
    <w:rPr>
      <w:rFonts w:cs="Wingdings"/>
    </w:rPr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 w:line="360" w:lineRule="auto"/>
      <w:contextualSpacing w:val="false"/>
      <w:jc w:val="both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i/>
      <w:iCs/>
    </w:rPr>
  </w:style>
  <w:style w:styleId="style40" w:type="paragraph">
    <w:name w:val="Text Body Indent"/>
    <w:basedOn w:val="style0"/>
    <w:next w:val="style40"/>
    <w:pPr>
      <w:spacing w:after="120" w:before="0"/>
      <w:ind w:hanging="0" w:left="283" w:right="0"/>
      <w:contextualSpacing w:val="false"/>
    </w:pPr>
    <w:rPr/>
  </w:style>
  <w:style w:styleId="style41" w:type="paragraph">
    <w:name w:val="annotation text"/>
    <w:basedOn w:val="style0"/>
    <w:next w:val="style41"/>
    <w:pPr/>
    <w:rPr>
      <w:sz w:val="20"/>
      <w:szCs w:val="20"/>
    </w:rPr>
  </w:style>
  <w:style w:styleId="style42" w:type="paragraph">
    <w:name w:val="annotation subject"/>
    <w:basedOn w:val="style41"/>
    <w:next w:val="style42"/>
    <w:pPr/>
    <w:rPr>
      <w:b/>
      <w:bCs/>
    </w:rPr>
  </w:style>
  <w:style w:styleId="style43" w:type="paragraph">
    <w:name w:val="Balloon Text"/>
    <w:basedOn w:val="style0"/>
    <w:next w:val="style43"/>
    <w:pPr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orzykh.dmitriy@gmail.com" TargetMode="External"/><Relationship Id="rId3" Type="http://schemas.openxmlformats.org/officeDocument/2006/relationships/hyperlink" Target="mailto:bdemeshev@hse.ru" TargetMode="External"/><Relationship Id="rId4" Type="http://schemas.openxmlformats.org/officeDocument/2006/relationships/hyperlink" Target="http://goo.gl/pJXop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Application>LibreOffice/4.1.3.2$MacOSX_x86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2014-03-05T12:50:00Z</dcterms:created>
  <dc:creator>User</dc:creator>
  <cp:lastModifiedBy>Dmitry</cp:lastModifiedBy>
  <dcterms:modified xsi:type="dcterms:W3CDTF">2014-03-28T08:57:00Z</dcterms:modified>
  <cp:revision>9</cp:revision>
  <dc:title>УТВЕРЖДЕНО</dc:title>
</cp:coreProperties>
</file>