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b w:val="1"/>
          <w:u w:val="single"/>
        </w:rPr>
      </w:pPr>
      <w:bookmarkStart w:colFirst="0" w:colLast="0" w:name="_c1slq88ino8t" w:id="0"/>
      <w:bookmarkEnd w:id="0"/>
      <w:r w:rsidDel="00000000" w:rsidR="00000000" w:rsidRPr="00000000">
        <w:rPr>
          <w:b w:val="1"/>
          <w:u w:val="single"/>
          <w:rtl w:val="0"/>
        </w:rPr>
        <w:t xml:space="preserve">IE 434-Deep Learning: Math/Appl.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Deep Dive 4: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Tian Sun (tiansun2)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Parkar (mparkar2)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Zhicheng Tang (zt17)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Burzin Wadla (bwadia2)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project is based on the dataset provided by the Department of Buildings (DOB) for the City of New York [1]. The data file is about 1.41 GB and is updated daily. It has 60 columns and about 4 million rows. It records all the information that is related to the permit application for construction and demolition activities in New York City. The data type includes numeric, categorical,time-based, textual classes. From the information in the column descriptions, our project scope might include performing exploratory data analysis to find interesting results, predicting the time it will take for a permit to be issued, and predicting whether the application is approved.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DOB Permit Issuance | NYC Open Data (cityofnewyork.us)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Copyright 2023 Tian Sun, Mandar Parkar, Zhicheng Tang, Burzin Wadla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limitations under the License.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ityofnewyork.us/Housing-Development/DOB-Permit-Issuance/ipu4-2q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