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b/>
          <w:bCs/>
          <w:color w:val="C2410C"/>
          <w:sz w:val="56"/>
          <w:szCs w:val="56"/>
        </w:rPr>
        <w:t xml:space="preserve">Red Pathway Logbook — User Manual</w:t>
      </w:r>
    </w:p>
    <w:p>
      <w:pPr>
        <w:spacing w:after="600"/>
        <w:jc w:val="center"/>
      </w:pPr>
      <w:r>
        <w:rPr>
          <w:i/>
          <w:iCs/>
          <w:color w:val="5B6B7A"/>
          <w:sz w:val="26"/>
          <w:szCs w:val="26"/>
        </w:rPr>
        <w:t xml:space="preserve">How to Use the Post-Graduation Supervised Hours Tracker</w:t>
      </w:r>
    </w:p>
    <w:p>
      <w:r>
        <w:br w:type="page"/>
      </w:r>
    </w:p>
    <w:p>
      <w:pPr>
        <w:pStyle w:val="Heading1"/>
        <w:pBdr>
          <w:bottom w:val="single" w:color="C2410C" w:sz="12" w:space="4"/>
        </w:pBdr>
        <w:spacing w:after="240" w:before="480"/>
      </w:pPr>
      <w:r>
        <w:rPr>
          <w:b/>
          <w:bCs/>
          <w:color w:val="111827"/>
          <w:sz w:val="34"/>
          <w:szCs w:val="34"/>
        </w:rPr>
        <w:t xml:space="preserve">Why This Tool Exists</w:t>
      </w:r>
    </w:p>
    <w:p>
      <w:pPr>
        <w:spacing w:after="160"/>
      </w:pPr>
      <w:r>
        <w:rPr>
          <w:sz w:val="21"/>
          <w:szCs w:val="21"/>
        </w:rPr>
        <w:t xml:space="preserve">Finishing the 12-week EV Diagnosis &amp; Repair program brings a graduate to solid Blue-level judgment and supervised Orange-level competence. It does not, by itself, grant Red-level (independent, live high-voltage) work authorization — that credential comes from your employer's own internal certification process, which typically requires a documented number of supervised hours first.</w:t>
      </w:r>
    </w:p>
    <w:p>
      <w:pPr>
        <w:spacing w:after="160"/>
      </w:pPr>
      <w:r>
        <w:rPr>
          <w:sz w:val="21"/>
          <w:szCs w:val="21"/>
        </w:rPr>
        <w:t xml:space="preserve">The Red Pathway Logbook is a simple, standalone tool for organizing exactly that evidence in one place, so it's ready when your employer asks for it.</w:t>
      </w:r>
    </w:p>
    <w:p>
      <w:pPr>
        <w:spacing w:after="140"/>
      </w:pPr>
      <w:r>
        <w:rPr>
          <w:b/>
          <w:bCs/>
          <w:color w:val="047857"/>
          <w:sz w:val="20"/>
          <w:szCs w:val="20"/>
        </w:rPr>
        <w:t xml:space="preserve">💡 This tool does not itself grant certification. It only organizes the record your employer's reviewer will actually look at.</w:t>
      </w:r>
    </w:p>
    <w:p>
      <w:pPr>
        <w:pStyle w:val="Heading1"/>
        <w:pBdr>
          <w:bottom w:val="single" w:color="C2410C" w:sz="12" w:space="4"/>
        </w:pBdr>
        <w:spacing w:after="240" w:before="480"/>
      </w:pPr>
      <w:r>
        <w:rPr>
          <w:b/>
          <w:bCs/>
          <w:color w:val="111827"/>
          <w:sz w:val="34"/>
          <w:szCs w:val="34"/>
        </w:rPr>
        <w:t xml:space="preserve">Who Should Use This</w:t>
      </w:r>
    </w:p>
    <w:p>
      <w:pPr>
        <w:pStyle w:val="ListParagraph"/>
        <w:numPr>
          <w:ilvl w:val="0"/>
          <w:numId w:val="2"/>
        </w:numPr>
        <w:spacing w:after="100"/>
      </w:pPr>
      <w:r>
        <w:rPr>
          <w:sz w:val="21"/>
          <w:szCs w:val="21"/>
        </w:rPr>
        <w:t xml:space="preserve">Graduates of the 12-week EV Diagnosis &amp; Repair program who have started (or are about to start) supervised live-HV work at their employer</w:t>
      </w:r>
    </w:p>
    <w:p>
      <w:pPr>
        <w:pStyle w:val="ListParagraph"/>
        <w:numPr>
          <w:ilvl w:val="0"/>
          <w:numId w:val="2"/>
        </w:numPr>
        <w:spacing w:after="100"/>
      </w:pPr>
      <w:r>
        <w:rPr>
          <w:sz w:val="21"/>
          <w:szCs w:val="21"/>
        </w:rPr>
        <w:t xml:space="preserve">Supervising senior technicians who need to sign off on a graduate's logged sessions</w:t>
      </w:r>
    </w:p>
    <w:p>
      <w:pPr>
        <w:pStyle w:val="Heading1"/>
        <w:pBdr>
          <w:bottom w:val="single" w:color="C2410C" w:sz="12" w:space="4"/>
        </w:pBdr>
        <w:spacing w:after="240" w:before="480"/>
      </w:pPr>
      <w:r>
        <w:rPr>
          <w:b/>
          <w:bCs/>
          <w:color w:val="111827"/>
          <w:sz w:val="34"/>
          <w:szCs w:val="34"/>
        </w:rPr>
        <w:t xml:space="preserve">Getting Started</w:t>
      </w:r>
    </w:p>
    <w:p>
      <w:pPr>
        <w:pStyle w:val="ListParagraph"/>
        <w:numPr>
          <w:ilvl w:val="0"/>
          <w:numId w:val="2"/>
        </w:numPr>
        <w:spacing w:after="100"/>
      </w:pPr>
      <w:r>
        <w:rPr>
          <w:sz w:val="21"/>
          <w:szCs w:val="21"/>
        </w:rPr>
        <w:t xml:space="preserve">Open red-pathway-logbook.html in any web browser — no install, no account, no internet connection required after the page loads</w:t>
      </w:r>
    </w:p>
    <w:p>
      <w:pPr>
        <w:pStyle w:val="ListParagraph"/>
        <w:numPr>
          <w:ilvl w:val="0"/>
          <w:numId w:val="2"/>
        </w:numPr>
        <w:spacing w:after="100"/>
      </w:pPr>
      <w:r>
        <w:rPr>
          <w:sz w:val="21"/>
          <w:szCs w:val="21"/>
        </w:rPr>
        <w:t xml:space="preserve">Each graduate should use their own copy on their own device — data is stored locally in that browser only, not on a shared server</w:t>
      </w:r>
    </w:p>
    <w:p>
      <w:pPr>
        <w:pStyle w:val="ListParagraph"/>
        <w:numPr>
          <w:ilvl w:val="0"/>
          <w:numId w:val="2"/>
        </w:numPr>
        <w:spacing w:after="100"/>
      </w:pPr>
      <w:r>
        <w:rPr>
          <w:sz w:val="21"/>
          <w:szCs w:val="21"/>
        </w:rPr>
        <w:t xml:space="preserve">Nothing is deleted automatically; your logged entries stay in the browser until you clear them yourself</w:t>
      </w:r>
    </w:p>
    <w:p>
      <w:pPr>
        <w:pStyle w:val="Heading1"/>
        <w:pBdr>
          <w:bottom w:val="single" w:color="C2410C" w:sz="12" w:space="4"/>
        </w:pBdr>
        <w:spacing w:after="240" w:before="480"/>
      </w:pPr>
      <w:r>
        <w:rPr>
          <w:b/>
          <w:bCs/>
          <w:color w:val="111827"/>
          <w:sz w:val="34"/>
          <w:szCs w:val="34"/>
        </w:rPr>
        <w:t xml:space="preserve">Step 1 — Set Your Target Hours</w:t>
      </w:r>
    </w:p>
    <w:p>
      <w:pPr>
        <w:spacing w:after="160"/>
      </w:pPr>
      <w:r>
        <w:rPr>
          <w:sz w:val="21"/>
          <w:szCs w:val="21"/>
        </w:rPr>
        <w:t xml:space="preserve">The tool opens with a default placeholder of 200 hours. This number is NOT confirmed — before relying on it, ask your employer's certification office for their actual required hour count and enter it in the "Target Hours" field, then click Save.</w:t>
      </w:r>
    </w:p>
    <w:p>
      <w:pPr>
        <w:spacing w:after="140"/>
      </w:pPr>
      <w:r>
        <w:rPr>
          <w:b/>
          <w:bCs/>
          <w:color w:val="047857"/>
          <w:sz w:val="20"/>
          <w:szCs w:val="20"/>
        </w:rPr>
        <w:t xml:space="preserve">💡 Different brands and even different regions within the same brand may require different hour counts. Always confirm with your specific employer, not with this tool.</w:t>
      </w:r>
    </w:p>
    <w:p>
      <w:pPr>
        <w:pStyle w:val="Heading1"/>
        <w:pBdr>
          <w:bottom w:val="single" w:color="C2410C" w:sz="12" w:space="4"/>
        </w:pBdr>
        <w:spacing w:after="240" w:before="480"/>
      </w:pPr>
      <w:r>
        <w:rPr>
          <w:b/>
          <w:bCs/>
          <w:color w:val="111827"/>
          <w:sz w:val="34"/>
          <w:szCs w:val="34"/>
        </w:rPr>
        <w:t xml:space="preserve">Step 2 — Log Every Supervised Session</w:t>
      </w:r>
    </w:p>
    <w:p>
      <w:pPr>
        <w:spacing w:after="160"/>
      </w:pPr>
      <w:r>
        <w:rPr>
          <w:sz w:val="21"/>
          <w:szCs w:val="21"/>
        </w:rPr>
        <w:t xml:space="preserve">Right after a supervised live-HV session, fill in the "Log a New Session" 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50"/>
      </w:tblGrid>
      <w:tr>
        <w:trPr>
          <w:tblHeader/>
        </w:trPr>
        <w:tc>
          <w:tcPr>
            <w:tcW w:type="dxa" w:w="2200"/>
            <w:shd w:fill="C2410C" w:val="clear"/>
          </w:tcPr>
          <w:p>
            <w:r>
              <w:rPr>
                <w:b/>
                <w:bCs/>
                <w:color w:val="FFFFFF"/>
                <w:sz w:val="19"/>
                <w:szCs w:val="19"/>
              </w:rPr>
              <w:t xml:space="preserve">Field</w:t>
            </w:r>
          </w:p>
        </w:tc>
        <w:tc>
          <w:tcPr>
            <w:tcW w:type="dxa" w:w="2400"/>
            <w:shd w:fill="C2410C" w:val="clear"/>
          </w:tcPr>
          <w:p>
            <w:r>
              <w:rPr>
                <w:b/>
                <w:bCs/>
                <w:color w:val="FFFFFF"/>
                <w:sz w:val="19"/>
                <w:szCs w:val="19"/>
              </w:rPr>
              <w:t xml:space="preserve">What to enter</w:t>
            </w:r>
          </w:p>
        </w:tc>
      </w:tr>
      <w:tr>
        <w:tc>
          <w:tcPr>
            <w:tcW w:type="dxa" w:w="2200"/>
            <w:shd w:fill="FFF1E6" w:val="clear"/>
          </w:tcPr>
          <w:p>
            <w:r>
              <w:rPr>
                <w:b/>
                <w:bCs/>
                <w:sz w:val="19"/>
                <w:szCs w:val="19"/>
              </w:rPr>
              <w:t xml:space="preserve">Date</w:t>
            </w:r>
          </w:p>
        </w:tc>
        <w:tc>
          <w:tcPr>
            <w:tcW w:type="dxa" w:w="2400"/>
            <w:shd w:fill="FFFFFF" w:val="clear"/>
          </w:tcPr>
          <w:p>
            <w:r>
              <w:rPr>
                <w:b/>
                <w:bCs/>
                <w:sz w:val="19"/>
                <w:szCs w:val="19"/>
              </w:rPr>
              <w:t xml:space="preserve">The date of the session</w:t>
            </w:r>
          </w:p>
        </w:tc>
      </w:tr>
      <w:tr>
        <w:tc>
          <w:tcPr>
            <w:tcW w:type="dxa" w:w="2200"/>
            <w:shd w:fill="FFF1E6" w:val="clear"/>
          </w:tcPr>
          <w:p>
            <w:r>
              <w:rPr>
                <w:b/>
                <w:bCs/>
                <w:sz w:val="19"/>
                <w:szCs w:val="19"/>
              </w:rPr>
              <w:t xml:space="preserve">Hours</w:t>
            </w:r>
          </w:p>
        </w:tc>
        <w:tc>
          <w:tcPr>
            <w:tcW w:type="dxa" w:w="2400"/>
            <w:shd w:fill="FFFFFF" w:val="clear"/>
          </w:tcPr>
          <w:p>
            <w:r>
              <w:rPr>
                <w:b/>
                <w:bCs/>
                <w:sz w:val="19"/>
                <w:szCs w:val="19"/>
              </w:rPr>
              <w:t xml:space="preserve">How long the supervised work lasted, in hours (e.g. 2.5)</w:t>
            </w:r>
          </w:p>
        </w:tc>
      </w:tr>
      <w:tr>
        <w:tc>
          <w:tcPr>
            <w:tcW w:type="dxa" w:w="2200"/>
            <w:shd w:fill="FFF1E6" w:val="clear"/>
          </w:tcPr>
          <w:p>
            <w:r>
              <w:rPr>
                <w:b/>
                <w:bCs/>
                <w:sz w:val="19"/>
                <w:szCs w:val="19"/>
              </w:rPr>
              <w:t xml:space="preserve">Task Category</w:t>
            </w:r>
          </w:p>
        </w:tc>
        <w:tc>
          <w:tcPr>
            <w:tcW w:type="dxa" w:w="2400"/>
            <w:shd w:fill="FFFFFF" w:val="clear"/>
          </w:tcPr>
          <w:p>
            <w:r>
              <w:rPr>
                <w:b/>
                <w:bCs/>
                <w:sz w:val="19"/>
                <w:szCs w:val="19"/>
              </w:rPr>
              <w:t xml:space="preserve">Battery/Charging, Drivetrain/Brakes, Thermal/Repair, Complex Diagnosis, or Other</w:t>
            </w:r>
          </w:p>
        </w:tc>
      </w:tr>
      <w:tr>
        <w:tc>
          <w:tcPr>
            <w:tcW w:type="dxa" w:w="2200"/>
            <w:shd w:fill="FFF1E6" w:val="clear"/>
          </w:tcPr>
          <w:p>
            <w:r>
              <w:rPr>
                <w:b/>
                <w:bCs/>
                <w:sz w:val="19"/>
                <w:szCs w:val="19"/>
              </w:rPr>
              <w:t xml:space="preserve">Supervisor Name</w:t>
            </w:r>
          </w:p>
        </w:tc>
        <w:tc>
          <w:tcPr>
            <w:tcW w:type="dxa" w:w="2400"/>
            <w:shd w:fill="FFFFFF" w:val="clear"/>
          </w:tcPr>
          <w:p>
            <w:r>
              <w:rPr>
                <w:b/>
                <w:bCs/>
                <w:sz w:val="19"/>
                <w:szCs w:val="19"/>
              </w:rPr>
              <w:t xml:space="preserve">The senior technician who supervised this session</w:t>
            </w:r>
          </w:p>
        </w:tc>
      </w:tr>
      <w:tr>
        <w:tc>
          <w:tcPr>
            <w:tcW w:type="dxa" w:w="2200"/>
            <w:shd w:fill="FFF1E6" w:val="clear"/>
          </w:tcPr>
          <w:p>
            <w:r>
              <w:rPr>
                <w:b/>
                <w:bCs/>
                <w:sz w:val="19"/>
                <w:szCs w:val="19"/>
              </w:rPr>
              <w:t xml:space="preserve">Description</w:t>
            </w:r>
          </w:p>
        </w:tc>
        <w:tc>
          <w:tcPr>
            <w:tcW w:type="dxa" w:w="2400"/>
            <w:shd w:fill="FFFFFF" w:val="clear"/>
          </w:tcPr>
          <w:p>
            <w:r>
              <w:rPr>
                <w:b/>
                <w:bCs/>
                <w:sz w:val="19"/>
                <w:szCs w:val="19"/>
              </w:rPr>
              <w:t xml:space="preserve">What you actually worked on — be specific, this is what a reviewer will read</w:t>
            </w:r>
          </w:p>
        </w:tc>
      </w:tr>
      <w:tr>
        <w:tc>
          <w:tcPr>
            <w:tcW w:type="dxa" w:w="2200"/>
            <w:shd w:fill="FFF1E6" w:val="clear"/>
          </w:tcPr>
          <w:p>
            <w:r>
              <w:rPr>
                <w:b/>
                <w:bCs/>
                <w:sz w:val="19"/>
                <w:szCs w:val="19"/>
              </w:rPr>
              <w:t xml:space="preserve">Supervisor Sign-off</w:t>
            </w:r>
          </w:p>
        </w:tc>
        <w:tc>
          <w:tcPr>
            <w:tcW w:type="dxa" w:w="2400"/>
            <w:shd w:fill="FFFFFF" w:val="clear"/>
          </w:tcPr>
          <w:p>
            <w:r>
              <w:rPr>
                <w:b/>
                <w:bCs/>
                <w:sz w:val="19"/>
                <w:szCs w:val="19"/>
              </w:rPr>
              <w:t xml:space="preserve">The supervisor enters their own initials to confirm the session happened as described</w:t>
            </w:r>
          </w:p>
        </w:tc>
      </w:tr>
    </w:tbl>
    <w:p>
      <w:pPr>
        <w:spacing w:after="140"/>
      </w:pPr>
      <w:r>
        <w:rPr>
          <w:b/>
          <w:bCs/>
          <w:color w:val="047857"/>
          <w:sz w:val="20"/>
          <w:szCs w:val="20"/>
        </w:rPr>
        <w:t xml:space="preserve">💡 Log sessions the same day, while details are fresh — a work order filled in from memory a week later is far less useful (this is the same documentation habit from the Preliminary track's Week B4 Day 1).</w:t>
      </w:r>
    </w:p>
    <w:p>
      <w:pPr>
        <w:pStyle w:val="Heading1"/>
        <w:pBdr>
          <w:bottom w:val="single" w:color="C2410C" w:sz="12" w:space="4"/>
        </w:pBdr>
        <w:spacing w:after="240" w:before="480"/>
      </w:pPr>
      <w:r>
        <w:rPr>
          <w:b/>
          <w:bCs/>
          <w:color w:val="111827"/>
          <w:sz w:val="34"/>
          <w:szCs w:val="34"/>
        </w:rPr>
        <w:t xml:space="preserve">Step 3 — Watch Your Progress</w:t>
      </w:r>
    </w:p>
    <w:p>
      <w:pPr>
        <w:spacing w:after="160"/>
      </w:pPr>
      <w:r>
        <w:rPr>
          <w:sz w:val="21"/>
          <w:szCs w:val="21"/>
        </w:rPr>
        <w:t xml:space="preserve">The dashboard automatically shows: total hours logged, hours remaining to your target, number of sessions logged, an overall progress bar, and a breakdown of hours by task category. This updates instantly as you add entries — no separate calculation needed.</w:t>
      </w:r>
    </w:p>
    <w:p>
      <w:pPr>
        <w:pStyle w:val="Heading1"/>
        <w:pBdr>
          <w:bottom w:val="single" w:color="C2410C" w:sz="12" w:space="4"/>
        </w:pBdr>
        <w:spacing w:after="240" w:before="480"/>
      </w:pPr>
      <w:r>
        <w:rPr>
          <w:b/>
          <w:bCs/>
          <w:color w:val="111827"/>
          <w:sz w:val="34"/>
          <w:szCs w:val="34"/>
        </w:rPr>
        <w:t xml:space="preserve">Step 4 — Export a Summary When It's Time</w:t>
      </w:r>
    </w:p>
    <w:p>
      <w:pPr>
        <w:spacing w:after="160"/>
      </w:pPr>
      <w:r>
        <w:rPr>
          <w:sz w:val="21"/>
          <w:szCs w:val="21"/>
        </w:rPr>
        <w:t xml:space="preserve">When you're ready to submit your hours for review (or periodically, to show progress), click "Print / Export Summary." This produces a clean, printable table of all your logged sessions — the input form and delete buttons are automatically hidden in this view, leaving only the record itself.</w:t>
      </w:r>
    </w:p>
    <w:p>
      <w:pPr>
        <w:pStyle w:val="ListParagraph"/>
        <w:numPr>
          <w:ilvl w:val="0"/>
          <w:numId w:val="2"/>
        </w:numPr>
        <w:spacing w:after="100"/>
      </w:pPr>
      <w:r>
        <w:rPr>
          <w:sz w:val="21"/>
          <w:szCs w:val="21"/>
        </w:rPr>
        <w:t xml:space="preserve">Print to paper, or use your browser's "Save as PDF" option in the print dialog to create a digital file to email</w:t>
      </w:r>
    </w:p>
    <w:p>
      <w:pPr>
        <w:pStyle w:val="Heading1"/>
        <w:pBdr>
          <w:bottom w:val="single" w:color="C2410C" w:sz="12" w:space="4"/>
        </w:pBdr>
        <w:spacing w:after="240" w:before="480"/>
      </w:pPr>
      <w:r>
        <w:rPr>
          <w:b/>
          <w:bCs/>
          <w:color w:val="111827"/>
          <w:sz w:val="34"/>
          <w:szCs w:val="34"/>
        </w:rPr>
        <w:t xml:space="preserve">For Supervisors</w:t>
      </w:r>
    </w:p>
    <w:p>
      <w:pPr>
        <w:spacing w:after="160"/>
      </w:pPr>
      <w:r>
        <w:rPr>
          <w:sz w:val="21"/>
          <w:szCs w:val="21"/>
        </w:rPr>
        <w:t xml:space="preserve">When asked, enter your initials in the "Supervisor Sign-off" field of a session the graduate is logging, confirming the session happened as described. This is a lightweight, honor-system confirmation — the tool does not verify identity or prevent someone from typing initials that aren't theirs. Employers with stricter requirements should treat this log as supporting documentation alongside their own formal sign-off process, not a replacement for it.</w:t>
      </w:r>
    </w:p>
    <w:p>
      <w:pPr>
        <w:pStyle w:val="Heading1"/>
        <w:pBdr>
          <w:bottom w:val="single" w:color="C2410C" w:sz="12" w:space="4"/>
        </w:pBdr>
        <w:spacing w:after="240" w:before="480"/>
      </w:pPr>
      <w:r>
        <w:rPr>
          <w:b/>
          <w:bCs/>
          <w:color w:val="111827"/>
          <w:sz w:val="34"/>
          <w:szCs w:val="34"/>
        </w:rPr>
        <w:t xml:space="preserve">Common Questions</w:t>
      </w:r>
    </w:p>
    <w:p>
      <w:pPr>
        <w:spacing w:after="40"/>
      </w:pPr>
      <w:r>
        <w:rPr>
          <w:b/>
          <w:bCs/>
          <w:color w:val="111827"/>
          <w:sz w:val="21"/>
          <w:szCs w:val="21"/>
        </w:rPr>
        <w:t xml:space="preserve">Q. What if I use the logbook on a different computer or clear my browser data?</w:t>
      </w:r>
    </w:p>
    <w:p>
      <w:pPr>
        <w:spacing w:after="160"/>
        <w:ind w:left="360"/>
      </w:pPr>
      <w:r>
        <w:rPr>
          <w:color w:val="5B6B7A"/>
          <w:sz w:val="20"/>
          <w:szCs w:val="20"/>
        </w:rPr>
        <w:t xml:space="preserve">A. Your logged entries live only in that specific browser on that specific device. Switching devices or clearing browser data starts a new, empty log. Export/print a summary periodically as a backup.</w:t>
      </w:r>
    </w:p>
    <w:p>
      <w:pPr>
        <w:spacing w:after="40"/>
      </w:pPr>
      <w:r>
        <w:rPr>
          <w:b/>
          <w:bCs/>
          <w:color w:val="111827"/>
          <w:sz w:val="21"/>
          <w:szCs w:val="21"/>
        </w:rPr>
        <w:t xml:space="preserve">Q. Can my employer see my log automatically?</w:t>
      </w:r>
    </w:p>
    <w:p>
      <w:pPr>
        <w:spacing w:after="160"/>
        <w:ind w:left="360"/>
      </w:pPr>
      <w:r>
        <w:rPr>
          <w:color w:val="5B6B7A"/>
          <w:sz w:val="20"/>
          <w:szCs w:val="20"/>
        </w:rPr>
        <w:t xml:space="preserve">A. No. There's no server behind this tool — nothing is sent anywhere automatically. You must actively print or export a summary and share it yourself.</w:t>
      </w:r>
    </w:p>
    <w:p>
      <w:pPr>
        <w:spacing w:after="40"/>
      </w:pPr>
      <w:r>
        <w:rPr>
          <w:b/>
          <w:bCs/>
          <w:color w:val="111827"/>
          <w:sz w:val="21"/>
          <w:szCs w:val="21"/>
        </w:rPr>
        <w:t xml:space="preserve">Q. What if I logged something incorrectly?</w:t>
      </w:r>
    </w:p>
    <w:p>
      <w:pPr>
        <w:spacing w:after="160"/>
        <w:ind w:left="360"/>
      </w:pPr>
      <w:r>
        <w:rPr>
          <w:color w:val="5B6B7A"/>
          <w:sz w:val="20"/>
          <w:szCs w:val="20"/>
        </w:rPr>
        <w:t xml:space="preserve">A. Each entry has a delete button (✕) in the session table. Delete the incorrect entry and add a corrected one.</w:t>
      </w:r>
    </w:p>
    <w:p>
      <w:pPr>
        <w:spacing w:after="40"/>
      </w:pPr>
      <w:r>
        <w:rPr>
          <w:b/>
          <w:bCs/>
          <w:color w:val="111827"/>
          <w:sz w:val="21"/>
          <w:szCs w:val="21"/>
        </w:rPr>
        <w:t xml:space="preserve">Q. Does reaching 100% of my target automatically mean I'm Red-certified?</w:t>
      </w:r>
    </w:p>
    <w:p>
      <w:pPr>
        <w:spacing w:after="160"/>
        <w:ind w:left="360"/>
      </w:pPr>
      <w:r>
        <w:rPr>
          <w:color w:val="5B6B7A"/>
          <w:sz w:val="20"/>
          <w:szCs w:val="20"/>
        </w:rPr>
        <w:t xml:space="preserve">A. No. Reaching your target hours means you've built the evidence your employer's certification process will look at — the actual Red-level authorization decision and paperwork still comes from your employer, not from this tool.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2026-07-13T07:59:54.343Z</dcterms:created>
  <dcterms:modified xsi:type="dcterms:W3CDTF">2026-07-13T07:59:54.358Z</dcterms:modified>
</cp:coreProperties>
</file>

<file path=docProps/custom.xml><?xml version="1.0" encoding="utf-8"?>
<Properties xmlns="http://schemas.openxmlformats.org/officeDocument/2006/custom-properties" xmlns:vt="http://schemas.openxmlformats.org/officeDocument/2006/docPropsVTypes"/>
</file>