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220F6" w14:textId="77777777" w:rsidR="001F7329" w:rsidRPr="00DF6F7C" w:rsidRDefault="001F7329" w:rsidP="001F7329">
      <w:pPr>
        <w:pStyle w:val="a3"/>
        <w:rPr>
          <w:lang w:val="en-GB"/>
        </w:rPr>
      </w:pPr>
      <w:r w:rsidRPr="00DF6F7C">
        <w:rPr>
          <w:lang w:val="en-GB"/>
        </w:rPr>
        <w:t>Supporting PCS Adoption: A Database of Cooling and Heating Effects for Designers and Practitioners</w:t>
      </w:r>
    </w:p>
    <w:p w14:paraId="76675315" w14:textId="77777777" w:rsidR="001F7329" w:rsidRPr="00DF6F7C" w:rsidRDefault="001F7329" w:rsidP="001F7329">
      <w:pPr>
        <w:pStyle w:val="Author"/>
        <w:rPr>
          <w:lang w:val="en-GB"/>
        </w:rPr>
      </w:pPr>
    </w:p>
    <w:p w14:paraId="74EB4509" w14:textId="77777777" w:rsidR="001F7329" w:rsidRPr="00DF6F7C" w:rsidRDefault="001F7329" w:rsidP="001F7329">
      <w:pPr>
        <w:pStyle w:val="Author"/>
        <w:rPr>
          <w:lang w:val="en-GB"/>
        </w:rPr>
      </w:pPr>
      <w:r w:rsidRPr="00DF6F7C">
        <w:rPr>
          <w:rFonts w:eastAsia="游明朝" w:hint="eastAsia"/>
          <w:lang w:val="en-GB" w:eastAsia="ja-JP"/>
        </w:rPr>
        <w:t xml:space="preserve">Akihisa Nomoto </w:t>
      </w:r>
      <w:proofErr w:type="gramStart"/>
      <w:r w:rsidRPr="00DF6F7C">
        <w:rPr>
          <w:vertAlign w:val="superscript"/>
          <w:lang w:val="en-GB"/>
        </w:rPr>
        <w:t>1,*</w:t>
      </w:r>
      <w:proofErr w:type="gramEnd"/>
      <w:r w:rsidRPr="00DF6F7C">
        <w:rPr>
          <w:lang w:val="en-GB"/>
        </w:rPr>
        <w:t xml:space="preserve">, </w:t>
      </w:r>
      <w:r w:rsidRPr="00DF6F7C">
        <w:rPr>
          <w:lang w:val="en-GB" w:eastAsia="ja-JP"/>
        </w:rPr>
        <w:t>Maíra André</w:t>
      </w:r>
      <w:r w:rsidRPr="00DF6F7C">
        <w:rPr>
          <w:lang w:val="en-GB"/>
        </w:rPr>
        <w:t xml:space="preserve"> </w:t>
      </w:r>
      <w:r w:rsidRPr="00DF6F7C">
        <w:rPr>
          <w:vertAlign w:val="superscript"/>
          <w:lang w:val="en-GB"/>
        </w:rPr>
        <w:t xml:space="preserve">2 </w:t>
      </w:r>
      <w:r w:rsidRPr="00DF6F7C">
        <w:rPr>
          <w:lang w:val="en-GB"/>
        </w:rPr>
        <w:t xml:space="preserve">, </w:t>
      </w:r>
      <w:r w:rsidRPr="00DF6F7C">
        <w:rPr>
          <w:rFonts w:hint="eastAsia"/>
          <w:lang w:val="en-GB" w:eastAsia="ja-JP"/>
        </w:rPr>
        <w:t xml:space="preserve">Thomas Parkinson </w:t>
      </w:r>
      <w:r w:rsidRPr="00DF6F7C">
        <w:rPr>
          <w:vertAlign w:val="superscript"/>
          <w:lang w:val="en-GB"/>
        </w:rPr>
        <w:t>2</w:t>
      </w:r>
    </w:p>
    <w:p w14:paraId="00C46694" w14:textId="77777777" w:rsidR="001F7329" w:rsidRPr="00DF6F7C" w:rsidRDefault="001F7329" w:rsidP="001F7329">
      <w:pPr>
        <w:pStyle w:val="Author"/>
        <w:rPr>
          <w:lang w:val="en-GB"/>
        </w:rPr>
      </w:pPr>
    </w:p>
    <w:p w14:paraId="099FFC6F" w14:textId="77777777" w:rsidR="001F7329" w:rsidRPr="00DF6F7C" w:rsidRDefault="001F7329" w:rsidP="001F7329">
      <w:pPr>
        <w:pStyle w:val="Author"/>
        <w:rPr>
          <w:lang w:val="en-GB"/>
        </w:rPr>
      </w:pPr>
      <w:r w:rsidRPr="00DF6F7C">
        <w:rPr>
          <w:vertAlign w:val="superscript"/>
          <w:lang w:val="en-GB"/>
        </w:rPr>
        <w:t xml:space="preserve">1 </w:t>
      </w:r>
      <w:r w:rsidRPr="00DF6F7C">
        <w:rPr>
          <w:rFonts w:hint="eastAsia"/>
          <w:lang w:val="en-GB" w:eastAsia="ja-JP"/>
        </w:rPr>
        <w:t>Takenaka Corporation</w:t>
      </w:r>
      <w:r w:rsidRPr="00DF6F7C">
        <w:rPr>
          <w:lang w:val="en-GB"/>
        </w:rPr>
        <w:t xml:space="preserve">, </w:t>
      </w:r>
      <w:r w:rsidRPr="00DF6F7C">
        <w:rPr>
          <w:rFonts w:hint="eastAsia"/>
          <w:lang w:val="en-GB" w:eastAsia="ja-JP"/>
        </w:rPr>
        <w:t>Chiba</w:t>
      </w:r>
      <w:r w:rsidRPr="00DF6F7C">
        <w:rPr>
          <w:lang w:val="en-GB"/>
        </w:rPr>
        <w:t xml:space="preserve">, </w:t>
      </w:r>
      <w:r w:rsidRPr="00DF6F7C">
        <w:rPr>
          <w:rFonts w:hint="eastAsia"/>
          <w:lang w:val="en-GB" w:eastAsia="ja-JP"/>
        </w:rPr>
        <w:t>Japan</w:t>
      </w:r>
    </w:p>
    <w:p w14:paraId="59A3D86F" w14:textId="77777777" w:rsidR="001F7329" w:rsidRPr="00DF6F7C" w:rsidRDefault="001F7329" w:rsidP="001F7329">
      <w:pPr>
        <w:pStyle w:val="Author"/>
        <w:rPr>
          <w:lang w:val="en-GB" w:eastAsia="ja-JP"/>
        </w:rPr>
      </w:pPr>
      <w:r w:rsidRPr="00DF6F7C">
        <w:rPr>
          <w:vertAlign w:val="superscript"/>
          <w:lang w:val="en-GB"/>
        </w:rPr>
        <w:t xml:space="preserve">2 </w:t>
      </w:r>
      <w:r w:rsidRPr="00DF6F7C">
        <w:rPr>
          <w:lang w:val="en-GB" w:eastAsia="ja-JP"/>
        </w:rPr>
        <w:t>IEQ Lab, School of Architecture, Design and Planning</w:t>
      </w:r>
      <w:r w:rsidRPr="00DF6F7C">
        <w:rPr>
          <w:i/>
          <w:iCs/>
          <w:lang w:val="en-GB" w:eastAsia="ja-JP"/>
        </w:rPr>
        <w:t>,</w:t>
      </w:r>
      <w:r w:rsidRPr="00DF6F7C">
        <w:rPr>
          <w:rFonts w:hint="eastAsia"/>
          <w:lang w:val="en-GB" w:eastAsia="ja-JP"/>
        </w:rPr>
        <w:t xml:space="preserve"> The University of Sydney</w:t>
      </w:r>
      <w:r w:rsidRPr="00DF6F7C">
        <w:rPr>
          <w:lang w:val="en-GB"/>
        </w:rPr>
        <w:t xml:space="preserve">, </w:t>
      </w:r>
      <w:r w:rsidRPr="00DF6F7C">
        <w:rPr>
          <w:rFonts w:hint="eastAsia"/>
          <w:lang w:val="en-GB" w:eastAsia="ja-JP"/>
        </w:rPr>
        <w:t>Australia</w:t>
      </w:r>
    </w:p>
    <w:p w14:paraId="7DB302CF" w14:textId="77777777" w:rsidR="001F7329" w:rsidRPr="00DF6F7C" w:rsidRDefault="001F7329" w:rsidP="001F7329">
      <w:pPr>
        <w:pStyle w:val="Author"/>
        <w:rPr>
          <w:lang w:val="en-GB"/>
        </w:rPr>
      </w:pPr>
      <w:r w:rsidRPr="00DF6F7C">
        <w:rPr>
          <w:i/>
          <w:iCs/>
          <w:vertAlign w:val="superscript"/>
          <w:lang w:val="en-GB"/>
        </w:rPr>
        <w:t>*</w:t>
      </w:r>
      <w:r w:rsidRPr="00DF6F7C">
        <w:rPr>
          <w:i/>
          <w:iCs/>
          <w:lang w:val="en-GB"/>
        </w:rPr>
        <w:t xml:space="preserve">Corresponding email: </w:t>
      </w:r>
      <w:r w:rsidRPr="00DF6F7C">
        <w:rPr>
          <w:rFonts w:hint="eastAsia"/>
          <w:i/>
          <w:iCs/>
          <w:lang w:val="en-GB" w:eastAsia="ja-JP"/>
        </w:rPr>
        <w:t>n</w:t>
      </w:r>
      <w:r w:rsidRPr="00DF6F7C">
        <w:rPr>
          <w:i/>
          <w:iCs/>
          <w:lang w:val="en-GB" w:eastAsia="ja-JP"/>
        </w:rPr>
        <w:t>omoto</w:t>
      </w:r>
      <w:r w:rsidRPr="00DF6F7C">
        <w:rPr>
          <w:rFonts w:hint="eastAsia"/>
          <w:i/>
          <w:iCs/>
          <w:lang w:val="en-GB" w:eastAsia="ja-JP"/>
        </w:rPr>
        <w:t>.akihisa</w:t>
      </w:r>
      <w:r w:rsidRPr="00DF6F7C">
        <w:rPr>
          <w:i/>
          <w:iCs/>
          <w:lang w:val="en-GB"/>
        </w:rPr>
        <w:t>@</w:t>
      </w:r>
      <w:r w:rsidRPr="00DF6F7C">
        <w:rPr>
          <w:rFonts w:hint="eastAsia"/>
          <w:i/>
          <w:iCs/>
          <w:lang w:val="en-GB" w:eastAsia="ja-JP"/>
        </w:rPr>
        <w:t>takenaka.co.jp</w:t>
      </w:r>
    </w:p>
    <w:p w14:paraId="577FB7AF" w14:textId="77777777" w:rsidR="001F7329" w:rsidRPr="00DF6F7C" w:rsidRDefault="001F7329" w:rsidP="001F7329">
      <w:pPr>
        <w:rPr>
          <w:lang w:val="en-GB"/>
        </w:rPr>
      </w:pPr>
    </w:p>
    <w:p w14:paraId="59B69169" w14:textId="77777777" w:rsidR="001F7329" w:rsidRPr="00DF6F7C" w:rsidRDefault="001F7329" w:rsidP="001F7329">
      <w:pPr>
        <w:pStyle w:val="1"/>
        <w:rPr>
          <w:lang w:val="en-GB"/>
        </w:rPr>
      </w:pPr>
      <w:r w:rsidRPr="00DF6F7C">
        <w:rPr>
          <w:lang w:val="en-GB"/>
        </w:rPr>
        <w:t>SUMMARY</w:t>
      </w:r>
    </w:p>
    <w:p w14:paraId="4BF54502" w14:textId="77777777" w:rsidR="001F7329" w:rsidRPr="00DF6F7C" w:rsidRDefault="001F7329" w:rsidP="001F7329">
      <w:pPr>
        <w:rPr>
          <w:lang w:val="en-GB" w:eastAsia="ja-JP"/>
        </w:rPr>
      </w:pPr>
      <w:r w:rsidRPr="00DF6F7C">
        <w:rPr>
          <w:lang w:val="en-GB" w:eastAsia="ja-JP"/>
        </w:rPr>
        <w:t>This study developed an open-access database quantifying the cooling and heating effects of commercially available Personal Comfort Systems (PCS) based on thermal manikin exper</w:t>
      </w:r>
      <w:r w:rsidRPr="00DF6F7C">
        <w:rPr>
          <w:rFonts w:hint="eastAsia"/>
          <w:lang w:val="en-GB" w:eastAsia="ja-JP"/>
        </w:rPr>
        <w:t>i</w:t>
      </w:r>
      <w:r w:rsidRPr="00DF6F7C">
        <w:rPr>
          <w:lang w:val="en-GB" w:eastAsia="ja-JP"/>
        </w:rPr>
        <w:t>ments. The database is intended to support the integration of PCS into the design and operation of conventional room air conditioning systems by providing accessible and quantitative information on their thermal effects.</w:t>
      </w:r>
      <w:r w:rsidRPr="00DF6F7C">
        <w:rPr>
          <w:rFonts w:hint="eastAsia"/>
          <w:lang w:val="en-GB" w:eastAsia="ja-JP"/>
        </w:rPr>
        <w:t xml:space="preserve"> </w:t>
      </w:r>
      <w:r w:rsidRPr="00DF6F7C">
        <w:rPr>
          <w:lang w:val="en-GB" w:eastAsia="ja-JP"/>
        </w:rPr>
        <w:t xml:space="preserve">We tested 17 different PCS devices in a climate-controlled chamber simulating typical office </w:t>
      </w:r>
      <w:r w:rsidRPr="00DF6F7C">
        <w:rPr>
          <w:rFonts w:hint="eastAsia"/>
          <w:lang w:val="en-GB" w:eastAsia="ja-JP"/>
        </w:rPr>
        <w:t>environment</w:t>
      </w:r>
      <w:r w:rsidRPr="00DF6F7C">
        <w:rPr>
          <w:lang w:val="en-GB" w:eastAsia="ja-JP"/>
        </w:rPr>
        <w:t>s. Example results at an ambient temperature of 25°C indicate that small desk fans at mid-level speed settings provide limited whole-body cooling (&lt; 1</w:t>
      </w:r>
      <w:r w:rsidRPr="00DF6F7C">
        <w:rPr>
          <w:rFonts w:hint="eastAsia"/>
          <w:lang w:val="en-GB" w:eastAsia="ja-JP"/>
        </w:rPr>
        <w:t>.0</w:t>
      </w:r>
      <w:r w:rsidRPr="00DF6F7C">
        <w:rPr>
          <w:lang w:val="en-GB" w:eastAsia="ja-JP"/>
        </w:rPr>
        <w:t>°C), while standing fans and evaporative coolers achieve stronger cooling effects of up to 3.0°C. Heating devices demonstrated warming effects ranging from approximately 0.5 °C to</w:t>
      </w:r>
      <w:r w:rsidRPr="00DF6F7C">
        <w:rPr>
          <w:rFonts w:hint="eastAsia"/>
          <w:lang w:val="en-GB" w:eastAsia="ja-JP"/>
        </w:rPr>
        <w:t xml:space="preserve"> </w:t>
      </w:r>
      <w:r w:rsidRPr="00DF6F7C">
        <w:rPr>
          <w:lang w:val="en-GB" w:eastAsia="ja-JP"/>
        </w:rPr>
        <w:t>3.5 °C.</w:t>
      </w:r>
      <w:r w:rsidRPr="00DF6F7C">
        <w:rPr>
          <w:rFonts w:hint="eastAsia"/>
          <w:lang w:val="en-GB" w:eastAsia="ja-JP"/>
        </w:rPr>
        <w:t xml:space="preserve"> </w:t>
      </w:r>
      <w:r w:rsidRPr="00DF6F7C">
        <w:rPr>
          <w:lang w:val="en-GB" w:eastAsia="ja-JP"/>
        </w:rPr>
        <w:t>These findings demonstrate the potential of PCS to support building designers in relaxing ambient temperature setpoints while maintaining occupants’</w:t>
      </w:r>
      <w:r w:rsidRPr="00DF6F7C">
        <w:rPr>
          <w:rFonts w:hint="eastAsia"/>
          <w:lang w:val="en-GB" w:eastAsia="ja-JP"/>
        </w:rPr>
        <w:t xml:space="preserve"> thermal</w:t>
      </w:r>
      <w:r w:rsidRPr="00DF6F7C">
        <w:rPr>
          <w:lang w:val="en-GB" w:eastAsia="ja-JP"/>
        </w:rPr>
        <w:t xml:space="preserve"> comfort. The database is publicly available at:</w:t>
      </w:r>
      <w:r w:rsidRPr="00DF6F7C">
        <w:rPr>
          <w:rFonts w:hint="eastAsia"/>
          <w:lang w:val="en-GB" w:eastAsia="ja-JP"/>
        </w:rPr>
        <w:t xml:space="preserve"> </w:t>
      </w:r>
      <w:hyperlink r:id="rId8" w:history="1">
        <w:r w:rsidRPr="00DF6F7C">
          <w:rPr>
            <w:rStyle w:val="a8"/>
            <w:lang w:val="en-GB" w:eastAsia="ja-JP"/>
          </w:rPr>
          <w:t>https://github.com/IEQLab/pcs_database</w:t>
        </w:r>
      </w:hyperlink>
      <w:r w:rsidRPr="00DF6F7C">
        <w:rPr>
          <w:rFonts w:hint="eastAsia"/>
          <w:lang w:val="en-GB" w:eastAsia="ja-JP"/>
        </w:rPr>
        <w:t>.</w:t>
      </w:r>
    </w:p>
    <w:p w14:paraId="1B652BBB" w14:textId="77777777" w:rsidR="001F7329" w:rsidRPr="00DF6F7C" w:rsidRDefault="001F7329" w:rsidP="001F7329">
      <w:pPr>
        <w:pStyle w:val="a6"/>
        <w:rPr>
          <w:rStyle w:val="10"/>
          <w:lang w:val="en-GB"/>
        </w:rPr>
      </w:pPr>
    </w:p>
    <w:p w14:paraId="134B5BC9" w14:textId="77777777" w:rsidR="001F7329" w:rsidRPr="00DF6F7C" w:rsidRDefault="001F7329" w:rsidP="001F7329">
      <w:pPr>
        <w:pStyle w:val="1"/>
        <w:rPr>
          <w:b w:val="0"/>
          <w:lang w:val="da-DK"/>
        </w:rPr>
      </w:pPr>
      <w:r w:rsidRPr="00DF6F7C">
        <w:rPr>
          <w:rStyle w:val="10"/>
          <w:b/>
          <w:lang w:val="en-GB"/>
        </w:rPr>
        <w:t xml:space="preserve">KEYWORDS </w:t>
      </w:r>
    </w:p>
    <w:p w14:paraId="4D0CDFFF" w14:textId="77777777" w:rsidR="001F7329" w:rsidRPr="00DF6F7C" w:rsidRDefault="001F7329" w:rsidP="001F7329">
      <w:pPr>
        <w:rPr>
          <w:lang w:val="en-GB"/>
        </w:rPr>
      </w:pPr>
      <w:bookmarkStart w:id="0" w:name="_Hlk144192698"/>
      <w:r w:rsidRPr="00DF6F7C">
        <w:rPr>
          <w:lang w:val="en-GB"/>
        </w:rPr>
        <w:t>Personal Comfort Systems (PCS)</w:t>
      </w:r>
      <w:r w:rsidRPr="00DF6F7C">
        <w:rPr>
          <w:rFonts w:hint="eastAsia"/>
          <w:lang w:val="en-GB" w:eastAsia="ja-JP"/>
        </w:rPr>
        <w:t xml:space="preserve">; </w:t>
      </w:r>
      <w:proofErr w:type="gramStart"/>
      <w:r w:rsidRPr="00DF6F7C">
        <w:rPr>
          <w:rFonts w:hint="eastAsia"/>
          <w:lang w:val="en-GB" w:eastAsia="ja-JP"/>
        </w:rPr>
        <w:t>O</w:t>
      </w:r>
      <w:r w:rsidRPr="00DF6F7C">
        <w:rPr>
          <w:lang w:val="en-GB"/>
        </w:rPr>
        <w:t>pen-access</w:t>
      </w:r>
      <w:proofErr w:type="gramEnd"/>
      <w:r w:rsidRPr="00DF6F7C">
        <w:rPr>
          <w:rFonts w:hint="eastAsia"/>
          <w:lang w:val="en-GB" w:eastAsia="ja-JP"/>
        </w:rPr>
        <w:t>; Database</w:t>
      </w:r>
      <w:bookmarkEnd w:id="0"/>
      <w:r w:rsidRPr="00DF6F7C">
        <w:rPr>
          <w:rFonts w:hint="eastAsia"/>
          <w:lang w:val="en-GB" w:eastAsia="ja-JP"/>
        </w:rPr>
        <w:t>; Thermal Comfort; Thermal Manikin</w:t>
      </w:r>
    </w:p>
    <w:p w14:paraId="01FA1966" w14:textId="77777777" w:rsidR="001F7329" w:rsidRPr="00DF6F7C" w:rsidRDefault="001F7329" w:rsidP="001F7329">
      <w:pPr>
        <w:rPr>
          <w:lang w:val="en-GB"/>
        </w:rPr>
      </w:pPr>
    </w:p>
    <w:p w14:paraId="72AD16C6" w14:textId="77777777" w:rsidR="001F7329" w:rsidRPr="00DF6F7C" w:rsidRDefault="001F7329" w:rsidP="001F7329">
      <w:pPr>
        <w:pStyle w:val="1"/>
        <w:rPr>
          <w:lang w:val="en-GB"/>
        </w:rPr>
      </w:pPr>
      <w:r w:rsidRPr="00DF6F7C">
        <w:rPr>
          <w:lang w:val="en-GB"/>
        </w:rPr>
        <w:t>1 INTRODUCTION</w:t>
      </w:r>
    </w:p>
    <w:p w14:paraId="754F9706" w14:textId="77777777" w:rsidR="001F7329" w:rsidRPr="00DF6F7C" w:rsidRDefault="001F7329" w:rsidP="001F7329">
      <w:pPr>
        <w:rPr>
          <w:lang w:val="en-GB" w:eastAsia="ja-JP"/>
        </w:rPr>
      </w:pPr>
      <w:r w:rsidRPr="00DF6F7C">
        <w:rPr>
          <w:lang w:val="en-GB"/>
        </w:rPr>
        <w:t xml:space="preserve">Personal Comfort Systems (PCS) offer a promising approach to heating and cooling individuals with significantly lower energy consumption compared to conventional </w:t>
      </w:r>
      <w:r w:rsidRPr="00DF6F7C">
        <w:rPr>
          <w:rFonts w:hint="eastAsia"/>
          <w:lang w:val="en-GB" w:eastAsia="ja-JP"/>
        </w:rPr>
        <w:t>air</w:t>
      </w:r>
      <w:r w:rsidRPr="00DF6F7C">
        <w:rPr>
          <w:lang w:val="en-GB"/>
        </w:rPr>
        <w:t xml:space="preserve"> conditioning systems. Their proximity to the body and ability to be tailored to individual needs enable reduced power usage and enhanced occupant satisfaction. Despite a growing body of research demonstrating these advantages over the past two decades, PCS have yet to become commonplace in office environments. Practitioners rarely consider them in the design process, hindering their application. This is partly caused by the difficulty in integrating their effect into the design and dimensioning of the air conditioning system. To address this gap, we developed an open-access database of local and overall cooling and heating effects for a range of commercially available PCS products.</w:t>
      </w:r>
      <w:r w:rsidRPr="00DF6F7C">
        <w:rPr>
          <w:rFonts w:hint="eastAsia"/>
          <w:lang w:val="en-GB" w:eastAsia="ja-JP"/>
        </w:rPr>
        <w:t xml:space="preserve"> </w:t>
      </w:r>
      <w:r w:rsidRPr="00DF6F7C">
        <w:rPr>
          <w:lang w:val="en-GB" w:eastAsia="ja-JP"/>
        </w:rPr>
        <w:t xml:space="preserve">This paper presents an </w:t>
      </w:r>
      <w:r w:rsidRPr="00DF6F7C">
        <w:rPr>
          <w:rFonts w:hint="eastAsia"/>
          <w:lang w:val="en-GB" w:eastAsia="ja-JP"/>
        </w:rPr>
        <w:t xml:space="preserve">overview of </w:t>
      </w:r>
      <w:r w:rsidRPr="00DF6F7C">
        <w:rPr>
          <w:lang w:val="en-GB" w:eastAsia="ja-JP"/>
        </w:rPr>
        <w:t xml:space="preserve">the </w:t>
      </w:r>
      <w:proofErr w:type="gramStart"/>
      <w:r w:rsidRPr="00DF6F7C">
        <w:rPr>
          <w:lang w:val="en-GB" w:eastAsia="ja-JP"/>
        </w:rPr>
        <w:t>experiment</w:t>
      </w:r>
      <w:proofErr w:type="gramEnd"/>
      <w:r w:rsidRPr="00DF6F7C">
        <w:rPr>
          <w:rFonts w:hint="eastAsia"/>
          <w:lang w:val="en-GB" w:eastAsia="ja-JP"/>
        </w:rPr>
        <w:t xml:space="preserve"> </w:t>
      </w:r>
      <w:r w:rsidRPr="00DF6F7C">
        <w:rPr>
          <w:lang w:val="en-GB" w:eastAsia="ja-JP"/>
        </w:rPr>
        <w:t>and a</w:t>
      </w:r>
      <w:r w:rsidRPr="00DF6F7C">
        <w:rPr>
          <w:rFonts w:hint="eastAsia"/>
          <w:lang w:val="en-GB" w:eastAsia="ja-JP"/>
        </w:rPr>
        <w:t>n example result</w:t>
      </w:r>
      <w:r w:rsidRPr="00DF6F7C">
        <w:rPr>
          <w:lang w:val="en-GB" w:eastAsia="ja-JP"/>
        </w:rPr>
        <w:t xml:space="preserve">. </w:t>
      </w:r>
    </w:p>
    <w:p w14:paraId="0961C415" w14:textId="77777777" w:rsidR="001F7329" w:rsidRPr="00DF6F7C" w:rsidRDefault="001F7329" w:rsidP="001F7329">
      <w:pPr>
        <w:rPr>
          <w:lang w:val="en-GB"/>
        </w:rPr>
      </w:pPr>
    </w:p>
    <w:p w14:paraId="06AC19B2" w14:textId="77777777" w:rsidR="001F7329" w:rsidRPr="00DF6F7C" w:rsidRDefault="001F7329" w:rsidP="001F7329">
      <w:pPr>
        <w:pStyle w:val="1"/>
      </w:pPr>
      <w:r w:rsidRPr="00DF6F7C">
        <w:rPr>
          <w:lang w:val="en-GB"/>
        </w:rPr>
        <w:t xml:space="preserve">2 METHODS </w:t>
      </w:r>
    </w:p>
    <w:p w14:paraId="136280C2" w14:textId="77777777" w:rsidR="001F7329" w:rsidRPr="00DF6F7C" w:rsidRDefault="001F7329" w:rsidP="001F7329">
      <w:pPr>
        <w:rPr>
          <w:lang w:val="en-GB" w:eastAsia="ja-JP"/>
        </w:rPr>
      </w:pPr>
      <w:r w:rsidRPr="00DF6F7C">
        <w:rPr>
          <w:lang w:val="en-GB" w:eastAsia="ja-JP"/>
        </w:rPr>
        <w:t xml:space="preserve">A chamber experiment was conducted to quantify the sensible heat transfer of localized thermal stimuli provided by PCS using a thermal manikin in a climate-controlled chamber at </w:t>
      </w:r>
      <w:r w:rsidRPr="00DF6F7C">
        <w:rPr>
          <w:rFonts w:hint="eastAsia"/>
          <w:lang w:val="en-GB" w:eastAsia="ja-JP"/>
        </w:rPr>
        <w:t>T</w:t>
      </w:r>
      <w:r w:rsidRPr="00DF6F7C">
        <w:rPr>
          <w:lang w:val="en-GB" w:eastAsia="ja-JP"/>
        </w:rPr>
        <w:t xml:space="preserve">he University of Sydney from January 2024 to </w:t>
      </w:r>
      <w:r w:rsidRPr="00DF6F7C">
        <w:rPr>
          <w:rFonts w:hint="eastAsia"/>
          <w:lang w:val="en-GB" w:eastAsia="ja-JP"/>
        </w:rPr>
        <w:t>March</w:t>
      </w:r>
      <w:r w:rsidRPr="00DF6F7C">
        <w:rPr>
          <w:lang w:val="en-GB" w:eastAsia="ja-JP"/>
        </w:rPr>
        <w:t xml:space="preserve"> 2025. </w:t>
      </w:r>
      <w:r w:rsidRPr="00DF6F7C">
        <w:rPr>
          <w:rFonts w:hint="eastAsia"/>
          <w:lang w:val="en-GB" w:eastAsia="ja-JP"/>
        </w:rPr>
        <w:t>Seventeen PCS devices were tested, and e</w:t>
      </w:r>
      <w:r w:rsidRPr="00DF6F7C">
        <w:rPr>
          <w:lang w:val="en-GB" w:eastAsia="ja-JP"/>
        </w:rPr>
        <w:t>ach PC</w:t>
      </w:r>
      <w:r w:rsidRPr="00DF6F7C">
        <w:rPr>
          <w:rFonts w:hint="eastAsia"/>
          <w:lang w:val="en-GB" w:eastAsia="ja-JP"/>
        </w:rPr>
        <w:t>S</w:t>
      </w:r>
      <w:r w:rsidRPr="00DF6F7C">
        <w:rPr>
          <w:lang w:val="en-GB" w:eastAsia="ja-JP"/>
        </w:rPr>
        <w:t xml:space="preserve"> was tested under still-air conditions at air and mean radiant temperatures of 22, 25, and 28 °C. Relative humidity was not controlled and varied between 40% and 60%.</w:t>
      </w:r>
      <w:r w:rsidRPr="00DF6F7C">
        <w:rPr>
          <w:rFonts w:hint="eastAsia"/>
          <w:lang w:val="en-GB" w:eastAsia="ja-JP"/>
        </w:rPr>
        <w:t xml:space="preserve"> </w:t>
      </w:r>
      <w:r w:rsidRPr="00DF6F7C">
        <w:rPr>
          <w:lang w:val="en-GB" w:eastAsia="ja-JP"/>
        </w:rPr>
        <w:t xml:space="preserve">To represent typical office </w:t>
      </w:r>
      <w:r w:rsidRPr="00DF6F7C">
        <w:rPr>
          <w:rFonts w:hint="eastAsia"/>
          <w:lang w:val="en-GB" w:eastAsia="ja-JP"/>
        </w:rPr>
        <w:t>environments</w:t>
      </w:r>
      <w:r w:rsidRPr="00DF6F7C">
        <w:rPr>
          <w:lang w:val="en-GB" w:eastAsia="ja-JP"/>
        </w:rPr>
        <w:t xml:space="preserve">, the thermal manikin was maintained in a </w:t>
      </w:r>
      <w:r w:rsidRPr="00DF6F7C">
        <w:rPr>
          <w:rFonts w:hint="eastAsia"/>
          <w:lang w:val="en-GB" w:eastAsia="ja-JP"/>
        </w:rPr>
        <w:t xml:space="preserve">sitting </w:t>
      </w:r>
      <w:r w:rsidRPr="00DF6F7C">
        <w:rPr>
          <w:lang w:val="en-GB" w:eastAsia="ja-JP"/>
        </w:rPr>
        <w:t xml:space="preserve">posture. Cooling devices were evaluated with </w:t>
      </w:r>
      <w:r w:rsidRPr="00DF6F7C">
        <w:rPr>
          <w:rFonts w:hint="eastAsia"/>
          <w:lang w:val="en-GB" w:eastAsia="ja-JP"/>
        </w:rPr>
        <w:t xml:space="preserve">a typical summer </w:t>
      </w:r>
      <w:r w:rsidRPr="00DF6F7C">
        <w:rPr>
          <w:lang w:val="en-GB" w:eastAsia="ja-JP"/>
        </w:rPr>
        <w:t>clothing ensemble</w:t>
      </w:r>
      <w:r w:rsidRPr="00DF6F7C">
        <w:rPr>
          <w:rFonts w:hint="eastAsia"/>
          <w:lang w:val="en-GB" w:eastAsia="ja-JP"/>
        </w:rPr>
        <w:t xml:space="preserve"> </w:t>
      </w:r>
      <w:r w:rsidRPr="00DF6F7C">
        <w:rPr>
          <w:lang w:val="en-GB" w:eastAsia="ja-JP"/>
        </w:rPr>
        <w:t xml:space="preserve">(0.4 clo: underwear, socks, </w:t>
      </w:r>
      <w:r w:rsidRPr="00DF6F7C">
        <w:rPr>
          <w:rFonts w:hint="eastAsia"/>
          <w:lang w:val="en-GB" w:eastAsia="ja-JP"/>
        </w:rPr>
        <w:t>short-sleeve dress shirt</w:t>
      </w:r>
      <w:r w:rsidRPr="00DF6F7C">
        <w:rPr>
          <w:lang w:val="en-GB" w:eastAsia="ja-JP"/>
        </w:rPr>
        <w:t>, trousers, and shoes), while heating devices were tested with heavier clothing (0.8 clo: summer clothing plus light knit cardigan and jacket).</w:t>
      </w:r>
      <w:r w:rsidRPr="00DF6F7C">
        <w:rPr>
          <w:rFonts w:hint="eastAsia"/>
          <w:lang w:val="en-GB" w:eastAsia="ja-JP"/>
        </w:rPr>
        <w:t xml:space="preserve"> These c</w:t>
      </w:r>
      <w:r w:rsidRPr="00DF6F7C">
        <w:rPr>
          <w:lang w:val="en-GB" w:eastAsia="ja-JP"/>
        </w:rPr>
        <w:t>lothing insulation values were measured with the thermal manikin in accordance with ISO standard</w:t>
      </w:r>
      <w:r w:rsidRPr="00DF6F7C">
        <w:rPr>
          <w:rFonts w:hint="eastAsia"/>
          <w:lang w:val="en-GB" w:eastAsia="ja-JP"/>
        </w:rPr>
        <w:t xml:space="preserve"> 9920 (2007).</w:t>
      </w:r>
      <w:r w:rsidRPr="00DF6F7C">
        <w:rPr>
          <w:lang w:val="en-GB" w:eastAsia="ja-JP"/>
        </w:rPr>
        <w:t xml:space="preserve"> </w:t>
      </w:r>
    </w:p>
    <w:p w14:paraId="44F243B4" w14:textId="77777777" w:rsidR="001F7329" w:rsidRPr="00DF6F7C" w:rsidRDefault="001F7329" w:rsidP="001F7329">
      <w:pPr>
        <w:rPr>
          <w:lang w:val="en-GB" w:eastAsia="ja-JP"/>
        </w:rPr>
      </w:pPr>
      <w:r w:rsidRPr="00DF6F7C">
        <w:rPr>
          <w:lang w:val="en-GB" w:eastAsia="ja-JP"/>
        </w:rPr>
        <w:lastRenderedPageBreak/>
        <w:t xml:space="preserve">The manikin’s skin temperature was uniformly controlled at 34°C. The </w:t>
      </w:r>
      <w:r w:rsidRPr="00DF6F7C">
        <w:rPr>
          <w:rFonts w:hint="eastAsia"/>
          <w:lang w:val="en-GB" w:eastAsia="ja-JP"/>
        </w:rPr>
        <w:t>supplied</w:t>
      </w:r>
      <w:r w:rsidRPr="00DF6F7C">
        <w:rPr>
          <w:lang w:val="en-GB" w:eastAsia="ja-JP"/>
        </w:rPr>
        <w:t xml:space="preserve"> power required to maintain this temperature was continuously recorded under identical environmental conditions with and without PCS operation, and the difference in</w:t>
      </w:r>
      <w:r w:rsidRPr="00DF6F7C">
        <w:rPr>
          <w:rFonts w:hint="eastAsia"/>
          <w:lang w:val="en-GB" w:eastAsia="ja-JP"/>
        </w:rPr>
        <w:t xml:space="preserve"> </w:t>
      </w:r>
      <w:r w:rsidRPr="00DF6F7C">
        <w:rPr>
          <w:lang w:val="en-GB" w:eastAsia="ja-JP"/>
        </w:rPr>
        <w:t xml:space="preserve">the </w:t>
      </w:r>
      <w:r w:rsidRPr="00DF6F7C">
        <w:rPr>
          <w:rFonts w:hint="eastAsia"/>
          <w:lang w:val="en-GB" w:eastAsia="ja-JP"/>
        </w:rPr>
        <w:t>supplied</w:t>
      </w:r>
      <w:r w:rsidRPr="00DF6F7C">
        <w:rPr>
          <w:lang w:val="en-GB" w:eastAsia="ja-JP"/>
        </w:rPr>
        <w:t xml:space="preserve"> power</w:t>
      </w:r>
      <w:r w:rsidRPr="00DF6F7C">
        <w:rPr>
          <w:rFonts w:hint="eastAsia"/>
          <w:lang w:val="en-GB" w:eastAsia="ja-JP"/>
        </w:rPr>
        <w:t xml:space="preserve"> </w:t>
      </w:r>
      <w:r w:rsidRPr="00DF6F7C">
        <w:rPr>
          <w:lang w:val="en-GB" w:eastAsia="ja-JP"/>
        </w:rPr>
        <w:t>was defined as the PCS-induced thermal effect.</w:t>
      </w:r>
      <w:r w:rsidRPr="00DF6F7C">
        <w:rPr>
          <w:rFonts w:hint="eastAsia"/>
          <w:lang w:val="en-GB" w:eastAsia="ja-JP"/>
        </w:rPr>
        <w:t xml:space="preserve"> </w:t>
      </w:r>
      <w:r w:rsidRPr="00DF6F7C">
        <w:rPr>
          <w:lang w:val="en-GB" w:eastAsia="ja-JP"/>
        </w:rPr>
        <w:t xml:space="preserve">The resulting effects were </w:t>
      </w:r>
      <w:r w:rsidRPr="00DF6F7C">
        <w:rPr>
          <w:rFonts w:hint="eastAsia"/>
          <w:lang w:val="en-GB" w:eastAsia="ja-JP"/>
        </w:rPr>
        <w:t>converted to</w:t>
      </w:r>
      <w:r w:rsidRPr="00DF6F7C">
        <w:rPr>
          <w:lang w:val="en-GB" w:eastAsia="ja-JP"/>
        </w:rPr>
        <w:t xml:space="preserve"> equivalent delta temperatures</w:t>
      </w:r>
      <w:r w:rsidRPr="00DF6F7C">
        <w:rPr>
          <w:rFonts w:hint="eastAsia"/>
          <w:lang w:val="en-GB" w:eastAsia="ja-JP"/>
        </w:rPr>
        <w:t xml:space="preserve"> (</w:t>
      </w:r>
      <w:r w:rsidRPr="00DF6F7C">
        <w:rPr>
          <w:rFonts w:hint="eastAsia"/>
          <w:lang w:val="en-GB" w:eastAsia="ja-JP"/>
        </w:rPr>
        <w:t>Δ</w:t>
      </w:r>
      <w:r w:rsidRPr="00DF6F7C">
        <w:rPr>
          <w:rFonts w:hint="eastAsia"/>
          <w:i/>
          <w:iCs/>
          <w:lang w:val="en-GB" w:eastAsia="ja-JP"/>
        </w:rPr>
        <w:t>Teq</w:t>
      </w:r>
      <w:r w:rsidRPr="00DF6F7C">
        <w:rPr>
          <w:rFonts w:hint="eastAsia"/>
          <w:lang w:val="en-GB" w:eastAsia="ja-JP"/>
        </w:rPr>
        <w:t xml:space="preserve">) </w:t>
      </w:r>
      <w:r w:rsidRPr="006918CC">
        <w:rPr>
          <w:rFonts w:hint="eastAsia"/>
          <w:lang w:val="en-GB" w:eastAsia="ja-JP"/>
        </w:rPr>
        <w:t>[1]</w:t>
      </w:r>
      <w:r w:rsidRPr="00DF6F7C">
        <w:rPr>
          <w:lang w:val="en-GB" w:eastAsia="ja-JP"/>
        </w:rPr>
        <w:t>, representing the thermal offset introduced by PCS and indicating the potential for relaxation of ambient system setpoints.</w:t>
      </w:r>
    </w:p>
    <w:p w14:paraId="1D1C3732" w14:textId="77777777" w:rsidR="001F7329" w:rsidRPr="00DF6F7C" w:rsidRDefault="001F7329" w:rsidP="001F7329">
      <w:pPr>
        <w:pStyle w:val="2"/>
        <w:rPr>
          <w:lang w:val="en-GB"/>
        </w:rPr>
      </w:pPr>
    </w:p>
    <w:p w14:paraId="5E7E34BB" w14:textId="77777777" w:rsidR="001F7329" w:rsidRPr="00DF6F7C" w:rsidRDefault="001F7329" w:rsidP="001F7329">
      <w:pPr>
        <w:pStyle w:val="1"/>
        <w:rPr>
          <w:lang w:val="en-GB" w:eastAsia="ja-JP"/>
        </w:rPr>
      </w:pPr>
      <w:r w:rsidRPr="00DF6F7C">
        <w:rPr>
          <w:lang w:val="en-GB"/>
        </w:rPr>
        <w:t>3 RESULTS</w:t>
      </w:r>
    </w:p>
    <w:p w14:paraId="2AB9D349" w14:textId="77777777" w:rsidR="001F7329" w:rsidRPr="00DF6F7C" w:rsidRDefault="001F7329" w:rsidP="001F7329">
      <w:pPr>
        <w:rPr>
          <w:lang w:val="en-GB" w:eastAsia="ja-JP"/>
        </w:rPr>
      </w:pPr>
      <w:r w:rsidRPr="00DF6F7C">
        <w:rPr>
          <w:lang w:val="en-GB" w:eastAsia="ja-JP"/>
        </w:rPr>
        <w:t xml:space="preserve">The device information (e.g., size, brand, and dimensions), experimental conditions (e.g., air temperature and relative humidity for each test), and </w:t>
      </w:r>
      <w:r w:rsidRPr="00DF6F7C">
        <w:rPr>
          <w:rFonts w:hint="eastAsia"/>
          <w:lang w:val="en-GB" w:eastAsia="ja-JP"/>
        </w:rPr>
        <w:t>measurement results</w:t>
      </w:r>
      <w:r w:rsidRPr="00DF6F7C">
        <w:rPr>
          <w:lang w:val="en-GB" w:eastAsia="ja-JP"/>
        </w:rPr>
        <w:t xml:space="preserve"> (skin temperature and supplied electrical power) are included in the database. Each PCS is assigned a unique identifier. Users can access </w:t>
      </w:r>
      <w:r w:rsidRPr="00DF6F7C">
        <w:rPr>
          <w:rFonts w:hint="eastAsia"/>
          <w:lang w:val="en-GB" w:eastAsia="ja-JP"/>
        </w:rPr>
        <w:t>the results</w:t>
      </w:r>
      <w:r w:rsidRPr="00DF6F7C">
        <w:rPr>
          <w:lang w:val="en-GB" w:eastAsia="ja-JP"/>
        </w:rPr>
        <w:t xml:space="preserve"> of individual PCS devices according to their interests and application needs.</w:t>
      </w:r>
      <w:r w:rsidRPr="00DF6F7C">
        <w:rPr>
          <w:rFonts w:hint="eastAsia"/>
          <w:lang w:val="en-GB" w:eastAsia="ja-JP"/>
        </w:rPr>
        <w:t xml:space="preserve"> </w:t>
      </w:r>
      <w:r w:rsidRPr="00DF6F7C">
        <w:rPr>
          <w:lang w:val="en-GB" w:eastAsia="ja-JP"/>
        </w:rPr>
        <w:t xml:space="preserve">Figure 1 presents example results illustrating the overall </w:t>
      </w:r>
      <w:r w:rsidRPr="00DF6F7C">
        <w:rPr>
          <w:rFonts w:hint="eastAsia"/>
          <w:lang w:val="en-GB" w:eastAsia="ja-JP"/>
        </w:rPr>
        <w:t xml:space="preserve">cooling and heating </w:t>
      </w:r>
      <w:r w:rsidRPr="00DF6F7C">
        <w:rPr>
          <w:lang w:val="en-GB" w:eastAsia="ja-JP"/>
        </w:rPr>
        <w:t xml:space="preserve">effects of PCS at their mid-level settings on </w:t>
      </w:r>
      <w:r w:rsidRPr="00DF6F7C">
        <w:rPr>
          <w:i/>
          <w:iCs/>
          <w:lang w:val="en-GB" w:eastAsia="ja-JP"/>
        </w:rPr>
        <w:t>ΔTeq</w:t>
      </w:r>
      <w:r w:rsidRPr="00DF6F7C">
        <w:rPr>
          <w:lang w:val="en-GB" w:eastAsia="ja-JP"/>
        </w:rPr>
        <w:t xml:space="preserve"> under an ambient operative temperature of 25 °C. Small fans (e.g., IDs 1–7) exhibited limited cooling effects of less than 1°C. In contrast, standing fans (IDs 8 and 9) and an</w:t>
      </w:r>
      <w:r w:rsidRPr="00DF6F7C">
        <w:rPr>
          <w:rFonts w:hint="eastAsia"/>
          <w:lang w:val="en-GB" w:eastAsia="ja-JP"/>
        </w:rPr>
        <w:t xml:space="preserve"> </w:t>
      </w:r>
      <w:r w:rsidRPr="00DF6F7C">
        <w:rPr>
          <w:lang w:val="en-GB" w:eastAsia="ja-JP"/>
        </w:rPr>
        <w:t>evaporative cooler (ID 10) produced moderate cooling effects ranging from 1.8 to 3.0 °C. The heating effects of PCS at their mid-level settings</w:t>
      </w:r>
      <w:r w:rsidRPr="00DF6F7C">
        <w:rPr>
          <w:rFonts w:hint="eastAsia"/>
          <w:lang w:val="en-GB" w:eastAsia="ja-JP"/>
        </w:rPr>
        <w:t xml:space="preserve"> </w:t>
      </w:r>
      <w:r w:rsidRPr="00DF6F7C">
        <w:rPr>
          <w:lang w:val="en-GB" w:eastAsia="ja-JP"/>
        </w:rPr>
        <w:t>in this study ranged from approximately 0.5 °C to 3.0 °C (IDs 11-17), with the heating pad (ID 11) applied to the back showing the strongest impact.</w:t>
      </w:r>
    </w:p>
    <w:p w14:paraId="35EB59D5" w14:textId="77777777" w:rsidR="001F7329" w:rsidRPr="00DF6F7C" w:rsidRDefault="001F7329" w:rsidP="001F7329">
      <w:pPr>
        <w:rPr>
          <w:lang w:val="en-GB" w:eastAsia="ja-JP"/>
        </w:rPr>
      </w:pPr>
    </w:p>
    <w:p w14:paraId="20E210B4" w14:textId="63173F65" w:rsidR="001F7329" w:rsidRPr="00DF6F7C" w:rsidRDefault="002D6FD6" w:rsidP="001F7329">
      <w:r w:rsidRPr="002D6FD6">
        <w:drawing>
          <wp:inline distT="0" distB="0" distL="0" distR="0" wp14:anchorId="0DE7EFDE" wp14:editId="22B2BF84">
            <wp:extent cx="5768340" cy="1430020"/>
            <wp:effectExtent l="0" t="0" r="3810" b="0"/>
            <wp:docPr id="1288803097" name="図 1"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03097" name="図 1" descr="グラフィカル ユーザー インターフェイス, アプリケーション&#10;&#10;AI 生成コンテンツは誤りを含む可能性があります。"/>
                    <pic:cNvPicPr/>
                  </pic:nvPicPr>
                  <pic:blipFill>
                    <a:blip r:embed="rId9"/>
                    <a:stretch>
                      <a:fillRect/>
                    </a:stretch>
                  </pic:blipFill>
                  <pic:spPr>
                    <a:xfrm>
                      <a:off x="0" y="0"/>
                      <a:ext cx="5768340" cy="1430020"/>
                    </a:xfrm>
                    <a:prstGeom prst="rect">
                      <a:avLst/>
                    </a:prstGeom>
                  </pic:spPr>
                </pic:pic>
              </a:graphicData>
            </a:graphic>
          </wp:inline>
        </w:drawing>
      </w:r>
    </w:p>
    <w:p w14:paraId="1BA79871" w14:textId="77777777" w:rsidR="001F7329" w:rsidRPr="00DF6F7C" w:rsidRDefault="001F7329" w:rsidP="001F7329">
      <w:pPr>
        <w:rPr>
          <w:lang w:val="en-GB" w:eastAsia="ja-JP"/>
        </w:rPr>
      </w:pPr>
      <w:r w:rsidRPr="00DF6F7C">
        <w:rPr>
          <w:lang w:val="en-GB"/>
        </w:rPr>
        <w:t>Figure 1. Example of the experimental setup and representative results for 17 PCS devices (</w:t>
      </w:r>
      <w:r w:rsidRPr="00DF6F7C">
        <w:rPr>
          <w:i/>
          <w:iCs/>
          <w:lang w:val="en-GB"/>
        </w:rPr>
        <w:t>ΔTeq</w:t>
      </w:r>
      <w:r w:rsidRPr="00DF6F7C">
        <w:rPr>
          <w:rFonts w:hint="eastAsia"/>
          <w:lang w:val="en-GB" w:eastAsia="ja-JP"/>
        </w:rPr>
        <w:t xml:space="preserve"> for the overall body</w:t>
      </w:r>
      <w:r w:rsidRPr="00DF6F7C">
        <w:rPr>
          <w:lang w:val="en-GB"/>
        </w:rPr>
        <w:t>). The presented effects correspond to mid-level operation under an ambient temperature of 25 °C.</w:t>
      </w:r>
    </w:p>
    <w:p w14:paraId="078FF2BB" w14:textId="77777777" w:rsidR="001F7329" w:rsidRPr="00DF6F7C" w:rsidRDefault="001F7329" w:rsidP="001F7329">
      <w:pPr>
        <w:rPr>
          <w:lang w:val="en-GB"/>
        </w:rPr>
      </w:pPr>
    </w:p>
    <w:p w14:paraId="385FB4F1" w14:textId="77777777" w:rsidR="001F7329" w:rsidRPr="00DF6F7C" w:rsidRDefault="001F7329" w:rsidP="001F7329">
      <w:pPr>
        <w:pStyle w:val="1"/>
        <w:rPr>
          <w:lang w:val="en-GB" w:eastAsia="ja-JP"/>
        </w:rPr>
      </w:pPr>
      <w:r w:rsidRPr="00DF6F7C">
        <w:rPr>
          <w:rFonts w:hint="eastAsia"/>
          <w:lang w:val="en-GB" w:eastAsia="ja-JP"/>
        </w:rPr>
        <w:t>4</w:t>
      </w:r>
      <w:r w:rsidRPr="00DF6F7C">
        <w:rPr>
          <w:lang w:val="en-GB"/>
        </w:rPr>
        <w:t xml:space="preserve"> </w:t>
      </w:r>
      <w:r w:rsidRPr="00DF6F7C">
        <w:rPr>
          <w:lang w:val="en-GB" w:eastAsia="ja-JP"/>
        </w:rPr>
        <w:t>DISCUSSIONS</w:t>
      </w:r>
    </w:p>
    <w:p w14:paraId="4AAD668E" w14:textId="77777777" w:rsidR="001F7329" w:rsidRPr="00F56CE7" w:rsidRDefault="001F7329" w:rsidP="001F7329">
      <w:pPr>
        <w:rPr>
          <w:lang w:val="en-GB" w:eastAsia="ja-JP"/>
        </w:rPr>
      </w:pPr>
      <w:r w:rsidRPr="00DF6F7C">
        <w:rPr>
          <w:lang w:val="en-AU" w:eastAsia="ja-JP"/>
        </w:rPr>
        <w:t xml:space="preserve">The database quantifies the extent to which setpoint temperatures may be relaxed according to the selected PCS, thereby facilitating its inclusion in </w:t>
      </w:r>
      <w:r w:rsidRPr="00DF6F7C">
        <w:rPr>
          <w:rFonts w:hint="eastAsia"/>
          <w:lang w:val="en-AU" w:eastAsia="ja-JP"/>
        </w:rPr>
        <w:t>air conditioning</w:t>
      </w:r>
      <w:r w:rsidRPr="00DF6F7C">
        <w:rPr>
          <w:lang w:val="en-AU" w:eastAsia="ja-JP"/>
        </w:rPr>
        <w:t xml:space="preserve"> design strategies.</w:t>
      </w:r>
      <w:r w:rsidRPr="00DF6F7C">
        <w:rPr>
          <w:rFonts w:hint="eastAsia"/>
          <w:lang w:val="en-AU" w:eastAsia="ja-JP"/>
        </w:rPr>
        <w:t xml:space="preserve"> However, </w:t>
      </w:r>
      <w:r w:rsidRPr="00DF6F7C">
        <w:rPr>
          <w:rFonts w:hint="eastAsia"/>
          <w:lang w:val="en-GB" w:eastAsia="ja-JP"/>
        </w:rPr>
        <w:t>t</w:t>
      </w:r>
      <w:r w:rsidRPr="00DF6F7C">
        <w:rPr>
          <w:lang w:val="en-GB" w:eastAsia="ja-JP"/>
        </w:rPr>
        <w:t>his study has several limitations that should be considered when interpreting the results. First, latent heat effects associated with sweating were not included as the manikin only calculates dry heat losses. Under real conditions involving perspiration, the cooling effect of fans is expected to be greater; therefore, the present measurements may underestimate the actual cooling effect of PCS in hot environment</w:t>
      </w:r>
      <w:r w:rsidRPr="00DF6F7C">
        <w:rPr>
          <w:rFonts w:hint="eastAsia"/>
          <w:lang w:val="en-GB" w:eastAsia="ja-JP"/>
        </w:rPr>
        <w:t>s. S</w:t>
      </w:r>
      <w:r w:rsidRPr="00DF6F7C">
        <w:rPr>
          <w:lang w:val="en-GB" w:eastAsia="ja-JP"/>
        </w:rPr>
        <w:t>econd, this paper only showed changes in whole-body equivalent temperature</w:t>
      </w:r>
      <w:r w:rsidRPr="00DF6F7C">
        <w:rPr>
          <w:rFonts w:hint="eastAsia"/>
          <w:lang w:val="en-GB" w:eastAsia="ja-JP"/>
        </w:rPr>
        <w:t xml:space="preserve"> (</w:t>
      </w:r>
      <w:r w:rsidRPr="00DF6F7C">
        <w:rPr>
          <w:rFonts w:hint="eastAsia"/>
          <w:lang w:val="en-GB" w:eastAsia="ja-JP"/>
        </w:rPr>
        <w:t>Δ</w:t>
      </w:r>
      <w:r w:rsidRPr="00DF6F7C">
        <w:rPr>
          <w:i/>
          <w:iCs/>
          <w:lang w:val="en-GB" w:eastAsia="ja-JP"/>
        </w:rPr>
        <w:t>Teq</w:t>
      </w:r>
      <w:r w:rsidRPr="00DF6F7C">
        <w:rPr>
          <w:rFonts w:hint="eastAsia"/>
          <w:lang w:val="en-GB" w:eastAsia="ja-JP"/>
        </w:rPr>
        <w:t>)</w:t>
      </w:r>
      <w:r w:rsidRPr="00DF6F7C">
        <w:rPr>
          <w:lang w:val="en-GB" w:eastAsia="ja-JP"/>
        </w:rPr>
        <w:t>.</w:t>
      </w:r>
      <w:r w:rsidRPr="00DF6F7C">
        <w:rPr>
          <w:rFonts w:hint="eastAsia"/>
          <w:lang w:val="en-GB" w:eastAsia="ja-JP"/>
        </w:rPr>
        <w:t xml:space="preserve"> Although the d</w:t>
      </w:r>
      <w:r w:rsidRPr="00DF6F7C">
        <w:rPr>
          <w:lang w:val="en-GB" w:eastAsia="ja-JP"/>
        </w:rPr>
        <w:t xml:space="preserve">esk fans exhibited small whole-body </w:t>
      </w:r>
      <w:r w:rsidRPr="00DF6F7C">
        <w:rPr>
          <w:rFonts w:hint="eastAsia"/>
          <w:lang w:val="en-GB" w:eastAsia="ja-JP"/>
        </w:rPr>
        <w:t xml:space="preserve">cooling </w:t>
      </w:r>
      <w:r w:rsidRPr="00DF6F7C">
        <w:rPr>
          <w:lang w:val="en-GB" w:eastAsia="ja-JP"/>
        </w:rPr>
        <w:t>effects,</w:t>
      </w:r>
      <w:r w:rsidRPr="00DF6F7C">
        <w:rPr>
          <w:rFonts w:hint="eastAsia"/>
          <w:lang w:val="en-GB" w:eastAsia="ja-JP"/>
        </w:rPr>
        <w:t xml:space="preserve"> t</w:t>
      </w:r>
      <w:r w:rsidRPr="00DF6F7C">
        <w:rPr>
          <w:lang w:val="en-GB" w:eastAsia="ja-JP"/>
        </w:rPr>
        <w:t>hey provided stronger localized cooling around the head and upper body</w:t>
      </w:r>
      <w:r w:rsidRPr="00DF6F7C">
        <w:rPr>
          <w:rFonts w:hint="eastAsia"/>
          <w:lang w:val="en-GB" w:eastAsia="ja-JP"/>
        </w:rPr>
        <w:t>. Please note that h</w:t>
      </w:r>
      <w:r w:rsidRPr="00DF6F7C">
        <w:rPr>
          <w:lang w:val="en-GB" w:eastAsia="ja-JP"/>
        </w:rPr>
        <w:t xml:space="preserve">uman thermal perception is more complex than the area-weighted averaging used in thermal manikin calculations </w:t>
      </w:r>
      <w:r w:rsidRPr="00DF6F7C">
        <w:rPr>
          <w:rFonts w:hint="eastAsia"/>
          <w:lang w:val="en-GB" w:eastAsia="ja-JP"/>
        </w:rPr>
        <w:t>[</w:t>
      </w:r>
      <w:r w:rsidRPr="00DF6F7C">
        <w:rPr>
          <w:lang w:val="en-GB" w:eastAsia="ja-JP"/>
        </w:rPr>
        <w:t>2</w:t>
      </w:r>
      <w:r w:rsidRPr="00DF6F7C">
        <w:rPr>
          <w:rFonts w:hint="eastAsia"/>
          <w:lang w:val="en-GB" w:eastAsia="ja-JP"/>
        </w:rPr>
        <w:t>]</w:t>
      </w:r>
      <w:r w:rsidRPr="00DF6F7C">
        <w:rPr>
          <w:lang w:val="en-GB" w:eastAsia="ja-JP"/>
        </w:rPr>
        <w:t xml:space="preserve">. Finally, convective heat loss by PCS depends on both the manikin surface temperature and the surrounding air temperature. Results vary under different </w:t>
      </w:r>
      <w:r w:rsidRPr="00DF6F7C">
        <w:rPr>
          <w:rFonts w:hint="eastAsia"/>
          <w:lang w:val="en-GB" w:eastAsia="ja-JP"/>
        </w:rPr>
        <w:t xml:space="preserve">temperature conditions, so we encourage users to </w:t>
      </w:r>
      <w:r w:rsidRPr="00DF6F7C">
        <w:rPr>
          <w:lang w:val="en-GB" w:eastAsia="ja-JP"/>
        </w:rPr>
        <w:t>access the database for additional results.</w:t>
      </w:r>
    </w:p>
    <w:p w14:paraId="794429BA" w14:textId="77777777" w:rsidR="001F7329" w:rsidRPr="00DF6F7C" w:rsidRDefault="001F7329" w:rsidP="001F7329">
      <w:pPr>
        <w:rPr>
          <w:lang w:val="en-GB" w:eastAsia="ja-JP"/>
        </w:rPr>
      </w:pPr>
    </w:p>
    <w:p w14:paraId="4701C419" w14:textId="77777777" w:rsidR="001F7329" w:rsidRPr="00DF6F7C" w:rsidRDefault="001F7329" w:rsidP="001F7329">
      <w:pPr>
        <w:pStyle w:val="1"/>
        <w:rPr>
          <w:lang w:val="en-GB" w:eastAsia="ja-JP"/>
        </w:rPr>
      </w:pPr>
      <w:r w:rsidRPr="00DF6F7C">
        <w:rPr>
          <w:rFonts w:hint="eastAsia"/>
          <w:lang w:val="en-GB" w:eastAsia="ja-JP"/>
        </w:rPr>
        <w:t>REFERENCE</w:t>
      </w:r>
      <w:r>
        <w:rPr>
          <w:lang w:val="en-GB" w:eastAsia="ja-JP"/>
        </w:rPr>
        <w:t>S</w:t>
      </w:r>
    </w:p>
    <w:p w14:paraId="56FE7AC4" w14:textId="79B56BF0" w:rsidR="004829F1" w:rsidRPr="001F7329" w:rsidRDefault="001F7329" w:rsidP="001F7329">
      <w:pPr>
        <w:rPr>
          <w:rFonts w:hint="eastAsia"/>
          <w:lang w:eastAsia="ja-JP"/>
        </w:rPr>
      </w:pPr>
      <w:r w:rsidRPr="006918CC">
        <w:rPr>
          <w:rFonts w:hint="eastAsia"/>
          <w:lang w:val="en-GB" w:eastAsia="ja-JP"/>
        </w:rPr>
        <w:t>[1]</w:t>
      </w:r>
      <w:r w:rsidRPr="00DF6F7C">
        <w:rPr>
          <w:rFonts w:hint="eastAsia"/>
          <w:lang w:val="en-GB" w:eastAsia="ja-JP"/>
        </w:rPr>
        <w:t xml:space="preserve"> </w:t>
      </w:r>
      <w:r w:rsidRPr="00DF6F7C">
        <w:rPr>
          <w:lang w:val="en-GB" w:eastAsia="ja-JP"/>
        </w:rPr>
        <w:t>ISO 7726</w:t>
      </w:r>
      <w:r w:rsidRPr="00DF6F7C">
        <w:rPr>
          <w:rFonts w:hint="eastAsia"/>
          <w:lang w:val="en-GB" w:eastAsia="ja-JP"/>
        </w:rPr>
        <w:t xml:space="preserve"> (</w:t>
      </w:r>
      <w:r w:rsidRPr="00DF6F7C">
        <w:rPr>
          <w:lang w:val="en-GB" w:eastAsia="ja-JP"/>
        </w:rPr>
        <w:t>1998</w:t>
      </w:r>
      <w:r w:rsidRPr="00DF6F7C">
        <w:rPr>
          <w:rFonts w:hint="eastAsia"/>
          <w:lang w:val="en-GB" w:eastAsia="ja-JP"/>
        </w:rPr>
        <w:t>)</w:t>
      </w:r>
      <w:r w:rsidRPr="00DF6F7C">
        <w:rPr>
          <w:lang w:val="en-GB" w:eastAsia="ja-JP"/>
        </w:rPr>
        <w:t xml:space="preserve"> </w:t>
      </w:r>
      <w:r w:rsidRPr="00DF6F7C">
        <w:rPr>
          <w:rFonts w:hint="eastAsia"/>
          <w:lang w:val="en-GB" w:eastAsia="ja-JP"/>
        </w:rPr>
        <w:t xml:space="preserve">[2] </w:t>
      </w:r>
      <w:r w:rsidRPr="00DF6F7C">
        <w:rPr>
          <w:lang w:val="en-GB" w:eastAsia="ja-JP"/>
        </w:rPr>
        <w:t>Hui Zhang, Human thermal sensation and comfort in transient and non-uniform thermal environments, University of California, Berkeley</w:t>
      </w:r>
      <w:r>
        <w:rPr>
          <w:lang w:val="en-GB" w:eastAsia="ja-JP"/>
        </w:rPr>
        <w:t>, (</w:t>
      </w:r>
      <w:r w:rsidRPr="00DF6F7C">
        <w:rPr>
          <w:lang w:val="en-GB" w:eastAsia="ja-JP"/>
        </w:rPr>
        <w:t>2003</w:t>
      </w:r>
      <w:r>
        <w:rPr>
          <w:lang w:val="en-GB" w:eastAsia="ja-JP"/>
        </w:rPr>
        <w:t>)</w:t>
      </w:r>
    </w:p>
    <w:sectPr w:rsidR="004829F1" w:rsidRPr="001F7329" w:rsidSect="00623904">
      <w:type w:val="continuous"/>
      <w:pgSz w:w="11906" w:h="16838" w:code="9"/>
      <w:pgMar w:top="1411" w:right="1411" w:bottom="1411" w:left="1411"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0545C" w14:textId="77777777" w:rsidR="00B2240A" w:rsidRDefault="00B2240A" w:rsidP="00AB73F6">
      <w:r>
        <w:separator/>
      </w:r>
    </w:p>
  </w:endnote>
  <w:endnote w:type="continuationSeparator" w:id="0">
    <w:p w14:paraId="55462629" w14:textId="77777777" w:rsidR="00B2240A" w:rsidRDefault="00B2240A" w:rsidP="00AB73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游明朝">
    <w:panose1 w:val="02020400000000000000"/>
    <w:charset w:val="80"/>
    <w:family w:val="roman"/>
    <w:pitch w:val="variable"/>
    <w:sig w:usb0="800002E7" w:usb1="2AC7FCFF" w:usb2="00000012"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0E676" w14:textId="77777777" w:rsidR="00B2240A" w:rsidRDefault="00B2240A" w:rsidP="00AB73F6">
      <w:r>
        <w:separator/>
      </w:r>
    </w:p>
  </w:footnote>
  <w:footnote w:type="continuationSeparator" w:id="0">
    <w:p w14:paraId="216C9B83" w14:textId="77777777" w:rsidR="00B2240A" w:rsidRDefault="00B2240A" w:rsidP="00AB73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1DAF1E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5F0E2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F7DE8018"/>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097AE248"/>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5A701120"/>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B86C98D6"/>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08AED9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817E60C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596AACE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C3C46E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F4E0F2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96C5B15"/>
    <w:multiLevelType w:val="hybridMultilevel"/>
    <w:tmpl w:val="F8ECFD48"/>
    <w:lvl w:ilvl="0" w:tplc="040B0005">
      <w:start w:val="1"/>
      <w:numFmt w:val="bullet"/>
      <w:lvlText w:val=""/>
      <w:lvlJc w:val="left"/>
      <w:pPr>
        <w:tabs>
          <w:tab w:val="num" w:pos="360"/>
        </w:tabs>
        <w:ind w:left="360" w:hanging="360"/>
      </w:pPr>
      <w:rPr>
        <w:rFonts w:ascii="Wingdings" w:hAnsi="Wingdings" w:hint="default"/>
      </w:rPr>
    </w:lvl>
    <w:lvl w:ilvl="1" w:tplc="040B0003" w:tentative="1">
      <w:start w:val="1"/>
      <w:numFmt w:val="bullet"/>
      <w:lvlText w:val="o"/>
      <w:lvlJc w:val="left"/>
      <w:pPr>
        <w:tabs>
          <w:tab w:val="num" w:pos="1080"/>
        </w:tabs>
        <w:ind w:left="1080" w:hanging="360"/>
      </w:pPr>
      <w:rPr>
        <w:rFonts w:ascii="Courier New" w:hAnsi="Courier New" w:hint="default"/>
      </w:rPr>
    </w:lvl>
    <w:lvl w:ilvl="2" w:tplc="040B0005" w:tentative="1">
      <w:start w:val="1"/>
      <w:numFmt w:val="bullet"/>
      <w:lvlText w:val=""/>
      <w:lvlJc w:val="left"/>
      <w:pPr>
        <w:tabs>
          <w:tab w:val="num" w:pos="1800"/>
        </w:tabs>
        <w:ind w:left="1800" w:hanging="360"/>
      </w:pPr>
      <w:rPr>
        <w:rFonts w:ascii="Wingdings" w:hAnsi="Wingdings" w:hint="default"/>
      </w:rPr>
    </w:lvl>
    <w:lvl w:ilvl="3" w:tplc="040B0001" w:tentative="1">
      <w:start w:val="1"/>
      <w:numFmt w:val="bullet"/>
      <w:lvlText w:val=""/>
      <w:lvlJc w:val="left"/>
      <w:pPr>
        <w:tabs>
          <w:tab w:val="num" w:pos="2520"/>
        </w:tabs>
        <w:ind w:left="2520" w:hanging="360"/>
      </w:pPr>
      <w:rPr>
        <w:rFonts w:ascii="Symbol" w:hAnsi="Symbol" w:hint="default"/>
      </w:rPr>
    </w:lvl>
    <w:lvl w:ilvl="4" w:tplc="040B0003" w:tentative="1">
      <w:start w:val="1"/>
      <w:numFmt w:val="bullet"/>
      <w:lvlText w:val="o"/>
      <w:lvlJc w:val="left"/>
      <w:pPr>
        <w:tabs>
          <w:tab w:val="num" w:pos="3240"/>
        </w:tabs>
        <w:ind w:left="3240" w:hanging="360"/>
      </w:pPr>
      <w:rPr>
        <w:rFonts w:ascii="Courier New" w:hAnsi="Courier New" w:hint="default"/>
      </w:rPr>
    </w:lvl>
    <w:lvl w:ilvl="5" w:tplc="040B0005" w:tentative="1">
      <w:start w:val="1"/>
      <w:numFmt w:val="bullet"/>
      <w:lvlText w:val=""/>
      <w:lvlJc w:val="left"/>
      <w:pPr>
        <w:tabs>
          <w:tab w:val="num" w:pos="3960"/>
        </w:tabs>
        <w:ind w:left="3960" w:hanging="360"/>
      </w:pPr>
      <w:rPr>
        <w:rFonts w:ascii="Wingdings" w:hAnsi="Wingdings" w:hint="default"/>
      </w:rPr>
    </w:lvl>
    <w:lvl w:ilvl="6" w:tplc="040B0001" w:tentative="1">
      <w:start w:val="1"/>
      <w:numFmt w:val="bullet"/>
      <w:lvlText w:val=""/>
      <w:lvlJc w:val="left"/>
      <w:pPr>
        <w:tabs>
          <w:tab w:val="num" w:pos="4680"/>
        </w:tabs>
        <w:ind w:left="4680" w:hanging="360"/>
      </w:pPr>
      <w:rPr>
        <w:rFonts w:ascii="Symbol" w:hAnsi="Symbol" w:hint="default"/>
      </w:rPr>
    </w:lvl>
    <w:lvl w:ilvl="7" w:tplc="040B0003" w:tentative="1">
      <w:start w:val="1"/>
      <w:numFmt w:val="bullet"/>
      <w:lvlText w:val="o"/>
      <w:lvlJc w:val="left"/>
      <w:pPr>
        <w:tabs>
          <w:tab w:val="num" w:pos="5400"/>
        </w:tabs>
        <w:ind w:left="5400" w:hanging="360"/>
      </w:pPr>
      <w:rPr>
        <w:rFonts w:ascii="Courier New" w:hAnsi="Courier New" w:hint="default"/>
      </w:rPr>
    </w:lvl>
    <w:lvl w:ilvl="8" w:tplc="040B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770E1959"/>
    <w:multiLevelType w:val="hybridMultilevel"/>
    <w:tmpl w:val="1C44A89E"/>
    <w:lvl w:ilvl="0" w:tplc="040B0005">
      <w:start w:val="1"/>
      <w:numFmt w:val="bullet"/>
      <w:lvlText w:val=""/>
      <w:lvlJc w:val="left"/>
      <w:pPr>
        <w:tabs>
          <w:tab w:val="num" w:pos="360"/>
        </w:tabs>
        <w:ind w:left="360" w:hanging="360"/>
      </w:pPr>
      <w:rPr>
        <w:rFonts w:ascii="Wingdings" w:hAnsi="Wingdings" w:hint="default"/>
      </w:rPr>
    </w:lvl>
    <w:lvl w:ilvl="1" w:tplc="040B0003" w:tentative="1">
      <w:start w:val="1"/>
      <w:numFmt w:val="bullet"/>
      <w:lvlText w:val="o"/>
      <w:lvlJc w:val="left"/>
      <w:pPr>
        <w:tabs>
          <w:tab w:val="num" w:pos="1080"/>
        </w:tabs>
        <w:ind w:left="1080" w:hanging="360"/>
      </w:pPr>
      <w:rPr>
        <w:rFonts w:ascii="Courier New" w:hAnsi="Courier New" w:hint="default"/>
      </w:rPr>
    </w:lvl>
    <w:lvl w:ilvl="2" w:tplc="040B0005" w:tentative="1">
      <w:start w:val="1"/>
      <w:numFmt w:val="bullet"/>
      <w:lvlText w:val=""/>
      <w:lvlJc w:val="left"/>
      <w:pPr>
        <w:tabs>
          <w:tab w:val="num" w:pos="1800"/>
        </w:tabs>
        <w:ind w:left="1800" w:hanging="360"/>
      </w:pPr>
      <w:rPr>
        <w:rFonts w:ascii="Wingdings" w:hAnsi="Wingdings" w:hint="default"/>
      </w:rPr>
    </w:lvl>
    <w:lvl w:ilvl="3" w:tplc="040B0001" w:tentative="1">
      <w:start w:val="1"/>
      <w:numFmt w:val="bullet"/>
      <w:lvlText w:val=""/>
      <w:lvlJc w:val="left"/>
      <w:pPr>
        <w:tabs>
          <w:tab w:val="num" w:pos="2520"/>
        </w:tabs>
        <w:ind w:left="2520" w:hanging="360"/>
      </w:pPr>
      <w:rPr>
        <w:rFonts w:ascii="Symbol" w:hAnsi="Symbol" w:hint="default"/>
      </w:rPr>
    </w:lvl>
    <w:lvl w:ilvl="4" w:tplc="040B0003" w:tentative="1">
      <w:start w:val="1"/>
      <w:numFmt w:val="bullet"/>
      <w:lvlText w:val="o"/>
      <w:lvlJc w:val="left"/>
      <w:pPr>
        <w:tabs>
          <w:tab w:val="num" w:pos="3240"/>
        </w:tabs>
        <w:ind w:left="3240" w:hanging="360"/>
      </w:pPr>
      <w:rPr>
        <w:rFonts w:ascii="Courier New" w:hAnsi="Courier New" w:hint="default"/>
      </w:rPr>
    </w:lvl>
    <w:lvl w:ilvl="5" w:tplc="040B0005" w:tentative="1">
      <w:start w:val="1"/>
      <w:numFmt w:val="bullet"/>
      <w:lvlText w:val=""/>
      <w:lvlJc w:val="left"/>
      <w:pPr>
        <w:tabs>
          <w:tab w:val="num" w:pos="3960"/>
        </w:tabs>
        <w:ind w:left="3960" w:hanging="360"/>
      </w:pPr>
      <w:rPr>
        <w:rFonts w:ascii="Wingdings" w:hAnsi="Wingdings" w:hint="default"/>
      </w:rPr>
    </w:lvl>
    <w:lvl w:ilvl="6" w:tplc="040B0001" w:tentative="1">
      <w:start w:val="1"/>
      <w:numFmt w:val="bullet"/>
      <w:lvlText w:val=""/>
      <w:lvlJc w:val="left"/>
      <w:pPr>
        <w:tabs>
          <w:tab w:val="num" w:pos="4680"/>
        </w:tabs>
        <w:ind w:left="4680" w:hanging="360"/>
      </w:pPr>
      <w:rPr>
        <w:rFonts w:ascii="Symbol" w:hAnsi="Symbol" w:hint="default"/>
      </w:rPr>
    </w:lvl>
    <w:lvl w:ilvl="7" w:tplc="040B0003" w:tentative="1">
      <w:start w:val="1"/>
      <w:numFmt w:val="bullet"/>
      <w:lvlText w:val="o"/>
      <w:lvlJc w:val="left"/>
      <w:pPr>
        <w:tabs>
          <w:tab w:val="num" w:pos="5400"/>
        </w:tabs>
        <w:ind w:left="5400" w:hanging="360"/>
      </w:pPr>
      <w:rPr>
        <w:rFonts w:ascii="Courier New" w:hAnsi="Courier New" w:hint="default"/>
      </w:rPr>
    </w:lvl>
    <w:lvl w:ilvl="8" w:tplc="040B0005" w:tentative="1">
      <w:start w:val="1"/>
      <w:numFmt w:val="bullet"/>
      <w:lvlText w:val=""/>
      <w:lvlJc w:val="left"/>
      <w:pPr>
        <w:tabs>
          <w:tab w:val="num" w:pos="6120"/>
        </w:tabs>
        <w:ind w:left="6120" w:hanging="360"/>
      </w:pPr>
      <w:rPr>
        <w:rFonts w:ascii="Wingdings" w:hAnsi="Wingdings" w:hint="default"/>
      </w:rPr>
    </w:lvl>
  </w:abstractNum>
  <w:num w:numId="1" w16cid:durableId="1066026293">
    <w:abstractNumId w:val="12"/>
  </w:num>
  <w:num w:numId="2" w16cid:durableId="1032803811">
    <w:abstractNumId w:val="11"/>
  </w:num>
  <w:num w:numId="3" w16cid:durableId="1025331957">
    <w:abstractNumId w:val="10"/>
  </w:num>
  <w:num w:numId="4" w16cid:durableId="905846488">
    <w:abstractNumId w:val="8"/>
  </w:num>
  <w:num w:numId="5" w16cid:durableId="1831601075">
    <w:abstractNumId w:val="7"/>
  </w:num>
  <w:num w:numId="6" w16cid:durableId="168758780">
    <w:abstractNumId w:val="6"/>
  </w:num>
  <w:num w:numId="7" w16cid:durableId="513149356">
    <w:abstractNumId w:val="5"/>
  </w:num>
  <w:num w:numId="8" w16cid:durableId="1239486534">
    <w:abstractNumId w:val="9"/>
  </w:num>
  <w:num w:numId="9" w16cid:durableId="98334735">
    <w:abstractNumId w:val="4"/>
  </w:num>
  <w:num w:numId="10" w16cid:durableId="898596815">
    <w:abstractNumId w:val="3"/>
  </w:num>
  <w:num w:numId="11" w16cid:durableId="1791439469">
    <w:abstractNumId w:val="2"/>
  </w:num>
  <w:num w:numId="12" w16cid:durableId="1331131254">
    <w:abstractNumId w:val="1"/>
  </w:num>
  <w:num w:numId="13" w16cid:durableId="870143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bordersDoNotSurroundHeader/>
  <w:bordersDoNotSurroundFooter/>
  <w:proofState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304"/>
  <w:autoHyphenation/>
  <w:hyphenationZone w:val="425"/>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76"/>
    <w:rsid w:val="00017366"/>
    <w:rsid w:val="000219DC"/>
    <w:rsid w:val="0003677B"/>
    <w:rsid w:val="000443A7"/>
    <w:rsid w:val="00063190"/>
    <w:rsid w:val="00074E08"/>
    <w:rsid w:val="000A027C"/>
    <w:rsid w:val="000B1BEE"/>
    <w:rsid w:val="000B2EE1"/>
    <w:rsid w:val="000C2F3E"/>
    <w:rsid w:val="000C4033"/>
    <w:rsid w:val="000D5C17"/>
    <w:rsid w:val="000F0E63"/>
    <w:rsid w:val="001041A1"/>
    <w:rsid w:val="00104774"/>
    <w:rsid w:val="00105E8E"/>
    <w:rsid w:val="0011165E"/>
    <w:rsid w:val="00187546"/>
    <w:rsid w:val="00187AA7"/>
    <w:rsid w:val="001B6572"/>
    <w:rsid w:val="001E3161"/>
    <w:rsid w:val="001F41E9"/>
    <w:rsid w:val="001F7329"/>
    <w:rsid w:val="00207330"/>
    <w:rsid w:val="00225FAC"/>
    <w:rsid w:val="00250BCE"/>
    <w:rsid w:val="00256658"/>
    <w:rsid w:val="00263003"/>
    <w:rsid w:val="002A3A35"/>
    <w:rsid w:val="002A3F60"/>
    <w:rsid w:val="002B0409"/>
    <w:rsid w:val="002B2EF1"/>
    <w:rsid w:val="002B49B2"/>
    <w:rsid w:val="002B64DD"/>
    <w:rsid w:val="002C1F18"/>
    <w:rsid w:val="002D6FD6"/>
    <w:rsid w:val="002F68F8"/>
    <w:rsid w:val="003035BF"/>
    <w:rsid w:val="00312547"/>
    <w:rsid w:val="00327D25"/>
    <w:rsid w:val="00362767"/>
    <w:rsid w:val="003A6477"/>
    <w:rsid w:val="003C167D"/>
    <w:rsid w:val="003E7C25"/>
    <w:rsid w:val="0043000E"/>
    <w:rsid w:val="0043654B"/>
    <w:rsid w:val="0046076A"/>
    <w:rsid w:val="0046346E"/>
    <w:rsid w:val="004800BD"/>
    <w:rsid w:val="004829F1"/>
    <w:rsid w:val="00484E5F"/>
    <w:rsid w:val="004A1037"/>
    <w:rsid w:val="004B7160"/>
    <w:rsid w:val="004C1BA2"/>
    <w:rsid w:val="004D3E87"/>
    <w:rsid w:val="004D7540"/>
    <w:rsid w:val="0050133E"/>
    <w:rsid w:val="00507511"/>
    <w:rsid w:val="005142E1"/>
    <w:rsid w:val="005332DE"/>
    <w:rsid w:val="00584E74"/>
    <w:rsid w:val="005921DA"/>
    <w:rsid w:val="005D1FA4"/>
    <w:rsid w:val="006025AA"/>
    <w:rsid w:val="00611276"/>
    <w:rsid w:val="00614283"/>
    <w:rsid w:val="00623904"/>
    <w:rsid w:val="00626EC5"/>
    <w:rsid w:val="00656A10"/>
    <w:rsid w:val="006917F1"/>
    <w:rsid w:val="006E6958"/>
    <w:rsid w:val="007019A6"/>
    <w:rsid w:val="00723049"/>
    <w:rsid w:val="007230A7"/>
    <w:rsid w:val="00737F82"/>
    <w:rsid w:val="00743CC6"/>
    <w:rsid w:val="007A317F"/>
    <w:rsid w:val="007A6081"/>
    <w:rsid w:val="007A7152"/>
    <w:rsid w:val="007B5103"/>
    <w:rsid w:val="007C1A63"/>
    <w:rsid w:val="007F4BCD"/>
    <w:rsid w:val="0080325C"/>
    <w:rsid w:val="00824EAD"/>
    <w:rsid w:val="00835D7E"/>
    <w:rsid w:val="00850914"/>
    <w:rsid w:val="00877554"/>
    <w:rsid w:val="00891780"/>
    <w:rsid w:val="0089788B"/>
    <w:rsid w:val="008A1316"/>
    <w:rsid w:val="008A32C3"/>
    <w:rsid w:val="008A4581"/>
    <w:rsid w:val="008E365F"/>
    <w:rsid w:val="00906DB8"/>
    <w:rsid w:val="00930431"/>
    <w:rsid w:val="00934846"/>
    <w:rsid w:val="009425E9"/>
    <w:rsid w:val="00984887"/>
    <w:rsid w:val="00992ED7"/>
    <w:rsid w:val="009A6893"/>
    <w:rsid w:val="00A025E1"/>
    <w:rsid w:val="00A369CA"/>
    <w:rsid w:val="00A626A9"/>
    <w:rsid w:val="00A800E9"/>
    <w:rsid w:val="00A80741"/>
    <w:rsid w:val="00A85543"/>
    <w:rsid w:val="00AB73F6"/>
    <w:rsid w:val="00AE79B4"/>
    <w:rsid w:val="00B01539"/>
    <w:rsid w:val="00B058AA"/>
    <w:rsid w:val="00B15C33"/>
    <w:rsid w:val="00B2240A"/>
    <w:rsid w:val="00B32D2B"/>
    <w:rsid w:val="00B842DB"/>
    <w:rsid w:val="00B979BE"/>
    <w:rsid w:val="00BA000F"/>
    <w:rsid w:val="00BA264C"/>
    <w:rsid w:val="00BB322F"/>
    <w:rsid w:val="00BF34AB"/>
    <w:rsid w:val="00BF394E"/>
    <w:rsid w:val="00BF4745"/>
    <w:rsid w:val="00BF4A8C"/>
    <w:rsid w:val="00C1769D"/>
    <w:rsid w:val="00C46776"/>
    <w:rsid w:val="00C47BC2"/>
    <w:rsid w:val="00C67AFC"/>
    <w:rsid w:val="00C77457"/>
    <w:rsid w:val="00C80645"/>
    <w:rsid w:val="00C87FD8"/>
    <w:rsid w:val="00C910EF"/>
    <w:rsid w:val="00C91BDB"/>
    <w:rsid w:val="00C968C2"/>
    <w:rsid w:val="00CA5B7F"/>
    <w:rsid w:val="00CC315C"/>
    <w:rsid w:val="00D12D40"/>
    <w:rsid w:val="00D1796D"/>
    <w:rsid w:val="00D25FE2"/>
    <w:rsid w:val="00D34ACC"/>
    <w:rsid w:val="00D4209A"/>
    <w:rsid w:val="00D535CC"/>
    <w:rsid w:val="00D8160A"/>
    <w:rsid w:val="00D96F8F"/>
    <w:rsid w:val="00DB4032"/>
    <w:rsid w:val="00E448A7"/>
    <w:rsid w:val="00E81230"/>
    <w:rsid w:val="00E8307B"/>
    <w:rsid w:val="00EA3447"/>
    <w:rsid w:val="00EC4FD6"/>
    <w:rsid w:val="00ED27C2"/>
    <w:rsid w:val="00ED397D"/>
    <w:rsid w:val="00EE16B2"/>
    <w:rsid w:val="00F202D9"/>
    <w:rsid w:val="00F35685"/>
    <w:rsid w:val="00F378B3"/>
    <w:rsid w:val="00F54E5D"/>
    <w:rsid w:val="00F80667"/>
    <w:rsid w:val="00F808C3"/>
    <w:rsid w:val="00F963E7"/>
    <w:rsid w:val="00FB40E5"/>
    <w:rsid w:val="00FC038C"/>
    <w:rsid w:val="00FC1A8B"/>
    <w:rsid w:val="00FC51CB"/>
    <w:rsid w:val="00FE77CC"/>
    <w:rsid w:val="00FF630A"/>
    <w:rsid w:val="00FF7BB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E9E1C9C"/>
  <w15:chartTrackingRefBased/>
  <w15:docId w15:val="{C527ADE9-0AE2-42D7-9E4E-8DCDA0468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42"/>
    <w:lsdException w:name="Grid Table 1 Light Accent 2" w:uiPriority="43"/>
    <w:lsdException w:name="Grid Table 2 Accent 2" w:uiPriority="44"/>
    <w:lsdException w:name="Grid Table 3 Accent 2" w:uiPriority="45"/>
    <w:lsdException w:name="Grid Table 4 Accent 2" w:uiPriority="40"/>
    <w:lsdException w:name="Grid Table 5 Dark Accent 2" w:uiPriority="46"/>
    <w:lsdException w:name="Grid Table 6 Colorful Accent 2" w:uiPriority="47"/>
    <w:lsdException w:name="Grid Table 7 Colorful Accent 2" w:uiPriority="48"/>
    <w:lsdException w:name="Grid Table 1 Light Accent 3" w:uiPriority="49"/>
    <w:lsdException w:name="Grid Table 2 Accent 3" w:uiPriority="50"/>
    <w:lsdException w:name="Grid Table 3 Accent 3" w:uiPriority="51"/>
    <w:lsdException w:name="Grid Table 4 Accent 3" w:uiPriority="52"/>
    <w:lsdException w:name="Grid Table 5 Dark Accent 3" w:uiPriority="46"/>
    <w:lsdException w:name="Grid Table 6 Colorful Accent 3" w:uiPriority="47"/>
    <w:lsdException w:name="Grid Table 7 Colorful Accent 3" w:uiPriority="48"/>
    <w:lsdException w:name="Grid Table 1 Light Accent 4" w:uiPriority="49"/>
    <w:lsdException w:name="Grid Table 2 Accent 4" w:uiPriority="50"/>
    <w:lsdException w:name="Grid Table 3 Accent 4" w:uiPriority="51"/>
    <w:lsdException w:name="Grid Table 4 Accent 4" w:uiPriority="52"/>
    <w:lsdException w:name="Grid Table 5 Dark Accent 4" w:uiPriority="46"/>
    <w:lsdException w:name="Grid Table 6 Colorful Accent 4" w:uiPriority="47"/>
    <w:lsdException w:name="Grid Table 7 Colorful Accent 4" w:uiPriority="48"/>
    <w:lsdException w:name="Grid Table 1 Light Accent 5" w:uiPriority="49"/>
    <w:lsdException w:name="Grid Table 2 Accent 5" w:uiPriority="50"/>
    <w:lsdException w:name="Grid Table 3 Accent 5" w:uiPriority="51"/>
    <w:lsdException w:name="Grid Table 4 Accent 5" w:uiPriority="52"/>
    <w:lsdException w:name="Grid Table 5 Dark Accent 5" w:uiPriority="46"/>
    <w:lsdException w:name="Grid Table 6 Colorful Accent 5" w:uiPriority="47"/>
    <w:lsdException w:name="Grid Table 7 Colorful Accent 5" w:uiPriority="48"/>
    <w:lsdException w:name="Grid Table 1 Light Accent 6" w:uiPriority="49"/>
    <w:lsdException w:name="Grid Table 2 Accent 6" w:uiPriority="50"/>
    <w:lsdException w:name="Grid Table 3 Accent 6" w:uiPriority="51"/>
    <w:lsdException w:name="Grid Table 4 Accent 6" w:uiPriority="52"/>
    <w:lsdException w:name="Grid Table 5 Dark Accent 6" w:uiPriority="46"/>
    <w:lsdException w:name="Grid Table 6 Colorful Accent 6" w:uiPriority="47"/>
    <w:lsdException w:name="Grid Table 7 Colorful Accent 6" w:uiPriority="48"/>
    <w:lsdException w:name="List Table 1 Light" w:uiPriority="49"/>
    <w:lsdException w:name="List Table 2" w:uiPriority="50"/>
    <w:lsdException w:name="List Table 3" w:uiPriority="51"/>
    <w:lsdException w:name="List Table 4" w:uiPriority="52"/>
    <w:lsdException w:name="List Table 5 Dark" w:uiPriority="46"/>
    <w:lsdException w:name="List Table 6 Colorful" w:uiPriority="47"/>
    <w:lsdException w:name="List Table 7 Colorful" w:uiPriority="48"/>
    <w:lsdException w:name="List Table 1 Light Accent 1" w:uiPriority="49"/>
    <w:lsdException w:name="List Table 2 Accent 1" w:uiPriority="50"/>
    <w:lsdException w:name="List Table 3 Accent 1" w:uiPriority="51"/>
    <w:lsdException w:name="List Table 4 Accent 1" w:uiPriority="52"/>
    <w:lsdException w:name="List Table 5 Dark Accent 1" w:uiPriority="46"/>
    <w:lsdException w:name="List Table 6 Colorful Accent 1" w:uiPriority="47"/>
    <w:lsdException w:name="List Table 7 Colorful Accent 1" w:uiPriority="48"/>
    <w:lsdException w:name="List Table 1 Light Accent 2" w:uiPriority="49"/>
    <w:lsdException w:name="List Table 2 Accent 2" w:uiPriority="50"/>
    <w:lsdException w:name="List Table 3 Accent 2" w:uiPriority="51"/>
    <w:lsdException w:name="List Table 4 Accent 2" w:uiPriority="52"/>
    <w:lsdException w:name="List Table 5 Dark Accent 2" w:uiPriority="46"/>
    <w:lsdException w:name="List Table 6 Colorful Accent 2" w:uiPriority="47"/>
    <w:lsdException w:name="List Table 7 Colorful Accent 2" w:uiPriority="48"/>
    <w:lsdException w:name="List Table 1 Light Accent 3" w:uiPriority="49"/>
    <w:lsdException w:name="List Table 2 Accent 3" w:uiPriority="50"/>
    <w:lsdException w:name="List Table 3 Accent 3" w:uiPriority="51"/>
    <w:lsdException w:name="List Table 4 Accent 3" w:uiPriority="52"/>
    <w:lsdException w:name="List Table 5 Dark Accent 3" w:uiPriority="46"/>
    <w:lsdException w:name="List Table 6 Colorful Accent 3" w:uiPriority="47"/>
    <w:lsdException w:name="List Table 7 Colorful Accent 3" w:uiPriority="48"/>
    <w:lsdException w:name="List Table 1 Light Accent 4" w:uiPriority="49"/>
    <w:lsdException w:name="List Table 2 Accent 4" w:uiPriority="50"/>
    <w:lsdException w:name="List Table 3 Accent 4" w:uiPriority="51"/>
    <w:lsdException w:name="List Table 4 Accent 4" w:uiPriority="52"/>
    <w:lsdException w:name="List Table 5 Dark Accent 4" w:uiPriority="46"/>
    <w:lsdException w:name="List Table 6 Colorful Accent 4" w:uiPriority="47"/>
    <w:lsdException w:name="List Table 7 Colorful Accent 4" w:uiPriority="48"/>
    <w:lsdException w:name="List Table 1 Light Accent 5" w:uiPriority="49"/>
    <w:lsdException w:name="List Table 2 Accent 5" w:uiPriority="50"/>
    <w:lsdException w:name="List Table 3 Accent 5" w:uiPriority="51"/>
    <w:lsdException w:name="List Table 4 Accent 5" w:uiPriority="52"/>
    <w:lsdException w:name="List Table 5 Dark Accent 5" w:uiPriority="46"/>
    <w:lsdException w:name="List Table 6 Colorful Accent 5" w:uiPriority="47"/>
    <w:lsdException w:name="List Table 7 Colorful Accent 5" w:uiPriority="48"/>
    <w:lsdException w:name="List Table 1 Light Accent 6" w:uiPriority="49"/>
    <w:lsdException w:name="List Table 2 Accent 6" w:uiPriority="50"/>
    <w:lsdException w:name="List Table 3 Accent 6" w:uiPriority="51"/>
    <w:lsdException w:name="List Table 4 Accent 6" w:uiPriority="52"/>
    <w:lsdException w:name="List Table 5 Dark Accent 6" w:uiPriority="46"/>
    <w:lsdException w:name="List Table 6 Colorful Accent 6" w:uiPriority="47"/>
    <w:lsdException w:name="List Table 7 Colorful Accent 6" w:uiPriority="48"/>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46776"/>
    <w:pPr>
      <w:jc w:val="both"/>
    </w:pPr>
    <w:rPr>
      <w:sz w:val="24"/>
      <w:szCs w:val="24"/>
      <w:lang w:val="en-US" w:eastAsia="fi-FI"/>
    </w:rPr>
  </w:style>
  <w:style w:type="paragraph" w:styleId="1">
    <w:name w:val="heading 1"/>
    <w:basedOn w:val="a"/>
    <w:next w:val="a"/>
    <w:link w:val="10"/>
    <w:qFormat/>
    <w:rsid w:val="00D25FE2"/>
    <w:pPr>
      <w:keepNext/>
      <w:outlineLvl w:val="0"/>
    </w:pPr>
    <w:rPr>
      <w:b/>
      <w:bCs/>
      <w:kern w:val="32"/>
      <w:szCs w:val="32"/>
    </w:rPr>
  </w:style>
  <w:style w:type="paragraph" w:styleId="2">
    <w:name w:val="heading 2"/>
    <w:basedOn w:val="1"/>
    <w:next w:val="a"/>
    <w:link w:val="20"/>
    <w:qFormat/>
    <w:pPr>
      <w:outlineLvl w:val="1"/>
    </w:pPr>
    <w:rPr>
      <w:rFonts w:cs="Arial"/>
      <w:iCs/>
      <w:szCs w:val="28"/>
    </w:rPr>
  </w:style>
  <w:style w:type="paragraph" w:styleId="3">
    <w:name w:val="heading 3"/>
    <w:basedOn w:val="a"/>
    <w:next w:val="a"/>
    <w:qFormat/>
    <w:rsid w:val="004D3E87"/>
    <w:pPr>
      <w:keepNext/>
      <w:outlineLvl w:val="2"/>
    </w:pPr>
    <w:rPr>
      <w:rFonts w:cs="Arial"/>
      <w:b/>
      <w:bCs/>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1">
    <w:name w:val="index 1"/>
    <w:basedOn w:val="a"/>
    <w:next w:val="a"/>
    <w:autoRedefine/>
    <w:semiHidden/>
    <w:pPr>
      <w:ind w:left="220" w:hanging="220"/>
    </w:pPr>
  </w:style>
  <w:style w:type="paragraph" w:styleId="a3">
    <w:name w:val="Title"/>
    <w:basedOn w:val="a"/>
    <w:qFormat/>
    <w:rsid w:val="00D25FE2"/>
    <w:pPr>
      <w:jc w:val="left"/>
      <w:outlineLvl w:val="0"/>
    </w:pPr>
    <w:rPr>
      <w:rFonts w:cs="Arial"/>
      <w:b/>
      <w:bCs/>
      <w:kern w:val="28"/>
      <w:sz w:val="28"/>
      <w:szCs w:val="32"/>
    </w:rPr>
  </w:style>
  <w:style w:type="paragraph" w:customStyle="1" w:styleId="Reference">
    <w:name w:val="Reference"/>
    <w:basedOn w:val="a"/>
    <w:pPr>
      <w:ind w:left="567" w:hanging="567"/>
    </w:pPr>
    <w:rPr>
      <w:sz w:val="22"/>
    </w:rPr>
  </w:style>
  <w:style w:type="paragraph" w:customStyle="1" w:styleId="Author">
    <w:name w:val="Author"/>
    <w:basedOn w:val="a"/>
  </w:style>
  <w:style w:type="character" w:customStyle="1" w:styleId="10">
    <w:name w:val="見出し 1 (文字)"/>
    <w:link w:val="1"/>
    <w:rsid w:val="00D25FE2"/>
    <w:rPr>
      <w:b/>
      <w:bCs/>
      <w:kern w:val="32"/>
      <w:sz w:val="24"/>
      <w:szCs w:val="32"/>
      <w:lang w:val="en-US" w:eastAsia="fi-FI" w:bidi="ar-SA"/>
    </w:rPr>
  </w:style>
  <w:style w:type="character" w:customStyle="1" w:styleId="20">
    <w:name w:val="見出し 2 (文字)"/>
    <w:link w:val="2"/>
    <w:rsid w:val="00BA264C"/>
    <w:rPr>
      <w:rFonts w:cs="Arial"/>
      <w:b/>
      <w:bCs/>
      <w:iCs/>
      <w:kern w:val="32"/>
      <w:sz w:val="24"/>
      <w:szCs w:val="28"/>
      <w:lang w:val="en-US" w:eastAsia="fi-FI" w:bidi="ar-SA"/>
    </w:rPr>
  </w:style>
  <w:style w:type="paragraph" w:styleId="a4">
    <w:name w:val="Balloon Text"/>
    <w:basedOn w:val="a"/>
    <w:semiHidden/>
    <w:rsid w:val="006917F1"/>
    <w:rPr>
      <w:rFonts w:ascii="Tahoma" w:hAnsi="Tahoma" w:cs="Tahoma"/>
      <w:sz w:val="16"/>
      <w:szCs w:val="16"/>
    </w:rPr>
  </w:style>
  <w:style w:type="character" w:styleId="a5">
    <w:name w:val="annotation reference"/>
    <w:semiHidden/>
    <w:rsid w:val="001B6572"/>
    <w:rPr>
      <w:sz w:val="16"/>
      <w:szCs w:val="16"/>
    </w:rPr>
  </w:style>
  <w:style w:type="paragraph" w:styleId="a6">
    <w:name w:val="annotation text"/>
    <w:basedOn w:val="a"/>
    <w:semiHidden/>
    <w:rsid w:val="001B6572"/>
    <w:rPr>
      <w:sz w:val="20"/>
      <w:szCs w:val="20"/>
    </w:rPr>
  </w:style>
  <w:style w:type="paragraph" w:styleId="a7">
    <w:name w:val="annotation subject"/>
    <w:basedOn w:val="a6"/>
    <w:next w:val="a6"/>
    <w:semiHidden/>
    <w:rsid w:val="001B6572"/>
    <w:rPr>
      <w:b/>
      <w:bCs/>
    </w:rPr>
  </w:style>
  <w:style w:type="character" w:styleId="a8">
    <w:name w:val="Hyperlink"/>
    <w:rsid w:val="00EE16B2"/>
    <w:rPr>
      <w:color w:val="0000FF"/>
      <w:u w:val="single"/>
    </w:rPr>
  </w:style>
  <w:style w:type="character" w:styleId="a9">
    <w:name w:val="FollowedHyperlink"/>
    <w:rsid w:val="007B5103"/>
    <w:rPr>
      <w:color w:val="954F72"/>
      <w:u w:val="single"/>
    </w:rPr>
  </w:style>
  <w:style w:type="table" w:styleId="aa">
    <w:name w:val="Table Grid"/>
    <w:basedOn w:val="a1"/>
    <w:rsid w:val="002B64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rsid w:val="00AB73F6"/>
    <w:pPr>
      <w:tabs>
        <w:tab w:val="center" w:pos="4513"/>
        <w:tab w:val="right" w:pos="9026"/>
      </w:tabs>
    </w:pPr>
  </w:style>
  <w:style w:type="character" w:customStyle="1" w:styleId="ac">
    <w:name w:val="ヘッダー (文字)"/>
    <w:link w:val="ab"/>
    <w:rsid w:val="00AB73F6"/>
    <w:rPr>
      <w:sz w:val="24"/>
      <w:szCs w:val="24"/>
      <w:lang w:val="en-US" w:eastAsia="fi-FI"/>
    </w:rPr>
  </w:style>
  <w:style w:type="paragraph" w:styleId="ad">
    <w:name w:val="footer"/>
    <w:basedOn w:val="a"/>
    <w:link w:val="ae"/>
    <w:rsid w:val="00AB73F6"/>
    <w:pPr>
      <w:tabs>
        <w:tab w:val="center" w:pos="4513"/>
        <w:tab w:val="right" w:pos="9026"/>
      </w:tabs>
    </w:pPr>
  </w:style>
  <w:style w:type="character" w:customStyle="1" w:styleId="ae">
    <w:name w:val="フッター (文字)"/>
    <w:link w:val="ad"/>
    <w:rsid w:val="00AB73F6"/>
    <w:rPr>
      <w:sz w:val="24"/>
      <w:szCs w:val="24"/>
      <w:lang w:val="en-US" w:eastAsia="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IEQLab/pcs_databas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Props1.xml><?xml version="1.0" encoding="utf-8"?>
<ds:datastoreItem xmlns:ds="http://schemas.openxmlformats.org/officeDocument/2006/customXml" ds:itemID="{AF43A768-993E-41DB-976B-FC05DB86BEAE}">
  <ds:schemaRefs>
    <ds:schemaRef ds:uri="urn:schemas-microsoft-com.VSTO2008Demos.ControlsStorage"/>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988</Words>
  <Characters>5635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HB2009 Instructions for Full paper</vt:lpstr>
    </vt:vector>
  </TitlesOfParts>
  <Company>Missouri S&amp;T</Company>
  <LinksUpToDate>false</LinksUpToDate>
  <CharactersWithSpaces>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Instructions for Extended Abstract</dc:title>
  <dc:subject/>
  <dc:creator>IndoorAir2026</dc:creator>
  <cp:keywords/>
  <cp:lastModifiedBy>野元　彬久</cp:lastModifiedBy>
  <cp:revision>6</cp:revision>
  <cp:lastPrinted>2009-02-19T09:03:00Z</cp:lastPrinted>
  <dcterms:created xsi:type="dcterms:W3CDTF">2026-04-28T07:00:00Z</dcterms:created>
  <dcterms:modified xsi:type="dcterms:W3CDTF">2026-04-28T07:01:00Z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