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76B87"/>
          <w:sz w:val="26"/>
        </w:rPr>
        <w:t>SOMOS JÁNDULA</w:t>
      </w:r>
    </w:p>
    <w:p>
      <w:pPr>
        <w:pStyle w:val="Title"/>
        <w:jc w:val="center"/>
      </w:pPr>
      <w:r>
        <w:t>Guía para aplicar Somos Jándula en otros centros</w:t>
      </w:r>
    </w:p>
    <w:p>
      <w:pPr>
        <w:pStyle w:val="Subtitle"/>
        <w:spacing w:after="560"/>
        <w:jc w:val="center"/>
      </w:pPr>
      <w:r>
        <w:t>Cómo convertir una necesidad real del centro en un proyecto de aprendizaje trazable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Tipo de recurso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Guía didáctica y organizativa</w:t>
            </w:r>
          </w:p>
        </w:tc>
      </w:tr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Autoría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Francisco Manuel Benítez Chico · IES Jándula</w:t>
            </w:r>
          </w:p>
        </w:tc>
      </w:tr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Versión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1.0 · Septiembre de 2026</w:t>
            </w:r>
          </w:p>
        </w:tc>
      </w:tr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Licencia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Creative Commons Atribución-CompartirIgual 4.0 Internacional</w:t>
            </w:r>
          </w:p>
        </w:tc>
      </w:tr>
    </w:tbl>
    <w:p>
      <w:pPr>
        <w:spacing w:before="480"/>
        <w:jc w:val="center"/>
      </w:pPr>
      <w:r>
        <w:rPr>
          <w:b/>
          <w:color w:val="173D69"/>
        </w:rPr>
        <w:t>Material abierto para su reutilización, adaptación y redistribución con atribución y bajo la misma licencia.</w:t>
      </w:r>
    </w:p>
    <w:p>
      <w:pPr>
        <w:jc w:val="center"/>
      </w:pPr>
      <w:hyperlink r:id="rId11">
        <w:r>
          <w:rPr>
            <w:color w:val="176B87"/>
            <w:u w:val="single"/>
          </w:rPr>
          <w:t>https://somos.iesjandula.es/experiencia</w:t>
        </w:r>
      </w:hyperlink>
    </w:p>
    <w:p>
      <w:r>
        <w:br w:type="page"/>
      </w:r>
    </w:p>
    <w:p>
      <w:pPr>
        <w:pStyle w:val="Heading1"/>
      </w:pPr>
      <w:r>
        <w:t>Finalidad de la guía</w:t>
      </w:r>
    </w:p>
    <w:p>
      <w:r>
        <w:t>Esta guía permite adaptar la experiencia Somos Jándula a otro centro de Formación Profesional sin reproducir toda su infraestructura. La unidad mínima de transferencia es una necesidad real, un usuario que pueda validarla, una tarea acotada y una evidencia del proceso seguido por el alumnado.</w:t>
      </w:r>
    </w:p>
    <w:p>
      <w:r>
        <w:t>El modelo resulta especialmente adecuado para Desarrollo de Aplicaciones Multiplataforma y ciclos afines. También puede emplearse en proyectos intermodulares, módulos de programación, bases de datos, sistemas, redes o digitalización aplicada.</w:t>
      </w:r>
    </w:p>
    <w:p>
      <w:r>
        <w:rPr>
          <w:b/>
        </w:rPr>
        <w:t xml:space="preserve">Resultado esperado. </w:t>
      </w:r>
      <w:r>
        <w:t>El alumnado entrega un incremento funcional, explica sus decisiones y conserva evidencias suficientes para que otra persona pueda revisar, mantener o continuar el trabajo.</w:t>
      </w:r>
    </w:p>
    <w:p>
      <w:pPr>
        <w:pStyle w:val="Heading1"/>
      </w:pPr>
      <w:r>
        <w:t>Qué caracteriza la experiencia</w:t>
      </w:r>
    </w:p>
    <w:p>
      <w:pPr>
        <w:pStyle w:val="ListBullet"/>
      </w:pPr>
      <w:r>
        <w:t>El centro actúa como cliente y entorno de prueba, con necesidades observables y usuarios identificables.</w:t>
      </w:r>
    </w:p>
    <w:p>
      <w:pPr>
        <w:pStyle w:val="ListBullet"/>
      </w:pPr>
      <w:r>
        <w:t>El alumnado asume el desarrollo: analiza, diseña, programa, prueba, documenta y demuestra el resultado.</w:t>
      </w:r>
    </w:p>
    <w:p>
      <w:pPr>
        <w:pStyle w:val="ListBullet"/>
      </w:pPr>
      <w:r>
        <w:t>El docente ejerce como responsable del producto y guía: prioriza, acota, pregunta, revisa y devuelve el trabajo cuando todavía necesita mejorar.</w:t>
      </w:r>
    </w:p>
    <w:p>
      <w:pPr>
        <w:pStyle w:val="ListBullet"/>
      </w:pPr>
      <w:r>
        <w:t>Las evidencias conectan la tarea, las decisiones, el código, la revisión y el producto final.</w:t>
      </w:r>
    </w:p>
    <w:p>
      <w:pPr>
        <w:pStyle w:val="ListBullet"/>
      </w:pPr>
      <w:r>
        <w:t>La solución se diseña para poder mantenerse por otra persona o por una promoción posterior.</w:t>
      </w:r>
    </w:p>
    <w:p>
      <w:pPr>
        <w:pStyle w:val="Heading1"/>
      </w:pPr>
      <w:r>
        <w:t>Modelo mínimo transferible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1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45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Pregunta de control</w:t>
            </w:r>
          </w:p>
        </w:tc>
        <w:tc>
          <w:tcPr>
            <w:tcW w:type="dxa" w:w="3855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Evidencia mínima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Necesidad</w:t>
            </w:r>
          </w:p>
        </w:tc>
        <w:tc>
          <w:tcPr>
            <w:tcW w:type="dxa" w:w="345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¿Qué dificultad real se quiere reducir?</w:t>
            </w:r>
          </w:p>
        </w:tc>
        <w:tc>
          <w:tcPr>
            <w:tcW w:type="dxa" w:w="385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Descripción inicial y persona usuaria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Alcance</w:t>
            </w:r>
          </w:p>
        </w:tc>
        <w:tc>
          <w:tcPr>
            <w:tcW w:type="dxa" w:w="345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¿Qué incremento puede probarse en el tiempo disponible?</w:t>
            </w:r>
          </w:p>
        </w:tc>
        <w:tc>
          <w:tcPr>
            <w:tcW w:type="dxa" w:w="385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Tarea con criterios de aceptación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Responsabilidad</w:t>
            </w:r>
          </w:p>
        </w:tc>
        <w:tc>
          <w:tcPr>
            <w:tcW w:type="dxa" w:w="345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¿Quién desarrolla y quién valida?</w:t>
            </w:r>
          </w:p>
        </w:tc>
        <w:tc>
          <w:tcPr>
            <w:tcW w:type="dxa" w:w="385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Asignación y roles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Proceso</w:t>
            </w:r>
          </w:p>
        </w:tc>
        <w:tc>
          <w:tcPr>
            <w:tcW w:type="dxa" w:w="345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¿Cómo se registran decisiones y revisiones?</w:t>
            </w:r>
          </w:p>
        </w:tc>
        <w:tc>
          <w:tcPr>
            <w:tcW w:type="dxa" w:w="385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Comentarios, historial o actas breves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Producto</w:t>
            </w:r>
          </w:p>
        </w:tc>
        <w:tc>
          <w:tcPr>
            <w:tcW w:type="dxa" w:w="345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¿Qué puede demostrarse al finalizar?</w:t>
            </w:r>
          </w:p>
        </w:tc>
        <w:tc>
          <w:tcPr>
            <w:tcW w:type="dxa" w:w="385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Captura, vídeo, versión o prototipo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Continuidad</w:t>
            </w:r>
          </w:p>
        </w:tc>
        <w:tc>
          <w:tcPr>
            <w:tcW w:type="dxa" w:w="345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¿Qué necesita otra persona para mantenerlo?</w:t>
            </w:r>
          </w:p>
        </w:tc>
        <w:tc>
          <w:tcPr>
            <w:tcW w:type="dxa" w:w="385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Documentación y referencias</w:t>
            </w:r>
          </w:p>
        </w:tc>
      </w:tr>
    </w:tbl>
    <w:p>
      <w:pPr>
        <w:spacing w:after="0"/>
      </w:pPr>
    </w:p>
    <w:p>
      <w:pPr>
        <w:pStyle w:val="Heading1"/>
      </w:pPr>
      <w:r>
        <w:t>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6860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Usuario validador</w:t>
            </w:r>
          </w:p>
        </w:tc>
        <w:tc>
          <w:tcPr>
            <w:tcW w:type="dxa" w:w="686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Explica la necesidad, contrasta los requisitos, prueba el incremento y comunica incidencias de uso.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Docente</w:t>
            </w:r>
          </w:p>
        </w:tc>
        <w:tc>
          <w:tcPr>
            <w:tcW w:type="dxa" w:w="686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Prioriza el reto, ajusta el alcance, formula preguntas, revisa evidencias y mantiene la responsabilidad del alumnado sobre la solución.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Alumnado</w:t>
            </w:r>
          </w:p>
        </w:tc>
        <w:tc>
          <w:tcPr>
            <w:tcW w:type="dxa" w:w="686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Analiza, estima, diseña, desarrolla, prueba, documenta y explica sus decisiones.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Comunidad educativa</w:t>
            </w:r>
          </w:p>
        </w:tc>
        <w:tc>
          <w:tcPr>
            <w:tcW w:type="dxa" w:w="686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Aporta necesidades, contexto, restricciones y validación funcional cuando resulte pertinente.</w:t>
            </w:r>
          </w:p>
        </w:tc>
      </w:tr>
    </w:tbl>
    <w:p>
      <w:pPr>
        <w:spacing w:after="0"/>
      </w:pPr>
    </w:p>
    <w:p>
      <w:pPr>
        <w:pStyle w:val="Heading1"/>
      </w:pPr>
      <w:r>
        <w:t>Recursos mínimos</w:t>
      </w:r>
    </w:p>
    <w:p>
      <w:pPr>
        <w:pStyle w:val="ListBullet"/>
      </w:pPr>
      <w:r>
        <w:t>Una persona docente que delimite el reto y acompañe la revisión.</w:t>
      </w:r>
    </w:p>
    <w:p>
      <w:pPr>
        <w:pStyle w:val="ListBullet"/>
      </w:pPr>
      <w:r>
        <w:t>Una persona usuaria del centro que pueda explicar la necesidad y validar el resultado.</w:t>
      </w:r>
    </w:p>
    <w:p>
      <w:pPr>
        <w:pStyle w:val="ListBullet"/>
      </w:pPr>
      <w:r>
        <w:t>Un estudiante o equipo de desarrollo con tiempo asignado dentro del módulo o proyecto.</w:t>
      </w:r>
    </w:p>
    <w:p>
      <w:pPr>
        <w:pStyle w:val="ListBullet"/>
      </w:pPr>
      <w:r>
        <w:t>Un medio compartido para registrar tareas, criterios, responsables y revisiones; puede ser un gestor de proyectos, una hoja o un documento.</w:t>
      </w:r>
    </w:p>
    <w:p>
      <w:pPr>
        <w:pStyle w:val="ListBullet"/>
      </w:pPr>
      <w:r>
        <w:t>Un repositorio o historial de versiones y un entorno de prueba separado de los servicios críticos del centro.</w:t>
      </w:r>
    </w:p>
    <w:p>
      <w:pPr>
        <w:pStyle w:val="ListBullet"/>
      </w:pPr>
      <w:r>
        <w:t>Una forma de demostrar el resultado y conservar evidencias sin publicar datos personales, credenciales ni información operativa sensible.</w:t>
      </w:r>
    </w:p>
    <w:p>
      <w:pPr>
        <w:pStyle w:val="Heading1"/>
      </w:pPr>
      <w:r>
        <w:t>Proceso de trabajo</w:t>
      </w:r>
    </w:p>
    <w:p>
      <w:pPr>
        <w:pStyle w:val="Heading2"/>
      </w:pPr>
      <w:r>
        <w:t>1. Detectar</w:t>
      </w:r>
    </w:p>
    <w:p>
      <w:r>
        <w:t>Recoger una dificultad concreta mediante observación o conversación con sus usuarios. Evitar formular la solución antes de comprender el problema.</w:t>
      </w:r>
    </w:p>
    <w:p>
      <w:pPr>
        <w:pStyle w:val="Heading2"/>
      </w:pPr>
      <w:r>
        <w:t>2. Acotar</w:t>
      </w:r>
    </w:p>
    <w:p>
      <w:r>
        <w:t>Convertir la necesidad en un incremento viable. Definir fuera de alcance lo que no pueda validarse durante el periodo disponible.</w:t>
      </w:r>
    </w:p>
    <w:p>
      <w:pPr>
        <w:pStyle w:val="Heading2"/>
      </w:pPr>
      <w:r>
        <w:t>3. Especificar</w:t>
      </w:r>
    </w:p>
    <w:p>
      <w:r>
        <w:t>Redactar criterios de aceptación observables, dependencias, riesgos y datos que no deben publicarse.</w:t>
      </w:r>
    </w:p>
    <w:p>
      <w:pPr>
        <w:pStyle w:val="Heading2"/>
      </w:pPr>
      <w:r>
        <w:t>4. Desarrollar</w:t>
      </w:r>
    </w:p>
    <w:p>
      <w:r>
        <w:t>Crear una rama o espacio de trabajo, conservar fuentes consultadas y registrar las decisiones relevantes.</w:t>
      </w:r>
    </w:p>
    <w:p>
      <w:pPr>
        <w:pStyle w:val="Heading2"/>
      </w:pPr>
      <w:r>
        <w:t>5. Revisar</w:t>
      </w:r>
    </w:p>
    <w:p>
      <w:r>
        <w:t>Demostrar el incremento, contrastarlo con los criterios, registrar fallos y devolverlo al desarrollo cuando sea necesario.</w:t>
      </w:r>
    </w:p>
    <w:p>
      <w:pPr>
        <w:pStyle w:val="Heading2"/>
      </w:pPr>
      <w:r>
        <w:t>6. Cerrar</w:t>
      </w:r>
    </w:p>
    <w:p>
      <w:r>
        <w:t>Validar el resultado, conservar la evidencia, documentar la continuidad y explicar el aprendizaje alcanzado.</w:t>
      </w:r>
    </w:p>
    <w:p>
      <w:pPr>
        <w:pStyle w:val="Heading1"/>
      </w:pPr>
      <w:r>
        <w:t>Plan orientativo de cuatro semanas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13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876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Actuaciones</w:t>
            </w:r>
          </w:p>
        </w:tc>
        <w:tc>
          <w:tcPr>
            <w:tcW w:type="dxa" w:w="3969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Producto comprobable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1</w:t>
            </w:r>
          </w:p>
        </w:tc>
        <w:tc>
          <w:tcPr>
            <w:tcW w:type="dxa" w:w="487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Entrevista u observación, análisis, alcance, riesgos y fuentes iniciales.</w:t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Tarea aceptada y criterios de aceptación.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2</w:t>
            </w:r>
          </w:p>
        </w:tc>
        <w:tc>
          <w:tcPr>
            <w:tcW w:type="dxa" w:w="4876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Diseño, datos, prototipo y primera implementación.</w:t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Incremento parcial demostrable.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3</w:t>
            </w:r>
          </w:p>
        </w:tc>
        <w:tc>
          <w:tcPr>
            <w:tcW w:type="dxa" w:w="487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Integración, pruebas, revisión de usuario y correcciones.</w:t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Registro de revisión y nueva versión.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4</w:t>
            </w:r>
          </w:p>
        </w:tc>
        <w:tc>
          <w:tcPr>
            <w:tcW w:type="dxa" w:w="4876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Validación, documentación, reflexión y demostración.</w:t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Producto final y paquete de evidencias.</w:t>
            </w:r>
          </w:p>
        </w:tc>
      </w:tr>
    </w:tbl>
    <w:p>
      <w:pPr>
        <w:spacing w:after="0"/>
      </w:pPr>
    </w:p>
    <w:p>
      <w:r>
        <w:t>El calendario debe ampliarse o reducirse según el módulo, la madurez del grupo y el riesgo del proyecto. La experiencia también puede desarrollarse durante un trimestre o integrarse en el Proyecto Intermodular.</w:t>
      </w:r>
    </w:p>
    <w:p>
      <w:pPr>
        <w:pStyle w:val="Heading1"/>
      </w:pPr>
      <w:r>
        <w:t>Cómo redactar una tarea comprobable</w:t>
      </w:r>
    </w:p>
    <w:p>
      <w:pPr>
        <w:pStyle w:val="ListNumber"/>
      </w:pPr>
      <w:r>
        <w:t>Escribir la necesidad desde el punto de vista de la persona usuaria.</w:t>
      </w:r>
    </w:p>
    <w:p>
      <w:pPr>
        <w:pStyle w:val="ListNumber"/>
      </w:pPr>
      <w:r>
        <w:t>Definir un resultado que pueda demostrarse sin interpretar intenciones.</w:t>
      </w:r>
    </w:p>
    <w:p>
      <w:pPr>
        <w:pStyle w:val="ListNumber"/>
      </w:pPr>
      <w:r>
        <w:t>Separar requisitos obligatorios de mejoras opcionales.</w:t>
      </w:r>
    </w:p>
    <w:p>
      <w:pPr>
        <w:pStyle w:val="ListNumber"/>
      </w:pPr>
      <w:r>
        <w:t>Añadir criterios de aceptación con verbos observables: mostrar, impedir, registrar, enviar, validar o recuperar.</w:t>
      </w:r>
    </w:p>
    <w:p>
      <w:pPr>
        <w:pStyle w:val="ListNumber"/>
      </w:pPr>
      <w:r>
        <w:t>Indicar dependencias, datos sensibles, permisos y condiciones de prueba.</w:t>
      </w:r>
    </w:p>
    <w:p>
      <w:pPr>
        <w:pStyle w:val="ListNumber"/>
      </w:pPr>
      <w:r>
        <w:t>Acordar qué evidencias se conservarán y quién realizará la validación.</w:t>
      </w:r>
    </w:p>
    <w:p>
      <w:pPr>
        <w:pStyle w:val="Heading1"/>
      </w:pPr>
      <w:r>
        <w:t>Evidencias y evaluación</w:t>
      </w:r>
    </w:p>
    <w:p>
      <w:r>
        <w:t>La evaluación debe utilizar los instrumentos previstos en la programación del módulo. La rúbrica de competencia digital incluida en este kit es un recurso transferible de observación y no reproduce las calificaciones de la experiencia 2025-2026.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4082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Evidencias posibles</w:t>
            </w:r>
          </w:p>
        </w:tc>
        <w:tc>
          <w:tcPr>
            <w:tcW w:type="dxa" w:w="4195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Preguntas para la revisión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Análisis</w:t>
            </w:r>
          </w:p>
        </w:tc>
        <w:tc>
          <w:tcPr>
            <w:tcW w:type="dxa" w:w="408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Necesidad, notas de usuario, fuentes y decisiones iniciales.</w:t>
            </w:r>
          </w:p>
        </w:tc>
        <w:tc>
          <w:tcPr>
            <w:tcW w:type="dxa" w:w="419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¿Se entiende el problema? ¿El alcance es viable?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Desarrollo</w:t>
            </w:r>
          </w:p>
        </w:tc>
        <w:tc>
          <w:tcPr>
            <w:tcW w:type="dxa" w:w="408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Tareas, ramas, commits, pruebas, prototipos y comentarios.</w:t>
            </w:r>
          </w:p>
        </w:tc>
        <w:tc>
          <w:tcPr>
            <w:tcW w:type="dxa" w:w="419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¿Puede identificarse qué cambió y por qué?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Revisión</w:t>
            </w:r>
          </w:p>
        </w:tc>
        <w:tc>
          <w:tcPr>
            <w:tcW w:type="dxa" w:w="408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Demostración, incidencia encontrada y respuesta del alumnado.</w:t>
            </w:r>
          </w:p>
        </w:tc>
        <w:tc>
          <w:tcPr>
            <w:tcW w:type="dxa" w:w="419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¿Cumple los criterios? ¿Qué debe corregirse?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Cierre</w:t>
            </w:r>
          </w:p>
        </w:tc>
        <w:tc>
          <w:tcPr>
            <w:tcW w:type="dxa" w:w="408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Producto, documentación, reflexión y validación.</w:t>
            </w:r>
          </w:p>
        </w:tc>
        <w:tc>
          <w:tcPr>
            <w:tcW w:type="dxa" w:w="419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¿Otra persona podría usarlo o continuarlo?</w:t>
            </w:r>
          </w:p>
        </w:tc>
      </w:tr>
    </w:tbl>
    <w:p>
      <w:pPr>
        <w:spacing w:after="0"/>
      </w:pPr>
    </w:p>
    <w:p>
      <w:pPr>
        <w:pStyle w:val="Heading1"/>
      </w:pPr>
      <w:r>
        <w:t>Vinculación curricular</w:t>
      </w:r>
    </w:p>
    <w:p>
      <w:r>
        <w:t>Cada centro debe relacionar la tarea con los resultados de aprendizaje y criterios de evaluación de su programación. La tabla ofrece puntos de conexión habituales en ciclos de la familia de Informática y Comunicaciones, sin sustituir la concreción curricular del módulo.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Aprendizaje observable</w:t>
            </w:r>
          </w:p>
        </w:tc>
        <w:tc>
          <w:tcPr>
            <w:tcW w:type="dxa" w:w="379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Aplicaciones curriculares posibles</w:t>
            </w:r>
          </w:p>
        </w:tc>
        <w:tc>
          <w:tcPr>
            <w:tcW w:type="dxa" w:w="3345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Analiza requisitos y modela una solución</w:t>
            </w:r>
          </w:p>
        </w:tc>
        <w:tc>
          <w:tcPr>
            <w:tcW w:type="dxa" w:w="379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Programación, Entornos de desarrollo y Proyecto Intermodular</w:t>
            </w:r>
          </w:p>
        </w:tc>
        <w:tc>
          <w:tcPr>
            <w:tcW w:type="dxa" w:w="334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Necesidad, alcance, diseño y criterios de aceptación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Diseña y gestiona datos persistentes</w:t>
            </w:r>
          </w:p>
        </w:tc>
        <w:tc>
          <w:tcPr>
            <w:tcW w:type="dxa" w:w="379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Bases de datos y Acceso a datos</w:t>
            </w:r>
          </w:p>
        </w:tc>
        <w:tc>
          <w:tcPr>
            <w:tcW w:type="dxa" w:w="334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Modelo, migración, consultas y pruebas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Construye servicios e integra sistemas</w:t>
            </w:r>
          </w:p>
        </w:tc>
        <w:tc>
          <w:tcPr>
            <w:tcW w:type="dxa" w:w="379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Programación de servicios, Sistemas informáticos y Desarrollo de interfaces</w:t>
            </w:r>
          </w:p>
        </w:tc>
        <w:tc>
          <w:tcPr>
            <w:tcW w:type="dxa" w:w="334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API, comunicación, configuración y registro de integración</w:t>
            </w:r>
          </w:p>
        </w:tc>
      </w:tr>
      <w:tr>
        <w:trPr>
          <w:cantSplit/>
        </w:trPr>
        <w:tc>
          <w:tcPr>
            <w:tcW w:type="dxa" w:w="283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Aplica seguridad, privacidad y accesibilidad</w:t>
            </w:r>
          </w:p>
        </w:tc>
        <w:tc>
          <w:tcPr>
            <w:tcW w:type="dxa" w:w="379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Digitalización, Sostenibilidad y módulos técnicos</w:t>
            </w:r>
          </w:p>
        </w:tc>
        <w:tc>
          <w:tcPr>
            <w:tcW w:type="dxa" w:w="334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Controles de acceso, datos de prueba y comprobaciones de interfaz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Planifica, comunica y documenta</w:t>
            </w:r>
          </w:p>
        </w:tc>
        <w:tc>
          <w:tcPr>
            <w:tcW w:type="dxa" w:w="379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Proyecto Intermodular, Itinerario personal y módulos profesionales implicados</w:t>
            </w:r>
          </w:p>
        </w:tc>
        <w:tc>
          <w:tcPr>
            <w:tcW w:type="dxa" w:w="334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Tarea, revisión, demostración y documentación de continuidad</w:t>
            </w:r>
          </w:p>
        </w:tc>
      </w:tr>
    </w:tbl>
    <w:p>
      <w:pPr>
        <w:spacing w:after="0"/>
      </w:pPr>
    </w:p>
    <w:p>
      <w:pPr>
        <w:pStyle w:val="Heading1"/>
      </w:pPr>
      <w:r>
        <w:t>Personalización</w:t>
      </w:r>
    </w:p>
    <w:p>
      <w:pPr>
        <w:pStyle w:val="ListBullet"/>
      </w:pPr>
      <w:r>
        <w:t>Ajustar el número y complejidad de los criterios de aceptación.</w:t>
      </w:r>
    </w:p>
    <w:p>
      <w:pPr>
        <w:pStyle w:val="ListBullet"/>
      </w:pPr>
      <w:r>
        <w:t>Entregar ejemplos parciales o preguntas de apoyo sin proporcionar la solución completa.</w:t>
      </w:r>
    </w:p>
    <w:p>
      <w:pPr>
        <w:pStyle w:val="ListBullet"/>
      </w:pPr>
      <w:r>
        <w:t>Dividir un incremento en tareas encadenadas para quien necesite más estructura.</w:t>
      </w:r>
    </w:p>
    <w:p>
      <w:pPr>
        <w:pStyle w:val="ListBullet"/>
      </w:pPr>
      <w:r>
        <w:t>Incorporar seguridad, integración, automatización o hardware como ampliación.</w:t>
      </w:r>
    </w:p>
    <w:p>
      <w:pPr>
        <w:pStyle w:val="ListBullet"/>
      </w:pPr>
      <w:r>
        <w:t>Permitir diferentes ritmos y fechas de inicio manteniendo un mismo ciclo de trabajo.</w:t>
      </w:r>
    </w:p>
    <w:p>
      <w:pPr>
        <w:pStyle w:val="Heading1"/>
      </w:pPr>
      <w:r>
        <w:t>Seguridad, privacidad y accesibilidad</w:t>
      </w:r>
    </w:p>
    <w:p>
      <w:pPr>
        <w:pStyle w:val="ListBullet"/>
      </w:pPr>
      <w:r>
        <w:t>Usar datos ficticios o anonimizados en pruebas y materiales públicos.</w:t>
      </w:r>
    </w:p>
    <w:p>
      <w:pPr>
        <w:pStyle w:val="ListBullet"/>
      </w:pPr>
      <w:r>
        <w:t>No incluir contraseñas, tokens, claves privadas ni configuraciones operativas en repositorios o capturas.</w:t>
      </w:r>
    </w:p>
    <w:p>
      <w:pPr>
        <w:pStyle w:val="ListBullet"/>
      </w:pPr>
      <w:r>
        <w:t>Separar autenticación y autorización y aplicar el mínimo privilegio necesario.</w:t>
      </w:r>
    </w:p>
    <w:p>
      <w:pPr>
        <w:pStyle w:val="ListBullet"/>
      </w:pPr>
      <w:r>
        <w:t>Revisar contraste, navegación por teclado, texto alternativo y legibilidad de las interfaces.</w:t>
      </w:r>
    </w:p>
    <w:p>
      <w:pPr>
        <w:pStyle w:val="ListBullet"/>
      </w:pPr>
      <w:r>
        <w:t>Comprobar autoría y licencias antes de reutilizar código, imágenes, audio o documentación.</w:t>
      </w:r>
    </w:p>
    <w:p>
      <w:pPr>
        <w:pStyle w:val="ListBullet"/>
      </w:pPr>
      <w:r>
        <w:t>Planificar una forma segura de volver a la situación anterior cuando una prueba afecte a dispositivos o servicios.</w:t>
      </w:r>
    </w:p>
    <w:p>
      <w:pPr>
        <w:pStyle w:val="Heading1"/>
      </w:pPr>
      <w:r>
        <w:t>Variantes según los recursos del centro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51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Contexto disponible</w:t>
            </w:r>
          </w:p>
        </w:tc>
        <w:tc>
          <w:tcPr>
            <w:tcW w:type="dxa" w:w="7427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Adaptación recomendada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Sin servidor de producción</w:t>
            </w:r>
          </w:p>
        </w:tc>
        <w:tc>
          <w:tcPr>
            <w:tcW w:type="dxa" w:w="742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Utilizar prototipos, contenedores locales o un entorno de pruebas con datos ficticios.</w:t>
            </w:r>
          </w:p>
        </w:tc>
      </w:tr>
      <w:tr>
        <w:trPr>
          <w:cantSplit/>
        </w:trPr>
        <w:tc>
          <w:tcPr>
            <w:tcW w:type="dxa" w:w="255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Un único módulo</w:t>
            </w:r>
          </w:p>
        </w:tc>
        <w:tc>
          <w:tcPr>
            <w:tcW w:type="dxa" w:w="7427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Resolver una necesidad pequeña durante dos o cuatro semanas y conservar el ciclo completo.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Varios módulos</w:t>
            </w:r>
          </w:p>
        </w:tc>
        <w:tc>
          <w:tcPr>
            <w:tcW w:type="dxa" w:w="742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Repartir datos, interfaz, servicios, sistemas y documentación con criterios comunes.</w:t>
            </w:r>
          </w:p>
        </w:tc>
      </w:tr>
      <w:tr>
        <w:trPr>
          <w:cantSplit/>
        </w:trPr>
        <w:tc>
          <w:tcPr>
            <w:tcW w:type="dxa" w:w="255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Sin dispositivos IoT</w:t>
            </w:r>
          </w:p>
        </w:tc>
        <w:tc>
          <w:tcPr>
            <w:tcW w:type="dxa" w:w="7427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Trabajar con servicios web, formularios, automatización documental o simuladores.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Proyecto consolidado</w:t>
            </w:r>
          </w:p>
        </w:tc>
        <w:tc>
          <w:tcPr>
            <w:tcW w:type="dxa" w:w="742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Priorizar mantenimiento, deuda técnica, observabilidad, accesibilidad y continuidad.</w:t>
            </w:r>
          </w:p>
        </w:tc>
      </w:tr>
    </w:tbl>
    <w:p>
      <w:pPr>
        <w:spacing w:after="0"/>
      </w:pPr>
    </w:p>
    <w:p>
      <w:pPr>
        <w:pStyle w:val="Heading1"/>
      </w:pPr>
      <w:r>
        <w:t>Dificultades frecuentes y respuestas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402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Dificultad</w:t>
            </w:r>
          </w:p>
        </w:tc>
        <w:tc>
          <w:tcPr>
            <w:tcW w:type="dxa" w:w="6576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Respuesta práctica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El reto es demasiado grande</w:t>
            </w:r>
          </w:p>
        </w:tc>
        <w:tc>
          <w:tcPr>
            <w:tcW w:type="dxa" w:w="657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Dividirlo en incrementos y validar primero el recorrido mínimo de la persona usuaria.</w:t>
            </w:r>
          </w:p>
        </w:tc>
      </w:tr>
      <w:tr>
        <w:trPr>
          <w:cantSplit/>
        </w:trPr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La persona usuaria dispone de poco tiempo</w:t>
            </w:r>
          </w:p>
        </w:tc>
        <w:tc>
          <w:tcPr>
            <w:tcW w:type="dxa" w:w="6576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Acordar al inicio dos momentos breves: contraste de requisitos y validación final.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Una dependencia bloquea el desarrollo</w:t>
            </w:r>
          </w:p>
        </w:tc>
        <w:tc>
          <w:tcPr>
            <w:tcW w:type="dxa" w:w="657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Simular su interfaz, documentar el contrato y continuar con datos de prueba.</w:t>
            </w:r>
          </w:p>
        </w:tc>
      </w:tr>
      <w:tr>
        <w:trPr>
          <w:cantSplit/>
        </w:trPr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Las pruebas pueden afectar a producción</w:t>
            </w:r>
          </w:p>
        </w:tc>
        <w:tc>
          <w:tcPr>
            <w:tcW w:type="dxa" w:w="6576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Usar un entorno aislado, permisos mínimos y un procedimiento de recuperación.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Las evidencias se reúnen al final</w:t>
            </w:r>
          </w:p>
        </w:tc>
        <w:tc>
          <w:tcPr>
            <w:tcW w:type="dxa" w:w="657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Definirlas en la tarea y registrarlas durante cada revisión.</w:t>
            </w:r>
          </w:p>
        </w:tc>
      </w:tr>
      <w:tr>
        <w:trPr>
          <w:cantSplit/>
        </w:trPr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La evidencia contiene datos personales</w:t>
            </w:r>
          </w:p>
        </w:tc>
        <w:tc>
          <w:tcPr>
            <w:tcW w:type="dxa" w:w="6576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Anonimizar o recrear la pantalla con datos ficticios antes de publicarla.</w:t>
            </w:r>
          </w:p>
        </w:tc>
      </w:tr>
    </w:tbl>
    <w:p>
      <w:pPr>
        <w:spacing w:after="0"/>
      </w:pPr>
    </w:p>
    <w:p>
      <w:pPr>
        <w:pStyle w:val="Heading1"/>
      </w:pPr>
      <w:r>
        <w:t>Lista de comprobación para el cierre</w:t>
      </w:r>
    </w:p>
    <w:p>
      <w:pPr>
        <w:pStyle w:val="ListBullet"/>
      </w:pPr>
      <w:r>
        <w:t>La necesidad y el usuario validador están identificados.</w:t>
      </w:r>
    </w:p>
    <w:p>
      <w:pPr>
        <w:pStyle w:val="ListBullet"/>
      </w:pPr>
      <w:r>
        <w:t>La tarea conserva criterios de aceptación y responsable.</w:t>
      </w:r>
    </w:p>
    <w:p>
      <w:pPr>
        <w:pStyle w:val="ListBullet"/>
      </w:pPr>
      <w:r>
        <w:t>Las decisiones relevantes enlazan sus fuentes.</w:t>
      </w:r>
    </w:p>
    <w:p>
      <w:pPr>
        <w:pStyle w:val="ListBullet"/>
      </w:pPr>
      <w:r>
        <w:t>Existe una revisión funcional y, cuando procede, una corrección posterior.</w:t>
      </w:r>
    </w:p>
    <w:p>
      <w:pPr>
        <w:pStyle w:val="ListBullet"/>
      </w:pPr>
      <w:r>
        <w:t>Las evidencias protegen datos personales y credenciales.</w:t>
      </w:r>
    </w:p>
    <w:p>
      <w:pPr>
        <w:pStyle w:val="ListBullet"/>
      </w:pPr>
      <w:r>
        <w:t>El producto puede demostrarse y la documentación permite continuarlo.</w:t>
      </w:r>
    </w:p>
    <w:p>
      <w:pPr>
        <w:pStyle w:val="ListBullet"/>
      </w:pPr>
      <w:r>
        <w:t>La autoría y las licencias de los materiales públicos están indicadas.</w:t>
      </w:r>
    </w:p>
    <w:p>
      <w:pPr>
        <w:pStyle w:val="Heading1"/>
      </w:pPr>
      <w:r>
        <w:t>Referencias</w:t>
      </w:r>
    </w:p>
    <w:p>
      <w:pPr>
        <w:pStyle w:val="ListBullet"/>
      </w:pPr>
      <w:r>
        <w:rPr>
          <w:b/>
        </w:rPr>
        <w:t xml:space="preserve">DigComp 2.2. </w:t>
      </w:r>
      <w:r>
        <w:t xml:space="preserve">Vuorikari, R., Kluzer, S. y Punie, Y. (2022). DigComp 2.2: The Digital Competence Framework for Citizens. JRC128415. </w:t>
      </w:r>
      <w:hyperlink r:id="rId12">
        <w:r>
          <w:rPr>
            <w:color w:val="176B87"/>
            <w:u w:val="single"/>
          </w:rPr>
          <w:t>https://publications.jrc.ec.europa.eu/repository/handle/JRC128415</w:t>
        </w:r>
      </w:hyperlink>
    </w:p>
    <w:p>
      <w:pPr>
        <w:pStyle w:val="ListBullet"/>
      </w:pPr>
      <w:r>
        <w:rPr>
          <w:b/>
        </w:rPr>
        <w:t xml:space="preserve">Creative Commons. </w:t>
      </w:r>
      <w:r>
        <w:t xml:space="preserve">Licencia Atribución-CompartirIgual 4.0 Internacional. </w:t>
      </w:r>
      <w:hyperlink r:id="rId13">
        <w:r>
          <w:rPr>
            <w:color w:val="176B87"/>
            <w:u w:val="single"/>
          </w:rPr>
          <w:t>https://creativecommons.org/licenses/by-sa/4.0/deed.es</w:t>
        </w:r>
      </w:hyperlink>
    </w:p>
    <w:p>
      <w:pPr>
        <w:pStyle w:val="ListBullet"/>
      </w:pPr>
      <w:r>
        <w:rPr>
          <w:b/>
        </w:rPr>
        <w:t xml:space="preserve">Somos Jándula. </w:t>
      </w:r>
      <w:r>
        <w:t xml:space="preserve">Página pública de la experiencia educativa. </w:t>
      </w:r>
      <w:hyperlink r:id="rId11">
        <w:r>
          <w:rPr>
            <w:color w:val="176B87"/>
            <w:u w:val="single"/>
          </w:rPr>
          <w:t>https://somos.iesjandula.es/experiencia</w:t>
        </w:r>
      </w:hyperlink>
    </w:p>
    <w:p>
      <w:pPr>
        <w:pStyle w:val="ListBullet"/>
      </w:pPr>
      <w:r>
        <w:rPr>
          <w:b/>
        </w:rPr>
        <w:t xml:space="preserve">IESJandula en GitHub. </w:t>
      </w:r>
      <w:r>
        <w:t xml:space="preserve">Repositorios y documentación técnica pública. </w:t>
      </w:r>
      <w:hyperlink r:id="rId14">
        <w:r>
          <w:rPr>
            <w:color w:val="176B87"/>
            <w:u w:val="single"/>
          </w:rPr>
          <w:t>https://github.com/IESJandula</w:t>
        </w:r>
      </w:hyperlink>
    </w:p>
    <w:p>
      <w:pPr>
        <w:pStyle w:val="Heading1"/>
      </w:pPr>
      <w:r>
        <w:t>Licencia y atribución</w:t>
      </w:r>
    </w:p>
    <w:p>
      <w:r>
        <w:rPr>
          <w:b/>
        </w:rPr>
        <w:t xml:space="preserve">© 2026 Francisco Manuel Benítez Chico. </w:t>
      </w:r>
      <w:r>
        <w:t>El texto, las tablas y las plantillas originales de este documento se publican bajo la licencia Creative Commons Atribución-CompartirIgual 4.0 Internacional (CC BY-SA 4.0).</w:t>
      </w:r>
    </w:p>
    <w:p>
      <w:r>
        <w:t>Puede compartir y adaptar el material, incluso con fines comerciales, siempre que reconozca la autoría, enlace la licencia, indique los cambios y distribuya las adaptaciones bajo la misma licencia.</w:t>
      </w:r>
    </w:p>
    <w:p>
      <w:r>
        <w:t xml:space="preserve">Texto de la licencia: </w:t>
      </w:r>
      <w:hyperlink r:id="rId13">
        <w:r>
          <w:rPr>
            <w:color w:val="176B87"/>
            <w:u w:val="single"/>
          </w:rPr>
          <w:t>https://creativecommons.org/licenses/by-sa/4.0/deed.es</w:t>
        </w:r>
      </w:hyperlink>
    </w:p>
    <w:p>
      <w:r>
        <w:t>La licencia se aplica a este material educativo. El código, las marcas, las capturas y los recursos enlazados conservan las condiciones establecidas por sus respectivos titulares.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26775"/>
        <w:sz w:val="16"/>
      </w:rPr>
      <w:t xml:space="preserve">CC BY-SA 4.0 · IES Jándula · </w:t>
    </w:r>
    <w:r>
      <w:rPr>
        <w:rFonts w:ascii="Arial" w:hAnsi="Arial"/>
        <w:sz w:val="16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76B87"/>
        <w:sz w:val="16"/>
      </w:rPr>
      <w:t>SOMOS JÁNDULA · KIT REA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color w:val="1D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omos.iesjandula.es/experiencia" TargetMode="External"/><Relationship Id="rId12" Type="http://schemas.openxmlformats.org/officeDocument/2006/relationships/hyperlink" Target="https://publications.jrc.ec.europa.eu/repository/handle/JRC128415" TargetMode="External"/><Relationship Id="rId13" Type="http://schemas.openxmlformats.org/officeDocument/2006/relationships/hyperlink" Target="https://creativecommons.org/licenses/by-sa/4.0/deed.es" TargetMode="External"/><Relationship Id="rId14" Type="http://schemas.openxmlformats.org/officeDocument/2006/relationships/hyperlink" Target="https://github.com/IESJandu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aplicar Somos Jándula en otros centros</dc:title>
  <dc:subject>Guía transferible para proyectos de software con usuarios reales</dc:subject>
  <dc:creator>Francisco Manuel Benítez Chico</dc:creator>
  <cp:keywords>Somos Jándula, REA, Formación Profesional, DAM, competencia digital, CC BY-SA 4.0</cp:keywords>
  <dc:description>Versión 1.0. Publicado bajo CC BY-SA 4.0.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