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pBdr/>
        <w:spacing/>
        <w:ind/>
        <w:rPr/>
      </w:pPr>
      <w:r>
        <w:rPr>
          <w:lang w:val="fr-FR"/>
        </w:rPr>
        <w:t xml:space="preserve">Golden </w:t>
      </w:r>
      <w:r>
        <w:rPr>
          <w:lang w:val="fr-FR"/>
        </w:rPr>
        <w:t xml:space="preserve">Ticket </w:t>
      </w:r>
      <w:r>
        <w:rPr>
          <w:lang w:val="fr-FR"/>
        </w:rPr>
        <w:t xml:space="preserve">(le ticket doré)</w:t>
      </w:r>
      <w:r/>
    </w:p>
    <w:p>
      <w:pPr>
        <w:pStyle w:val="848"/>
        <w:pBdr/>
        <w:spacing w:after="0" w:afterAutospacing="0"/>
        <w:ind/>
        <w:rPr/>
      </w:pPr>
      <w:r>
        <w:rPr>
          <w:lang w:val="fr-FR"/>
        </w:rPr>
      </w:r>
      <w:r>
        <w:rPr>
          <w:lang w:val="fr-FR"/>
        </w:rPr>
        <w:t xml:space="preserve">Miroux </w:t>
      </w:r>
      <w:r>
        <w:rPr>
          <w:lang w:val="fr-FR"/>
        </w:rPr>
        <w:t xml:space="preserve">J. ; </w:t>
      </w:r>
      <w:r>
        <w:rPr>
          <w:lang w:val="fr-FR"/>
        </w:rPr>
        <w:t xml:space="preserve">Demeffe L.</w:t>
      </w:r>
      <w:r/>
    </w:p>
    <w:p>
      <w:pPr>
        <w:pStyle w:val="827"/>
        <w:pBdr/>
        <w:spacing/>
        <w:ind/>
        <w:rPr/>
      </w:pPr>
      <w:r>
        <w:rPr>
          <w:lang w:val="fr-FR"/>
        </w:rPr>
        <w:t xml:space="preserve">Qu’est ce que le « Golden Ticket » ?</w:t>
      </w:r>
      <w:r/>
    </w:p>
    <w:p>
      <w:pPr>
        <w:pBdr/>
        <w:spacing/>
        <w:ind/>
        <w:rPr>
          <w:highlight w:val="none"/>
          <w:lang w:val="fr-FR"/>
        </w:rPr>
      </w:pPr>
      <w:r>
        <w:rPr>
          <w:lang w:val="fr-FR"/>
        </w:rPr>
      </w:r>
      <w:r>
        <w:rPr>
          <w:lang w:val="fr-FR"/>
        </w:rPr>
        <w:t xml:space="preserve">Le « Golden ticket » est une technique utilisée post-exploitation. Celle-ci sert a garder un accès à long terme, ainsi qu’un accès presque illimité. Le Golden Ticket (GT) est un ticket généré par Kerberos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text1"/>
      <w:sz w:val="40"/>
      <w:szCs w:val="40"/>
      <w:u w:val="single"/>
      <w:lang w:val="fr-FR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u w:val="single"/>
      <w:lang w:val="fr-FR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72"/>
      <w:szCs w:val="72"/>
      <w:lang w:val="fr-FR"/>
    </w:rPr>
  </w:style>
  <w:style w:type="character" w:styleId="847">
    <w:name w:val="Title Char"/>
    <w:link w:val="846"/>
    <w:uiPriority w:val="10"/>
    <w:pPr>
      <w:pBdr/>
      <w:spacing/>
      <w:ind/>
    </w:pPr>
    <w:rPr>
      <w:sz w:val="72"/>
      <w:szCs w:val="72"/>
      <w:lang w:val="fr-FR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 w:after="0" w:afterAutospacing="0"/>
      <w:ind/>
    </w:pPr>
    <w:rPr>
      <w:color w:val="595959" w:themeColor="text1" w:themeTint="A6"/>
      <w:spacing w:val="15"/>
      <w:sz w:val="28"/>
      <w:szCs w:val="28"/>
      <w:lang w:val="fr-FR"/>
    </w:rPr>
  </w:style>
  <w:style w:type="character" w:styleId="849">
    <w:name w:val="Subtitle Char"/>
    <w:link w:val="848"/>
    <w:uiPriority w:val="11"/>
    <w:pPr>
      <w:pBdr/>
      <w:spacing/>
      <w:ind/>
    </w:pPr>
    <w:rPr>
      <w:lang w:val="fr-FR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2025-09-30T08:45:20Z</dcterms:modified>
</cp:coreProperties>
</file>