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MSTS财务系统项目费用与工期预算</w:t>
      </w:r>
    </w:p>
    <w:p>
      <w:pPr>
        <w:spacing w:after="100"/>
      </w:pPr>
      <w:r>
        <w:rPr>
          <w:b/>
        </w:rPr>
        <w:t>项目总预算 120,000 元人民币，建设周期约 2.5 个月（按 11 周排期）。</w:t>
      </w:r>
    </w:p>
    <w:p>
      <w:r>
        <w:rPr>
          <w:b w:val="0"/>
        </w:rPr>
        <w:t>由技术总监主导开发，结合 AI 工具和兼职人员完成；部署设备由老板按配置清单自行采购。</w:t>
      </w:r>
    </w:p>
    <w:p>
      <w:pPr>
        <w:spacing w:after="100" w:line="276" w:lineRule="auto"/>
      </w:pPr>
      <w:r>
        <w:t>免费提供3套原创界面设计方案，其中1套支持高度定制，费用已包含在项目总价内。</w:t>
      </w:r>
    </w:p>
    <w:p>
      <w:pPr>
        <w:pStyle w:val="Heading1"/>
      </w:pPr>
      <w:r>
        <w:t>主要费用安排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474"/>
        <w:gridCol w:w="5669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E7EDF2"/>
          </w:tcPr>
          <w:p>
            <w:pPr>
              <w:spacing w:after="0" w:before="0" w:line="264" w:lineRule="auto"/>
              <w:jc w:val="left"/>
            </w:pPr>
            <w:r>
              <w:rPr>
                <w:b/>
                <w:color w:val="000000"/>
                <w:sz w:val="20"/>
              </w:rPr>
              <w:t>费用项目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E7EDF2"/>
          </w:tcPr>
          <w:p>
            <w:pPr>
              <w:spacing w:after="0" w:before="0" w:line="264" w:lineRule="auto"/>
              <w:jc w:val="right"/>
            </w:pPr>
            <w:r>
              <w:rPr>
                <w:b/>
                <w:color w:val="000000"/>
                <w:sz w:val="20"/>
              </w:rPr>
              <w:t>预算金额 元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E7EDF2"/>
          </w:tcPr>
          <w:p>
            <w:pPr>
              <w:spacing w:after="0" w:before="0" w:line="264" w:lineRule="auto"/>
              <w:jc w:val="left"/>
            </w:pPr>
            <w:r>
              <w:rPr>
                <w:b/>
                <w:color w:val="000000"/>
                <w:sz w:val="20"/>
              </w:rPr>
              <w:t>预计投入与用途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技术统筹与开发交付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right"/>
            </w:pPr>
            <w:r>
              <w:rPr>
                <w:b w:val="0"/>
                <w:color w:val="000000"/>
                <w:sz w:val="20"/>
              </w:rPr>
              <w:t>77,000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设计与开发共约11周，含首年保障成本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兼职后端协作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right"/>
            </w:pPr>
            <w:r>
              <w:rPr>
                <w:b w:val="0"/>
                <w:color w:val="000000"/>
                <w:sz w:val="20"/>
              </w:rPr>
              <w:t>16,000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协作1人，累计工作16至20天，安排在第2至8周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独立测试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right"/>
            </w:pPr>
            <w:r>
              <w:rPr>
                <w:b w:val="0"/>
                <w:color w:val="000000"/>
                <w:sz w:val="20"/>
              </w:rPr>
              <w:t>8,000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协作1人，累计工作10至12天，安排在第5至11周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部署与运维协作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right"/>
            </w:pPr>
            <w:r>
              <w:rPr>
                <w:b w:val="0"/>
                <w:color w:val="000000"/>
                <w:sz w:val="20"/>
              </w:rPr>
              <w:t>3,000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协作1人，累计工作2至3天，安排在第8至11周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AI 工具订阅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right"/>
            </w:pPr>
            <w:r>
              <w:rPr>
                <w:b w:val="0"/>
                <w:color w:val="000000"/>
                <w:sz w:val="20"/>
              </w:rPr>
              <w:t>6,000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260美元/月，按3个订阅月预算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测试环境及其他工具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right"/>
            </w:pPr>
            <w:r>
              <w:rPr>
                <w:b w:val="0"/>
                <w:color w:val="000000"/>
                <w:sz w:val="20"/>
              </w:rPr>
              <w:t>2,000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测试环境与必要工具开销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项目风险预留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right"/>
            </w:pPr>
            <w:r>
              <w:rPr>
                <w:b w:val="0"/>
                <w:color w:val="000000"/>
                <w:sz w:val="20"/>
              </w:rPr>
              <w:t>8,000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需求细化、返工及临时协作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4F6F8"/>
          </w:tcPr>
          <w:p>
            <w:pPr>
              <w:spacing w:after="0" w:before="0" w:line="264" w:lineRule="auto"/>
              <w:jc w:val="left"/>
            </w:pPr>
            <w:r>
              <w:rPr>
                <w:b/>
                <w:color w:val="000000"/>
                <w:sz w:val="20"/>
              </w:rPr>
              <w:t>合计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4F6F8"/>
          </w:tcPr>
          <w:p>
            <w:pPr>
              <w:spacing w:after="0" w:before="0" w:line="264" w:lineRule="auto"/>
              <w:jc w:val="right"/>
            </w:pPr>
            <w:r>
              <w:rPr>
                <w:b/>
                <w:color w:val="000000"/>
                <w:sz w:val="20"/>
              </w:rPr>
              <w:t>120,000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4F6F8"/>
          </w:tcPr>
          <w:p>
            <w:pPr>
              <w:spacing w:after="0" w:before="0" w:line="264" w:lineRule="auto"/>
              <w:jc w:val="left"/>
            </w:pPr>
            <w:r>
              <w:rPr>
                <w:b/>
                <w:color w:val="000000"/>
                <w:sz w:val="20"/>
              </w:rPr>
              <w:t>外部协作人工合计27,000元，已含在总额内</w:t>
            </w:r>
          </w:p>
        </w:tc>
      </w:tr>
    </w:tbl>
    <w:p>
      <w:pPr>
        <w:spacing w:before="100" w:after="60" w:line="276" w:lineRule="auto"/>
      </w:pPr>
      <w:r>
        <w:rPr>
          <w:color w:val="404040"/>
          <w:sz w:val="18"/>
        </w:rPr>
        <w:t>业务及会计规则由甲方财务人员配合确认。自项目验收之日起，赠送1年维护、缺陷修复与使用支持，相关成本已计入开发交付费用，首年不另收费。</w:t>
      </w:r>
    </w:p>
    <w:p>
      <w:pPr>
        <w:spacing w:line="276" w:lineRule="auto" w:after="60" w:before="0"/>
      </w:pPr>
      <w:r>
        <w:rPr>
          <w:b w:val="0"/>
          <w:color w:val="404040"/>
          <w:sz w:val="18"/>
        </w:rPr>
        <w:t>AI预算按260美元×3个月＝780美元，以内部预算汇率7.5折算约5,850元，取整预留6,000元。</w:t>
      </w:r>
    </w:p>
    <w:p>
      <w:pPr>
        <w:spacing w:line="276" w:lineRule="auto" w:after="60"/>
      </w:pPr>
      <w:r>
        <w:rPr>
          <w:b w:val="0"/>
          <w:color w:val="404040"/>
          <w:sz w:val="18"/>
        </w:rPr>
        <w:t>设备费用另计。表中天数指1名协作人员累计工作时间，可分散安排，无需连续驻场；总工期仍为11周。</w:t>
      </w:r>
    </w:p>
    <w:p>
      <w:pPr>
        <w:pStyle w:val="Heading1"/>
      </w:pPr>
      <w:r>
        <w:t>主要时间安排</w:t>
      </w:r>
    </w:p>
    <w:p>
      <w:pPr>
        <w:keepNext/>
        <w:spacing w:before="0" w:after="100" w:line="276" w:lineRule="auto"/>
      </w:pPr>
      <w:r>
        <w:rPr>
          <w:color w:val="404040"/>
          <w:sz w:val="18"/>
        </w:rPr>
        <w:t>各阶段并行推进，前4周持续评审和打磨设计，已确认页面先行开发；总工期仍为11周。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850"/>
        <w:gridCol w:w="7483"/>
      </w:tblGrid>
      <w:tr>
        <w:trPr>
          <w:tblHeader/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E7EDF2"/>
          </w:tcPr>
          <w:p>
            <w:pPr>
              <w:spacing w:after="0" w:before="0" w:line="264" w:lineRule="auto"/>
              <w:jc w:val="left"/>
            </w:pPr>
            <w:r>
              <w:rPr>
                <w:b/>
                <w:color w:val="000000"/>
                <w:sz w:val="20"/>
              </w:rPr>
              <w:t>时间区间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E7EDF2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000000"/>
                <w:sz w:val="20"/>
              </w:rPr>
              <w:t>时长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E7EDF2"/>
          </w:tcPr>
          <w:p>
            <w:pPr>
              <w:spacing w:after="0" w:before="0" w:line="264" w:lineRule="auto"/>
              <w:jc w:val="left"/>
            </w:pPr>
            <w:r>
              <w:rPr>
                <w:b/>
                <w:color w:val="000000"/>
                <w:sz w:val="20"/>
              </w:rPr>
              <w:t>主要工作与交付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第1至4周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4周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梳理需求，持续产出和打磨3套原创设计，深化1套定制方案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第2至4周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3周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确认财务规则及验收标准，搭建后端、数据库和权限，接通原型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第4至6周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3周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完成应收、应付、收付款、银行及跨主体业务主流程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第7至8周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2周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完成总账报表、报销、资产、税务联调，开展单船试点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第9至10周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2周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完成财务核对、权限测试、月结及恢复演练，修复问题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第11周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1周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完成正式部署、培训、资料交接与项目验收</w:t>
            </w:r>
          </w:p>
        </w:tc>
      </w:tr>
    </w:tbl>
    <w:p>
      <w:pPr>
        <w:spacing w:line="276" w:lineRule="auto" w:after="60" w:before="100"/>
      </w:pPr>
      <w:r>
        <w:rPr>
          <w:b w:val="0"/>
          <w:color w:val="404040"/>
          <w:sz w:val="18"/>
        </w:rPr>
        <w:t>硬件节点：第2周提供配置清单，第6至7周设备到位。工期以范围稳定、资料及时提供及财务确认及时为前提。</w:t>
      </w:r>
    </w:p>
    <w:sectPr w:rsidR="00FC693F" w:rsidRPr="0006063C" w:rsidSect="00034616">
      <w:pgSz w:w="11906" w:h="16838"/>
      <w:pgMar w:top="935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0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64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64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00" w:line="264" w:lineRule="auto"/>
    </w:pPr>
    <w:rPr>
      <w:rFonts w:ascii="Hiragino Sans GB" w:hAnsi="Hiragino Sans GB" w:eastAsia="Hiragino Sans GB" w:cs="Hiragino Sans GB"/>
      <w:b/>
      <w:i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MSTS财务系统项目费用与工期预算</dc:title>
  <dc:subject>主要费用预算与11周实施安排</dc:subject>
  <dc:creator>项目技术负责人</dc:creator>
  <cp:keywords>MSTS,财务系统,项目预算,工期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