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Verification and Final Review</w:t>
      </w:r>
    </w:p>
    <w:p>
      <w:pPr>
        <w:pStyle w:val="Subtitle"/>
      </w:pPr>
      <w:r>
        <w:t>Practice exams and assessment validity in computer science</w:t>
      </w:r>
    </w:p>
    <w:p>
      <w:r>
        <w:t>27 October 2026</w:t>
      </w:r>
    </w:p>
    <w:p>
      <w:r>
        <w:t>This record documents source verification and an internal critical review of the final paper’s 21 references. It distinguishes reported findings, interpretations, and policy recommendations, and records the evidence and limitations supporting each claim group. The internal review considered measurement validity, the case for instructor discretion, and academic presentation. It does not represent external journal peer review.</w:t>
      </w:r>
    </w:p>
    <w:p>
      <w:pPr>
        <w:pStyle w:val="Heading1"/>
      </w:pPr>
      <w:r>
        <w:t>What was checked</w:t>
      </w:r>
    </w:p>
    <w:p>
      <w:r>
        <w:t>The review compared claims with primary publications, author manuscripts, official webpages, and publisher or institutional bibliographic records. It checked author order and initials, publication year, titles, proceedings or journal information, page ranges, identifiers, sample sizes, effect sizes, comparison groups, and the distinction between findings and interpretation. Publication-year citations follow the published issue, rather than a later archive upload or an earlier online-first date.</w:t>
      </w:r>
    </w:p>
    <w:p>
      <w:r>
        <w:t>For 19 of the 21 entries, full primary article or report text, or the complete official webpage, was examined. Arendasy et al. (2016) and Messick (1981) were checked against publisher or official abstracts and bibliographic records. Their use is confined to claims those records explicitly support. The audit checks how the paper represents the cited evidence; it does not independently reanalyse the datasets or every study included in a meta-analysis.</w:t>
      </w:r>
    </w:p>
    <w:p>
      <w:pPr>
        <w:pStyle w:val="Heading1"/>
      </w:pPr>
      <w:r>
        <w:t>Final review decisions</w:t>
      </w:r>
    </w:p>
    <w:p>
      <w:pPr>
        <w:pStyle w:val="ListBullet"/>
      </w:pPr>
      <w:r>
        <w:t>Practice testing, an extended practice examination, and a full mock examination are defined separately. General retrieval-practice findings are not treated as estimates of the effect of a timed simulation.</w:t>
      </w:r>
    </w:p>
    <w:p>
      <w:pPr>
        <w:pStyle w:val="ListBullet"/>
      </w:pPr>
      <w:r>
        <w:t>The recommendation states its educational premise and allows relevant prerequisites, varied preparation, and legitimate instructor judgments about unnecessary mock-exam features. It does not require an analogue of every assessed question.</w:t>
      </w:r>
    </w:p>
    <w:p>
      <w:pPr>
        <w:pStyle w:val="ListBullet"/>
      </w:pPr>
      <w:r>
        <w:t>Direct computing evidence is identified as introductory or novice programming research. Extension to other CS subjects is explicitly a reasoned application. Voluntary uptake in Fossati and the already-prepared comparison groups in Smith are distinguished from availability effects.</w:t>
      </w:r>
    </w:p>
    <w:p>
      <w:pPr>
        <w:pStyle w:val="ListBullet"/>
      </w:pPr>
      <w:r>
        <w:t>LSAT estimates are labelled as adjusted overall comparisons. Statistical contrasts and subgroup limits are stated.</w:t>
      </w:r>
    </w:p>
    <w:p>
      <w:pPr>
        <w:pStyle w:val="ListBullet"/>
      </w:pPr>
      <w:r>
        <w:t>Study descriptions retain the verified experimental-arm distinctions, outcome boundaries, and observational limits recorded below. The Bloom examples remain illustrative. The search approach and two abstract-based checks are disclosed.</w:t>
      </w:r>
    </w:p>
    <w:p>
      <w:pPr>
        <w:pStyle w:val="ListBullet"/>
      </w:pPr>
      <w:r>
        <w:t>All 21 references have corresponding uses in the paper. Author names, dates, titles, journal or proceedings details, identifiers, and source locations were checked. Table numbering and cross-references were reconciled, and the rendered documents were visually reviewed.</w:t>
      </w:r>
    </w:p>
    <w:p>
      <w:pPr>
        <w:pStyle w:val="Heading1"/>
      </w:pPr>
      <w:r>
        <w:t>Source verification register</w:t>
      </w:r>
    </w:p>
    <w:p>
      <w:r>
        <w:t>Locators below refer to printed publication pages unless identified as a section or table. Links lead to the checked primary text or official record. The full bibliographic entries appear in the revised paper. A verified representation of a study does not make its design causal or eliminate its limitations.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800"/>
        <w:gridCol w:w="4248"/>
      </w:tblGrid>
      <w:tr>
        <w:trPr>
          <w:cantSplit/>
          <w:tblHeader/>
        </w:trPr>
        <w:tc>
          <w:tcPr>
            <w:tcW w:type="dxa" w:w="1656"/>
            <w:vAlign w:val="center"/>
            <w:shd w:fill="E7E7E7"/>
            <w:tcMar>
              <w:top w:w="85" w:type="dxa"/>
              <w:bottom w:w="85" w:type="dxa"/>
              <w:left w:w="85" w:type="dxa"/>
              <w:right w:w="85" w:type="dxa"/>
            </w:tcMar>
          </w:tcPr>
          <w:p>
            <w:pPr>
              <w:pStyle w:val="TableText"/>
            </w:pPr>
            <w:r>
              <w:rPr>
                <w:b/>
              </w:rPr>
              <w:t>Reference</w:t>
            </w:r>
          </w:p>
        </w:tc>
        <w:tc>
          <w:tcPr>
            <w:tcW w:type="dxa" w:w="1656"/>
            <w:vAlign w:val="center"/>
            <w:shd w:fill="E7E7E7"/>
            <w:tcMar>
              <w:top w:w="85" w:type="dxa"/>
              <w:bottom w:w="85" w:type="dxa"/>
              <w:left w:w="85" w:type="dxa"/>
              <w:right w:w="85" w:type="dxa"/>
            </w:tcMar>
          </w:tcPr>
          <w:p>
            <w:pPr>
              <w:pStyle w:val="TableText"/>
            </w:pPr>
            <w:r>
              <w:rPr>
                <w:b/>
              </w:rPr>
              <w:t>Primary material</w:t>
            </w:r>
          </w:p>
        </w:tc>
        <w:tc>
          <w:tcPr>
            <w:tcW w:type="dxa" w:w="1800"/>
            <w:vAlign w:val="center"/>
            <w:shd w:fill="E7E7E7"/>
            <w:tcMar>
              <w:top w:w="85" w:type="dxa"/>
              <w:bottom w:w="85" w:type="dxa"/>
              <w:left w:w="85" w:type="dxa"/>
              <w:right w:w="85" w:type="dxa"/>
            </w:tcMar>
          </w:tcPr>
          <w:p>
            <w:pPr>
              <w:pStyle w:val="TableText"/>
            </w:pPr>
            <w:r>
              <w:rPr>
                <w:b/>
              </w:rPr>
              <w:t>Locator</w:t>
            </w:r>
          </w:p>
        </w:tc>
        <w:tc>
          <w:tcPr>
            <w:tcW w:type="dxa" w:w="4248"/>
            <w:vAlign w:val="center"/>
            <w:shd w:fill="E7E7E7"/>
            <w:tcMar>
              <w:top w:w="85" w:type="dxa"/>
              <w:bottom w:w="85" w:type="dxa"/>
              <w:left w:w="85" w:type="dxa"/>
              <w:right w:w="85" w:type="dxa"/>
            </w:tcMar>
          </w:tcPr>
          <w:p>
            <w:pPr>
              <w:pStyle w:val="TableText"/>
            </w:pPr>
            <w:r>
              <w:rPr>
                <w:b/>
              </w:rPr>
              <w:t>Verification result</w:t>
            </w:r>
          </w:p>
        </w:tc>
      </w:tr>
      <w:tr>
        <w:trPr>
          <w:cantSplit/>
        </w:trPr>
        <w:tc>
          <w:tcPr>
            <w:tcW w:type="dxa" w:w="1656"/>
            <w:vAlign w:val="center"/>
            <w:shd w:fill="FFFFFF"/>
            <w:tcMar>
              <w:top w:w="85" w:type="dxa"/>
              <w:bottom w:w="85" w:type="dxa"/>
              <w:left w:w="85" w:type="dxa"/>
              <w:right w:w="85" w:type="dxa"/>
            </w:tcMar>
          </w:tcPr>
          <w:p>
            <w:pPr>
              <w:pStyle w:val="TableText"/>
            </w:pPr>
            <w:hyperlink r:id="rId31">
              <w:r>
                <w:rPr>
                  <w:color w:val="17466C"/>
                </w:rPr>
                <w:t>Agarwal (2019)</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193 and 196–203</w:t>
            </w:r>
          </w:p>
        </w:tc>
        <w:tc>
          <w:tcPr>
            <w:tcW w:type="dxa" w:w="4248"/>
            <w:vAlign w:val="center"/>
            <w:shd w:fill="FFFFFF"/>
            <w:tcMar>
              <w:top w:w="85" w:type="dxa"/>
              <w:bottom w:w="85" w:type="dxa"/>
              <w:left w:w="85" w:type="dxa"/>
              <w:right w:w="85" w:type="dxa"/>
            </w:tcMar>
          </w:tcPr>
          <w:p>
            <w:pPr>
              <w:pStyle w:val="TableText"/>
            </w:pPr>
            <w:r>
              <w:rPr>
                <w:b w:val="0"/>
              </w:rPr>
              <w:t>Higher-order practice findings verified. Population and experimental-arm distinctions corrected.</w:t>
            </w:r>
          </w:p>
        </w:tc>
      </w:tr>
      <w:tr>
        <w:trPr>
          <w:cantSplit/>
        </w:trPr>
        <w:tc>
          <w:tcPr>
            <w:tcW w:type="dxa" w:w="1656"/>
            <w:vAlign w:val="center"/>
            <w:shd w:fill="FFFFFF"/>
            <w:tcMar>
              <w:top w:w="85" w:type="dxa"/>
              <w:bottom w:w="85" w:type="dxa"/>
              <w:left w:w="85" w:type="dxa"/>
              <w:right w:w="85" w:type="dxa"/>
            </w:tcMar>
          </w:tcPr>
          <w:p>
            <w:pPr>
              <w:pStyle w:val="TableText"/>
            </w:pPr>
            <w:hyperlink r:id="rId32">
              <w:r>
                <w:rPr>
                  <w:color w:val="17466C"/>
                </w:rPr>
                <w:t>AERA APA NCME (2014)</w:t>
              </w:r>
            </w:hyperlink>
          </w:p>
        </w:tc>
        <w:tc>
          <w:tcPr>
            <w:tcW w:type="dxa" w:w="1656"/>
            <w:vAlign w:val="center"/>
            <w:shd w:fill="FFFFFF"/>
            <w:tcMar>
              <w:top w:w="85" w:type="dxa"/>
              <w:bottom w:w="85" w:type="dxa"/>
              <w:left w:w="85" w:type="dxa"/>
              <w:right w:w="85" w:type="dxa"/>
            </w:tcMar>
          </w:tcPr>
          <w:p>
            <w:pPr>
              <w:pStyle w:val="TableText"/>
            </w:pPr>
            <w:r>
              <w:rPr>
                <w:b w:val="0"/>
              </w:rPr>
              <w:t>Full standards</w:t>
            </w:r>
          </w:p>
        </w:tc>
        <w:tc>
          <w:tcPr>
            <w:tcW w:type="dxa" w:w="1800"/>
            <w:vAlign w:val="center"/>
            <w:shd w:fill="FFFFFF"/>
            <w:tcMar>
              <w:top w:w="85" w:type="dxa"/>
              <w:bottom w:w="85" w:type="dxa"/>
              <w:left w:w="85" w:type="dxa"/>
              <w:right w:w="85" w:type="dxa"/>
            </w:tcMar>
          </w:tcPr>
          <w:p>
            <w:pPr>
              <w:pStyle w:val="TableText"/>
            </w:pPr>
            <w:r>
              <w:rPr>
                <w:b w:val="0"/>
              </w:rPr>
              <w:t>pp. 2 and 7; Standards 4.13–4.16 pp. 90–91</w:t>
            </w:r>
          </w:p>
        </w:tc>
        <w:tc>
          <w:tcPr>
            <w:tcW w:type="dxa" w:w="4248"/>
            <w:vAlign w:val="center"/>
            <w:shd w:fill="FFFFFF"/>
            <w:tcMar>
              <w:top w:w="85" w:type="dxa"/>
              <w:bottom w:w="85" w:type="dxa"/>
              <w:left w:w="85" w:type="dxa"/>
              <w:right w:w="85" w:type="dxa"/>
            </w:tcMar>
          </w:tcPr>
          <w:p>
            <w:pPr>
              <w:pStyle w:val="TableText"/>
            </w:pPr>
            <w:r>
              <w:rPr>
                <w:b w:val="0"/>
              </w:rPr>
              <w:t>Conditional guidance verified; scope for classroom tests clarified.</w:t>
            </w:r>
          </w:p>
        </w:tc>
      </w:tr>
      <w:tr>
        <w:trPr>
          <w:cantSplit/>
        </w:trPr>
        <w:tc>
          <w:tcPr>
            <w:tcW w:type="dxa" w:w="1656"/>
            <w:vAlign w:val="center"/>
            <w:shd w:fill="FFFFFF"/>
            <w:tcMar>
              <w:top w:w="85" w:type="dxa"/>
              <w:bottom w:w="85" w:type="dxa"/>
              <w:left w:w="85" w:type="dxa"/>
              <w:right w:w="85" w:type="dxa"/>
            </w:tcMar>
          </w:tcPr>
          <w:p>
            <w:pPr>
              <w:pStyle w:val="TableText"/>
            </w:pPr>
            <w:hyperlink r:id="rId33">
              <w:r>
                <w:rPr>
                  <w:color w:val="17466C"/>
                </w:rPr>
                <w:t>Arendasy et al. (2016)</w:t>
              </w:r>
            </w:hyperlink>
          </w:p>
        </w:tc>
        <w:tc>
          <w:tcPr>
            <w:tcW w:type="dxa" w:w="1656"/>
            <w:vAlign w:val="center"/>
            <w:shd w:fill="FFFFFF"/>
            <w:tcMar>
              <w:top w:w="85" w:type="dxa"/>
              <w:bottom w:w="85" w:type="dxa"/>
              <w:left w:w="85" w:type="dxa"/>
              <w:right w:w="85" w:type="dxa"/>
            </w:tcMar>
          </w:tcPr>
          <w:p>
            <w:pPr>
              <w:pStyle w:val="TableText"/>
            </w:pPr>
            <w:r>
              <w:rPr>
                <w:b w:val="0"/>
              </w:rPr>
              <w:t>Publisher abstract and metadata</w:t>
            </w:r>
          </w:p>
        </w:tc>
        <w:tc>
          <w:tcPr>
            <w:tcW w:type="dxa" w:w="1800"/>
            <w:vAlign w:val="center"/>
            <w:shd w:fill="FFFFFF"/>
            <w:tcMar>
              <w:top w:w="85" w:type="dxa"/>
              <w:bottom w:w="85" w:type="dxa"/>
              <w:left w:w="85" w:type="dxa"/>
              <w:right w:w="85" w:type="dxa"/>
            </w:tcMar>
          </w:tcPr>
          <w:p>
            <w:pPr>
              <w:pStyle w:val="TableText"/>
            </w:pPr>
            <w:r>
              <w:rPr>
                <w:b w:val="0"/>
              </w:rPr>
              <w:t>Abstract</w:t>
            </w:r>
          </w:p>
        </w:tc>
        <w:tc>
          <w:tcPr>
            <w:tcW w:type="dxa" w:w="4248"/>
            <w:vAlign w:val="center"/>
            <w:shd w:fill="FFFFFF"/>
            <w:tcMar>
              <w:top w:w="85" w:type="dxa"/>
              <w:bottom w:w="85" w:type="dxa"/>
              <w:left w:w="85" w:type="dxa"/>
              <w:right w:w="85" w:type="dxa"/>
            </w:tcMar>
          </w:tcPr>
          <w:p>
            <w:pPr>
              <w:pStyle w:val="TableText"/>
            </w:pPr>
            <w:r>
              <w:rPr>
                <w:b w:val="0"/>
              </w:rPr>
              <w:t>N = 1,768 and individual-subtest invariance verified. Observational, outside CS; full methods not audited.</w:t>
            </w:r>
          </w:p>
        </w:tc>
      </w:tr>
      <w:tr>
        <w:trPr>
          <w:cantSplit/>
        </w:trPr>
        <w:tc>
          <w:tcPr>
            <w:tcW w:type="dxa" w:w="1656"/>
            <w:vAlign w:val="center"/>
            <w:shd w:fill="FFFFFF"/>
            <w:tcMar>
              <w:top w:w="85" w:type="dxa"/>
              <w:bottom w:w="85" w:type="dxa"/>
              <w:left w:w="85" w:type="dxa"/>
              <w:right w:w="85" w:type="dxa"/>
            </w:tcMar>
          </w:tcPr>
          <w:p>
            <w:pPr>
              <w:pStyle w:val="TableText"/>
            </w:pPr>
            <w:hyperlink r:id="rId34">
              <w:r>
                <w:rPr>
                  <w:color w:val="17466C"/>
                </w:rPr>
                <w:t>Biggs (1996)</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350–351 and 360–361</w:t>
            </w:r>
          </w:p>
        </w:tc>
        <w:tc>
          <w:tcPr>
            <w:tcW w:type="dxa" w:w="4248"/>
            <w:vAlign w:val="center"/>
            <w:shd w:fill="FFFFFF"/>
            <w:tcMar>
              <w:top w:w="85" w:type="dxa"/>
              <w:bottom w:w="85" w:type="dxa"/>
              <w:left w:w="85" w:type="dxa"/>
              <w:right w:w="85" w:type="dxa"/>
            </w:tcMar>
          </w:tcPr>
          <w:p>
            <w:pPr>
              <w:pStyle w:val="TableText"/>
            </w:pPr>
            <w:r>
              <w:rPr>
                <w:b w:val="0"/>
              </w:rPr>
              <w:t>Alignment claim verified. Conceptual source; not a practice-exam intervention. Issue 32(3) supplied.</w:t>
            </w:r>
          </w:p>
        </w:tc>
      </w:tr>
      <w:tr>
        <w:trPr>
          <w:cantSplit/>
        </w:trPr>
        <w:tc>
          <w:tcPr>
            <w:tcW w:type="dxa" w:w="1656"/>
            <w:vAlign w:val="center"/>
            <w:shd w:fill="FFFFFF"/>
            <w:tcMar>
              <w:top w:w="85" w:type="dxa"/>
              <w:bottom w:w="85" w:type="dxa"/>
              <w:left w:w="85" w:type="dxa"/>
              <w:right w:w="85" w:type="dxa"/>
            </w:tcMar>
          </w:tcPr>
          <w:p>
            <w:pPr>
              <w:pStyle w:val="TableText"/>
            </w:pPr>
            <w:hyperlink r:id="rId35">
              <w:r>
                <w:rPr>
                  <w:color w:val="17466C"/>
                </w:rPr>
                <w:t>Butler et al. (2017)</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435–441</w:t>
            </w:r>
          </w:p>
        </w:tc>
        <w:tc>
          <w:tcPr>
            <w:tcW w:type="dxa" w:w="4248"/>
            <w:vAlign w:val="center"/>
            <w:shd w:fill="FFFFFF"/>
            <w:tcMar>
              <w:top w:w="85" w:type="dxa"/>
              <w:bottom w:w="85" w:type="dxa"/>
              <w:left w:w="85" w:type="dxa"/>
              <w:right w:w="85" w:type="dxa"/>
            </w:tcMar>
          </w:tcPr>
          <w:p>
            <w:pPr>
              <w:pStyle w:val="TableText"/>
            </w:pPr>
            <w:r>
              <w:rPr>
                <w:b w:val="0"/>
              </w:rPr>
              <w:t>Initial closed-book transfer findings verified; Experiment 4 reanswer boundary added.</w:t>
            </w:r>
          </w:p>
        </w:tc>
      </w:tr>
      <w:tr>
        <w:trPr>
          <w:cantSplit/>
        </w:trPr>
        <w:tc>
          <w:tcPr>
            <w:tcW w:type="dxa" w:w="1656"/>
            <w:vAlign w:val="center"/>
            <w:shd w:fill="FFFFFF"/>
            <w:tcMar>
              <w:top w:w="85" w:type="dxa"/>
              <w:bottom w:w="85" w:type="dxa"/>
              <w:left w:w="85" w:type="dxa"/>
              <w:right w:w="85" w:type="dxa"/>
            </w:tcMar>
          </w:tcPr>
          <w:p>
            <w:pPr>
              <w:pStyle w:val="TableText"/>
            </w:pPr>
            <w:hyperlink r:id="rId14">
              <w:r>
                <w:rPr>
                  <w:color w:val="17466C"/>
                </w:rPr>
                <w:t>Dustman et al. (2021)</w:t>
              </w:r>
            </w:hyperlink>
          </w:p>
        </w:tc>
        <w:tc>
          <w:tcPr>
            <w:tcW w:type="dxa" w:w="1656"/>
            <w:vAlign w:val="center"/>
            <w:shd w:fill="FFFFFF"/>
            <w:tcMar>
              <w:top w:w="85" w:type="dxa"/>
              <w:bottom w:w="85" w:type="dxa"/>
              <w:left w:w="85" w:type="dxa"/>
              <w:right w:w="85" w:type="dxa"/>
            </w:tcMar>
          </w:tcPr>
          <w:p>
            <w:pPr>
              <w:pStyle w:val="TableText"/>
            </w:pPr>
            <w:r>
              <w:rPr>
                <w:b w:val="0"/>
              </w:rPr>
              <w:t>Full official report</w:t>
            </w:r>
          </w:p>
        </w:tc>
        <w:tc>
          <w:tcPr>
            <w:tcW w:type="dxa" w:w="1800"/>
            <w:vAlign w:val="center"/>
            <w:shd w:fill="FFFFFF"/>
            <w:tcMar>
              <w:top w:w="85" w:type="dxa"/>
              <w:bottom w:w="85" w:type="dxa"/>
              <w:left w:w="85" w:type="dxa"/>
              <w:right w:w="85" w:type="dxa"/>
            </w:tcMar>
          </w:tcPr>
          <w:p>
            <w:pPr>
              <w:pStyle w:val="TableText"/>
            </w:pPr>
            <w:r>
              <w:rPr>
                <w:b w:val="0"/>
              </w:rPr>
              <w:t>pp. 14–15, Tables 7–8; pp. 17–18</w:t>
            </w:r>
          </w:p>
        </w:tc>
        <w:tc>
          <w:tcPr>
            <w:tcW w:type="dxa" w:w="4248"/>
            <w:vAlign w:val="center"/>
            <w:shd w:fill="FFFFFF"/>
            <w:tcMar>
              <w:top w:w="85" w:type="dxa"/>
              <w:bottom w:w="85" w:type="dxa"/>
              <w:left w:w="85" w:type="dxa"/>
              <w:right w:w="85" w:type="dxa"/>
            </w:tcMar>
          </w:tcPr>
          <w:p>
            <w:pPr>
              <w:pStyle w:val="TableText"/>
            </w:pPr>
            <w:r>
              <w:rPr>
                <w:b w:val="0"/>
              </w:rPr>
              <w:t>Category sequence verified; comparison group and inferential limits stated.</w:t>
            </w:r>
          </w:p>
        </w:tc>
      </w:tr>
      <w:tr>
        <w:trPr>
          <w:cantSplit/>
        </w:trPr>
        <w:tc>
          <w:tcPr>
            <w:tcW w:type="dxa" w:w="1656"/>
            <w:vAlign w:val="center"/>
            <w:shd w:fill="FFFFFF"/>
            <w:tcMar>
              <w:top w:w="85" w:type="dxa"/>
              <w:bottom w:w="85" w:type="dxa"/>
              <w:left w:w="85" w:type="dxa"/>
              <w:right w:w="85" w:type="dxa"/>
            </w:tcMar>
          </w:tcPr>
          <w:p>
            <w:pPr>
              <w:pStyle w:val="TableText"/>
            </w:pPr>
            <w:hyperlink r:id="rId36">
              <w:r>
                <w:rPr>
                  <w:color w:val="17466C"/>
                </w:rPr>
                <w:t>Fossati and Hashemi Tonekaboni (2020)</w:t>
              </w:r>
            </w:hyperlink>
          </w:p>
        </w:tc>
        <w:tc>
          <w:tcPr>
            <w:tcW w:type="dxa" w:w="1656"/>
            <w:vAlign w:val="center"/>
            <w:shd w:fill="FFFFFF"/>
            <w:tcMar>
              <w:top w:w="85" w:type="dxa"/>
              <w:bottom w:w="85" w:type="dxa"/>
              <w:left w:w="85" w:type="dxa"/>
              <w:right w:w="85" w:type="dxa"/>
            </w:tcMar>
          </w:tcPr>
          <w:p>
            <w:pPr>
              <w:pStyle w:val="TableText"/>
            </w:pPr>
            <w:r>
              <w:rPr>
                <w:b w:val="0"/>
              </w:rPr>
              <w:t>Full one-page poster paper</w:t>
            </w:r>
          </w:p>
        </w:tc>
        <w:tc>
          <w:tcPr>
            <w:tcW w:type="dxa" w:w="1800"/>
            <w:vAlign w:val="center"/>
            <w:shd w:fill="FFFFFF"/>
            <w:tcMar>
              <w:top w:w="85" w:type="dxa"/>
              <w:bottom w:w="85" w:type="dxa"/>
              <w:left w:w="85" w:type="dxa"/>
              <w:right w:w="85" w:type="dxa"/>
            </w:tcMar>
          </w:tcPr>
          <w:p>
            <w:pPr>
              <w:pStyle w:val="TableText"/>
            </w:pPr>
            <w:r>
              <w:rPr>
                <w:b w:val="0"/>
              </w:rPr>
              <w:t>p. 1362, Methods and Results</w:t>
            </w:r>
          </w:p>
        </w:tc>
        <w:tc>
          <w:tcPr>
            <w:tcW w:type="dxa" w:w="4248"/>
            <w:vAlign w:val="center"/>
            <w:shd w:fill="FFFFFF"/>
            <w:tcMar>
              <w:top w:w="85" w:type="dxa"/>
              <w:bottom w:w="85" w:type="dxa"/>
              <w:left w:w="85" w:type="dxa"/>
              <w:right w:w="85" w:type="dxa"/>
            </w:tcMar>
          </w:tcPr>
          <w:p>
            <w:pPr>
              <w:pStyle w:val="TableText"/>
            </w:pPr>
            <w:r>
              <w:rPr>
                <w:b w:val="0"/>
              </w:rPr>
              <w:t>Association verified. Practice was available to all; comparison concerns uptake. Self-selection limits causal interpretation.</w:t>
            </w:r>
          </w:p>
        </w:tc>
      </w:tr>
      <w:tr>
        <w:trPr>
          <w:cantSplit/>
        </w:trPr>
        <w:tc>
          <w:tcPr>
            <w:tcW w:type="dxa" w:w="1656"/>
            <w:vAlign w:val="center"/>
            <w:shd w:fill="FFFFFF"/>
            <w:tcMar>
              <w:top w:w="85" w:type="dxa"/>
              <w:bottom w:w="85" w:type="dxa"/>
              <w:left w:w="85" w:type="dxa"/>
              <w:right w:w="85" w:type="dxa"/>
            </w:tcMar>
          </w:tcPr>
          <w:p>
            <w:pPr>
              <w:pStyle w:val="TableText"/>
            </w:pPr>
            <w:hyperlink r:id="rId37">
              <w:r>
                <w:rPr>
                  <w:color w:val="17466C"/>
                </w:rPr>
                <w:t>Krathwohl (2002)</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213–215 and 217–218</w:t>
            </w:r>
          </w:p>
        </w:tc>
        <w:tc>
          <w:tcPr>
            <w:tcW w:type="dxa" w:w="4248"/>
            <w:vAlign w:val="center"/>
            <w:shd w:fill="FFFFFF"/>
            <w:tcMar>
              <w:top w:w="85" w:type="dxa"/>
              <w:bottom w:w="85" w:type="dxa"/>
              <w:left w:w="85" w:type="dxa"/>
              <w:right w:w="85" w:type="dxa"/>
            </w:tcMar>
          </w:tcPr>
          <w:p>
            <w:pPr>
              <w:pStyle w:val="TableText"/>
            </w:pPr>
            <w:r>
              <w:rPr>
                <w:b w:val="0"/>
              </w:rPr>
              <w:t>Dimensions, categories, overlapping hierarchy, and alignment use verified. Taxonomy is not intervention evidence.</w:t>
            </w:r>
          </w:p>
        </w:tc>
      </w:tr>
      <w:tr>
        <w:trPr>
          <w:cantSplit/>
        </w:trPr>
        <w:tc>
          <w:tcPr>
            <w:tcW w:type="dxa" w:w="1656"/>
            <w:vAlign w:val="center"/>
            <w:shd w:fill="FFFFFF"/>
            <w:tcMar>
              <w:top w:w="85" w:type="dxa"/>
              <w:bottom w:w="85" w:type="dxa"/>
              <w:left w:w="85" w:type="dxa"/>
              <w:right w:w="85" w:type="dxa"/>
            </w:tcMar>
          </w:tcPr>
          <w:p>
            <w:pPr>
              <w:pStyle w:val="TableText"/>
            </w:pPr>
            <w:hyperlink r:id="rId17">
              <w:r>
                <w:rPr>
                  <w:color w:val="17466C"/>
                </w:rPr>
                <w:t>Krinsky (2024)</w:t>
              </w:r>
            </w:hyperlink>
          </w:p>
        </w:tc>
        <w:tc>
          <w:tcPr>
            <w:tcW w:type="dxa" w:w="1656"/>
            <w:vAlign w:val="center"/>
            <w:shd w:fill="FFFFFF"/>
            <w:tcMar>
              <w:top w:w="85" w:type="dxa"/>
              <w:bottom w:w="85" w:type="dxa"/>
              <w:left w:w="85" w:type="dxa"/>
              <w:right w:w="85" w:type="dxa"/>
            </w:tcMar>
          </w:tcPr>
          <w:p>
            <w:pPr>
              <w:pStyle w:val="TableText"/>
            </w:pPr>
            <w:r>
              <w:rPr>
                <w:b w:val="0"/>
              </w:rPr>
              <w:t>Official LSAC webpage</w:t>
            </w:r>
          </w:p>
        </w:tc>
        <w:tc>
          <w:tcPr>
            <w:tcW w:type="dxa" w:w="1800"/>
            <w:vAlign w:val="center"/>
            <w:shd w:fill="FFFFFF"/>
            <w:tcMar>
              <w:top w:w="85" w:type="dxa"/>
              <w:bottom w:w="85" w:type="dxa"/>
              <w:left w:w="85" w:type="dxa"/>
              <w:right w:w="85" w:type="dxa"/>
            </w:tcMar>
          </w:tcPr>
          <w:p>
            <w:pPr>
              <w:pStyle w:val="TableText"/>
            </w:pPr>
            <w:r>
              <w:rPr>
                <w:b w:val="0"/>
              </w:rPr>
              <w:t>Opening two paragraphs</w:t>
            </w:r>
          </w:p>
        </w:tc>
        <w:tc>
          <w:tcPr>
            <w:tcW w:type="dxa" w:w="4248"/>
            <w:vAlign w:val="center"/>
            <w:shd w:fill="FFFFFF"/>
            <w:tcMar>
              <w:top w:w="85" w:type="dxa"/>
              <w:bottom w:w="85" w:type="dxa"/>
              <w:left w:w="85" w:type="dxa"/>
              <w:right w:w="85" w:type="dxa"/>
            </w:tcMar>
          </w:tcPr>
          <w:p>
            <w:pPr>
              <w:pStyle w:val="TableText"/>
            </w:pPr>
            <w:r>
              <w:rPr>
                <w:b w:val="0"/>
              </w:rPr>
              <w:t>Added source verifies removal of Analytical Reasoning beginning August 2024.</w:t>
            </w:r>
          </w:p>
        </w:tc>
      </w:tr>
      <w:tr>
        <w:trPr>
          <w:cantSplit/>
        </w:trPr>
        <w:tc>
          <w:tcPr>
            <w:tcW w:type="dxa" w:w="1656"/>
            <w:vAlign w:val="center"/>
            <w:shd w:fill="FFFFFF"/>
            <w:tcMar>
              <w:top w:w="85" w:type="dxa"/>
              <w:bottom w:w="85" w:type="dxa"/>
              <w:left w:w="85" w:type="dxa"/>
              <w:right w:w="85" w:type="dxa"/>
            </w:tcMar>
          </w:tcPr>
          <w:p>
            <w:pPr>
              <w:pStyle w:val="TableText"/>
            </w:pPr>
            <w:hyperlink r:id="rId18">
              <w:r>
                <w:rPr>
                  <w:color w:val="17466C"/>
                </w:rPr>
                <w:t>LSAC (n.d.)</w:t>
              </w:r>
            </w:hyperlink>
          </w:p>
        </w:tc>
        <w:tc>
          <w:tcPr>
            <w:tcW w:type="dxa" w:w="1656"/>
            <w:vAlign w:val="center"/>
            <w:shd w:fill="FFFFFF"/>
            <w:tcMar>
              <w:top w:w="85" w:type="dxa"/>
              <w:bottom w:w="85" w:type="dxa"/>
              <w:left w:w="85" w:type="dxa"/>
              <w:right w:w="85" w:type="dxa"/>
            </w:tcMar>
          </w:tcPr>
          <w:p>
            <w:pPr>
              <w:pStyle w:val="TableText"/>
            </w:pPr>
            <w:r>
              <w:rPr>
                <w:b w:val="0"/>
              </w:rPr>
              <w:t>Official practice-test webpage</w:t>
            </w:r>
          </w:p>
        </w:tc>
        <w:tc>
          <w:tcPr>
            <w:tcW w:type="dxa" w:w="1800"/>
            <w:vAlign w:val="center"/>
            <w:shd w:fill="FFFFFF"/>
            <w:tcMar>
              <w:top w:w="85" w:type="dxa"/>
              <w:bottom w:w="85" w:type="dxa"/>
              <w:left w:w="85" w:type="dxa"/>
              <w:right w:w="85" w:type="dxa"/>
            </w:tcMar>
          </w:tcPr>
          <w:p>
            <w:pPr>
              <w:pStyle w:val="TableText"/>
            </w:pPr>
            <w:r>
              <w:rPr>
                <w:b w:val="0"/>
              </w:rPr>
              <w:t>Opening guidance before LawHub section</w:t>
            </w:r>
          </w:p>
        </w:tc>
        <w:tc>
          <w:tcPr>
            <w:tcW w:type="dxa" w:w="4248"/>
            <w:vAlign w:val="center"/>
            <w:shd w:fill="FFFFFF"/>
            <w:tcMar>
              <w:top w:w="85" w:type="dxa"/>
              <w:bottom w:w="85" w:type="dxa"/>
              <w:left w:w="85" w:type="dxa"/>
              <w:right w:w="85" w:type="dxa"/>
            </w:tcMar>
          </w:tcPr>
          <w:p>
            <w:pPr>
              <w:pStyle w:val="TableText"/>
            </w:pPr>
            <w:r>
              <w:rPr>
                <w:b w:val="0"/>
              </w:rPr>
              <w:t>Advice about mechanics, instructions, question types, and pacing verified. Guidance is not an experiment.</w:t>
            </w:r>
          </w:p>
        </w:tc>
      </w:tr>
      <w:tr>
        <w:trPr>
          <w:cantSplit/>
        </w:trPr>
        <w:tc>
          <w:tcPr>
            <w:tcW w:type="dxa" w:w="1656"/>
            <w:vAlign w:val="center"/>
            <w:shd w:fill="FFFFFF"/>
            <w:tcMar>
              <w:top w:w="85" w:type="dxa"/>
              <w:bottom w:w="85" w:type="dxa"/>
              <w:left w:w="85" w:type="dxa"/>
              <w:right w:w="85" w:type="dxa"/>
            </w:tcMar>
          </w:tcPr>
          <w:p>
            <w:pPr>
              <w:pStyle w:val="TableText"/>
            </w:pPr>
            <w:hyperlink r:id="rId38">
              <w:r>
                <w:rPr>
                  <w:color w:val="17466C"/>
                </w:rPr>
                <w:t>Messick (1981)</w:t>
              </w:r>
            </w:hyperlink>
          </w:p>
        </w:tc>
        <w:tc>
          <w:tcPr>
            <w:tcW w:type="dxa" w:w="1656"/>
            <w:vAlign w:val="center"/>
            <w:shd w:fill="FFFFFF"/>
            <w:tcMar>
              <w:top w:w="85" w:type="dxa"/>
              <w:bottom w:w="85" w:type="dxa"/>
              <w:left w:w="85" w:type="dxa"/>
              <w:right w:w="85" w:type="dxa"/>
            </w:tcMar>
          </w:tcPr>
          <w:p>
            <w:pPr>
              <w:pStyle w:val="TableText"/>
            </w:pPr>
            <w:r>
              <w:rPr>
                <w:b w:val="0"/>
              </w:rPr>
              <w:t>Official report abstract and metadata</w:t>
            </w:r>
          </w:p>
        </w:tc>
        <w:tc>
          <w:tcPr>
            <w:tcW w:type="dxa" w:w="1800"/>
            <w:vAlign w:val="center"/>
            <w:shd w:fill="FFFFFF"/>
            <w:tcMar>
              <w:top w:w="85" w:type="dxa"/>
              <w:bottom w:w="85" w:type="dxa"/>
              <w:left w:w="85" w:type="dxa"/>
              <w:right w:w="85" w:type="dxa"/>
            </w:tcMar>
          </w:tcPr>
          <w:p>
            <w:pPr>
              <w:pStyle w:val="TableText"/>
            </w:pPr>
            <w:r>
              <w:rPr>
                <w:b w:val="0"/>
              </w:rPr>
              <w:t>ETS abstract; RR-81-19</w:t>
            </w:r>
          </w:p>
        </w:tc>
        <w:tc>
          <w:tcPr>
            <w:tcW w:type="dxa" w:w="4248"/>
            <w:vAlign w:val="center"/>
            <w:shd w:fill="FFFFFF"/>
            <w:tcMar>
              <w:top w:w="85" w:type="dxa"/>
              <w:bottom w:w="85" w:type="dxa"/>
              <w:left w:w="85" w:type="dxa"/>
              <w:right w:w="85" w:type="dxa"/>
            </w:tcMar>
          </w:tcPr>
          <w:p>
            <w:pPr>
              <w:pStyle w:val="TableText"/>
            </w:pPr>
            <w:r>
              <w:rPr>
                <w:b w:val="0"/>
              </w:rPr>
              <w:t>Three preparation mechanisms verified from abstract. The report-format citation and 1981 date are correct.</w:t>
            </w:r>
          </w:p>
        </w:tc>
      </w:tr>
      <w:tr>
        <w:trPr>
          <w:cantSplit/>
        </w:trPr>
        <w:tc>
          <w:tcPr>
            <w:tcW w:type="dxa" w:w="1656"/>
            <w:vAlign w:val="center"/>
            <w:shd w:fill="FFFFFF"/>
            <w:tcMar>
              <w:top w:w="85" w:type="dxa"/>
              <w:bottom w:w="85" w:type="dxa"/>
              <w:left w:w="85" w:type="dxa"/>
              <w:right w:w="85" w:type="dxa"/>
            </w:tcMar>
          </w:tcPr>
          <w:p>
            <w:pPr>
              <w:pStyle w:val="TableText"/>
            </w:pPr>
            <w:hyperlink r:id="rId39">
              <w:r>
                <w:rPr>
                  <w:color w:val="17466C"/>
                </w:rPr>
                <w:t>Messick (1995)</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741–745</w:t>
            </w:r>
          </w:p>
        </w:tc>
        <w:tc>
          <w:tcPr>
            <w:tcW w:type="dxa" w:w="4248"/>
            <w:vAlign w:val="center"/>
            <w:shd w:fill="FFFFFF"/>
            <w:tcMar>
              <w:top w:w="85" w:type="dxa"/>
              <w:bottom w:w="85" w:type="dxa"/>
              <w:left w:w="85" w:type="dxa"/>
              <w:right w:w="85" w:type="dxa"/>
            </w:tcMar>
          </w:tcPr>
          <w:p>
            <w:pPr>
              <w:pStyle w:val="TableText"/>
            </w:pPr>
            <w:r>
              <w:rPr>
                <w:b w:val="0"/>
              </w:rPr>
              <w:t>Score interpretation, underrepresentation, irrelevant difficulty, and irrelevant easiness verified. CS examples are applications.</w:t>
            </w:r>
          </w:p>
        </w:tc>
      </w:tr>
      <w:tr>
        <w:trPr>
          <w:cantSplit/>
        </w:trPr>
        <w:tc>
          <w:tcPr>
            <w:tcW w:type="dxa" w:w="1656"/>
            <w:vAlign w:val="center"/>
            <w:shd w:fill="FFFFFF"/>
            <w:tcMar>
              <w:top w:w="85" w:type="dxa"/>
              <w:bottom w:w="85" w:type="dxa"/>
              <w:left w:w="85" w:type="dxa"/>
              <w:right w:w="85" w:type="dxa"/>
            </w:tcMar>
          </w:tcPr>
          <w:p>
            <w:pPr>
              <w:pStyle w:val="TableText"/>
            </w:pPr>
            <w:hyperlink r:id="rId40">
              <w:r>
                <w:rPr>
                  <w:color w:val="17466C"/>
                </w:rPr>
                <w:t>Öqvist and Nouri (2018)</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Methods Results and Discussion</w:t>
            </w:r>
          </w:p>
        </w:tc>
        <w:tc>
          <w:tcPr>
            <w:tcW w:type="dxa" w:w="4248"/>
            <w:vAlign w:val="center"/>
            <w:shd w:fill="FFFFFF"/>
            <w:tcMar>
              <w:top w:w="85" w:type="dxa"/>
              <w:bottom w:w="85" w:type="dxa"/>
              <w:left w:w="85" w:type="dxa"/>
              <w:right w:w="85" w:type="dxa"/>
            </w:tcMar>
          </w:tcPr>
          <w:p>
            <w:pPr>
              <w:pStyle w:val="TableText"/>
            </w:pPr>
            <w:r>
              <w:rPr>
                <w:b w:val="0"/>
              </w:rPr>
              <w:t>N = 20 and nonsignificant overall result verified. One task differed; equivalence is not established. Issue 5(2) supplied.</w:t>
            </w:r>
          </w:p>
        </w:tc>
      </w:tr>
      <w:tr>
        <w:trPr>
          <w:cantSplit/>
        </w:trPr>
        <w:tc>
          <w:tcPr>
            <w:tcW w:type="dxa" w:w="1656"/>
            <w:vAlign w:val="center"/>
            <w:shd w:fill="FFFFFF"/>
            <w:tcMar>
              <w:top w:w="85" w:type="dxa"/>
              <w:bottom w:w="85" w:type="dxa"/>
              <w:left w:w="85" w:type="dxa"/>
              <w:right w:w="85" w:type="dxa"/>
            </w:tcMar>
          </w:tcPr>
          <w:p>
            <w:pPr>
              <w:pStyle w:val="TableText"/>
            </w:pPr>
            <w:hyperlink r:id="rId41">
              <w:r>
                <w:rPr>
                  <w:color w:val="17466C"/>
                </w:rPr>
                <w:t>Pan and Rickard (2018)</w:t>
              </w:r>
            </w:hyperlink>
          </w:p>
        </w:tc>
        <w:tc>
          <w:tcPr>
            <w:tcW w:type="dxa" w:w="1656"/>
            <w:vAlign w:val="center"/>
            <w:shd w:fill="FFFFFF"/>
            <w:tcMar>
              <w:top w:w="85" w:type="dxa"/>
              <w:bottom w:w="85" w:type="dxa"/>
              <w:left w:w="85" w:type="dxa"/>
              <w:right w:w="85" w:type="dxa"/>
            </w:tcMar>
          </w:tcPr>
          <w:p>
            <w:pPr>
              <w:pStyle w:val="TableText"/>
            </w:pPr>
            <w:r>
              <w:rPr>
                <w:b w:val="0"/>
              </w:rPr>
              <w:t>Full article manuscript</w:t>
            </w:r>
          </w:p>
        </w:tc>
        <w:tc>
          <w:tcPr>
            <w:tcW w:type="dxa" w:w="1800"/>
            <w:vAlign w:val="center"/>
            <w:shd w:fill="FFFFFF"/>
            <w:tcMar>
              <w:top w:w="85" w:type="dxa"/>
              <w:bottom w:w="85" w:type="dxa"/>
              <w:left w:w="85" w:type="dxa"/>
              <w:right w:w="85" w:type="dxa"/>
            </w:tcMar>
          </w:tcPr>
          <w:p>
            <w:pPr>
              <w:pStyle w:val="TableText"/>
            </w:pPr>
            <w:r>
              <w:rPr>
                <w:b w:val="0"/>
              </w:rPr>
              <w:t>Overall Meta-Analyses; Table 4</w:t>
            </w:r>
          </w:p>
        </w:tc>
        <w:tc>
          <w:tcPr>
            <w:tcW w:type="dxa" w:w="4248"/>
            <w:vAlign w:val="center"/>
            <w:shd w:fill="FFFFFF"/>
            <w:tcMar>
              <w:top w:w="85" w:type="dxa"/>
              <w:bottom w:w="85" w:type="dxa"/>
              <w:left w:w="85" w:type="dxa"/>
              <w:right w:w="85" w:type="dxa"/>
            </w:tcMar>
          </w:tcPr>
          <w:p>
            <w:pPr>
              <w:pStyle w:val="TableText"/>
            </w:pPr>
            <w:r>
              <w:rPr>
                <w:b w:val="0"/>
              </w:rPr>
              <w:t>122 experiments, N = 10,382, d = 0.40, CI [0.31, 0.50] verified. Conditional transfer caveats retained.</w:t>
            </w:r>
          </w:p>
        </w:tc>
      </w:tr>
      <w:tr>
        <w:trPr>
          <w:cantSplit/>
        </w:trPr>
        <w:tc>
          <w:tcPr>
            <w:tcW w:type="dxa" w:w="1656"/>
            <w:vAlign w:val="center"/>
            <w:shd w:fill="FFFFFF"/>
            <w:tcMar>
              <w:top w:w="85" w:type="dxa"/>
              <w:bottom w:w="85" w:type="dxa"/>
              <w:left w:w="85" w:type="dxa"/>
              <w:right w:w="85" w:type="dxa"/>
            </w:tcMar>
          </w:tcPr>
          <w:p>
            <w:pPr>
              <w:pStyle w:val="TableText"/>
            </w:pPr>
            <w:hyperlink r:id="rId42">
              <w:r>
                <w:rPr>
                  <w:color w:val="17466C"/>
                </w:rPr>
                <w:t>Smith et al. (2023)</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pp. 758–760; Tables 1–2</w:t>
            </w:r>
          </w:p>
        </w:tc>
        <w:tc>
          <w:tcPr>
            <w:tcW w:type="dxa" w:w="4248"/>
            <w:vAlign w:val="center"/>
            <w:shd w:fill="FFFFFF"/>
            <w:tcMar>
              <w:top w:w="85" w:type="dxa"/>
              <w:bottom w:w="85" w:type="dxa"/>
              <w:left w:w="85" w:type="dxa"/>
              <w:right w:w="85" w:type="dxa"/>
            </w:tcMar>
          </w:tcPr>
          <w:p>
            <w:pPr>
              <w:pStyle w:val="TableText"/>
            </w:pPr>
            <w:r>
              <w:rPr>
                <w:b w:val="0"/>
              </w:rPr>
              <w:t>Specified comparison results verified. Both cohorts had practice exams; nonsignificant programming contrasts are identified.</w:t>
            </w:r>
          </w:p>
        </w:tc>
      </w:tr>
      <w:tr>
        <w:trPr>
          <w:cantSplit/>
        </w:trPr>
        <w:tc>
          <w:tcPr>
            <w:tcW w:type="dxa" w:w="1656"/>
            <w:vAlign w:val="center"/>
            <w:shd w:fill="FFFFFF"/>
            <w:tcMar>
              <w:top w:w="85" w:type="dxa"/>
              <w:bottom w:w="85" w:type="dxa"/>
              <w:left w:w="85" w:type="dxa"/>
              <w:right w:w="85" w:type="dxa"/>
            </w:tcMar>
          </w:tcPr>
          <w:p>
            <w:pPr>
              <w:pStyle w:val="TableText"/>
            </w:pPr>
            <w:hyperlink r:id="rId24">
              <w:r>
                <w:rPr>
                  <w:color w:val="17466C"/>
                </w:rPr>
                <w:t>Thompson et al. (2008)</w:t>
              </w:r>
            </w:hyperlink>
          </w:p>
        </w:tc>
        <w:tc>
          <w:tcPr>
            <w:tcW w:type="dxa" w:w="1656"/>
            <w:vAlign w:val="center"/>
            <w:shd w:fill="FFFFFF"/>
            <w:tcMar>
              <w:top w:w="85" w:type="dxa"/>
              <w:bottom w:w="85" w:type="dxa"/>
              <w:left w:w="85" w:type="dxa"/>
              <w:right w:w="85" w:type="dxa"/>
            </w:tcMar>
          </w:tcPr>
          <w:p>
            <w:pPr>
              <w:pStyle w:val="TableText"/>
            </w:pPr>
            <w:r>
              <w:rPr>
                <w:b w:val="0"/>
              </w:rPr>
              <w:t>Full author text and institutional record</w:t>
            </w:r>
          </w:p>
        </w:tc>
        <w:tc>
          <w:tcPr>
            <w:tcW w:type="dxa" w:w="1800"/>
            <w:vAlign w:val="center"/>
            <w:shd w:fill="FFFFFF"/>
            <w:tcMar>
              <w:top w:w="85" w:type="dxa"/>
              <w:bottom w:w="85" w:type="dxa"/>
              <w:left w:w="85" w:type="dxa"/>
              <w:right w:w="85" w:type="dxa"/>
            </w:tcMar>
          </w:tcPr>
          <w:p>
            <w:pPr>
              <w:pStyle w:val="TableText"/>
            </w:pPr>
            <w:r>
              <w:rPr>
                <w:b w:val="0"/>
              </w:rPr>
              <w:t>pp. 155–161</w:t>
            </w:r>
          </w:p>
        </w:tc>
        <w:tc>
          <w:tcPr>
            <w:tcW w:type="dxa" w:w="4248"/>
            <w:vAlign w:val="center"/>
            <w:shd w:fill="FFFFFF"/>
            <w:tcMar>
              <w:top w:w="85" w:type="dxa"/>
              <w:bottom w:w="85" w:type="dxa"/>
              <w:left w:w="85" w:type="dxa"/>
              <w:right w:w="85" w:type="dxa"/>
            </w:tcMar>
          </w:tcPr>
          <w:p>
            <w:pPr>
              <w:pStyle w:val="TableText"/>
            </w:pPr>
            <w:r>
              <w:rPr>
                <w:b w:val="0"/>
              </w:rPr>
              <w:t>Classification argument and metadata verified. Direct ACM catalogue URL retained; no Crossref record was returned for its identifier.</w:t>
            </w:r>
          </w:p>
        </w:tc>
      </w:tr>
      <w:tr>
        <w:trPr>
          <w:cantSplit/>
        </w:trPr>
        <w:tc>
          <w:tcPr>
            <w:tcW w:type="dxa" w:w="1656"/>
            <w:vAlign w:val="center"/>
            <w:shd w:fill="FFFFFF"/>
            <w:tcMar>
              <w:top w:w="85" w:type="dxa"/>
              <w:bottom w:w="85" w:type="dxa"/>
              <w:left w:w="85" w:type="dxa"/>
              <w:right w:w="85" w:type="dxa"/>
            </w:tcMar>
          </w:tcPr>
          <w:p>
            <w:pPr>
              <w:pStyle w:val="TableText"/>
            </w:pPr>
            <w:hyperlink r:id="rId25">
              <w:r>
                <w:rPr>
                  <w:color w:val="17466C"/>
                </w:rPr>
                <w:t>UW Tacoma (n.d.)</w:t>
              </w:r>
            </w:hyperlink>
          </w:p>
        </w:tc>
        <w:tc>
          <w:tcPr>
            <w:tcW w:type="dxa" w:w="1656"/>
            <w:vAlign w:val="center"/>
            <w:shd w:fill="FFFFFF"/>
            <w:tcMar>
              <w:top w:w="85" w:type="dxa"/>
              <w:bottom w:w="85" w:type="dxa"/>
              <w:left w:w="85" w:type="dxa"/>
              <w:right w:w="85" w:type="dxa"/>
            </w:tcMar>
          </w:tcPr>
          <w:p>
            <w:pPr>
              <w:pStyle w:val="TableText"/>
            </w:pPr>
            <w:r>
              <w:rPr>
                <w:b w:val="0"/>
              </w:rPr>
              <w:t>Official advising webpage</w:t>
            </w:r>
          </w:p>
        </w:tc>
        <w:tc>
          <w:tcPr>
            <w:tcW w:type="dxa" w:w="1800"/>
            <w:vAlign w:val="center"/>
            <w:shd w:fill="FFFFFF"/>
            <w:tcMar>
              <w:top w:w="85" w:type="dxa"/>
              <w:bottom w:w="85" w:type="dxa"/>
              <w:left w:w="85" w:type="dxa"/>
              <w:right w:w="85" w:type="dxa"/>
            </w:tcMar>
          </w:tcPr>
          <w:p>
            <w:pPr>
              <w:pStyle w:val="TableText"/>
            </w:pPr>
            <w:r>
              <w:rPr>
                <w:b w:val="0"/>
              </w:rPr>
              <w:t>How important is it to take full practice exams</w:t>
            </w:r>
          </w:p>
        </w:tc>
        <w:tc>
          <w:tcPr>
            <w:tcW w:type="dxa" w:w="4248"/>
            <w:vAlign w:val="center"/>
            <w:shd w:fill="FFFFFF"/>
            <w:tcMar>
              <w:top w:w="85" w:type="dxa"/>
              <w:bottom w:w="85" w:type="dxa"/>
              <w:left w:w="85" w:type="dxa"/>
              <w:right w:w="85" w:type="dxa"/>
            </w:tcMar>
          </w:tcPr>
          <w:p>
            <w:pPr>
              <w:pStyle w:val="TableText"/>
            </w:pPr>
            <w:r>
              <w:rPr>
                <w:b w:val="0"/>
              </w:rPr>
              <w:t>15–20 recommendation verified as advising guidance. Its components section still describes the older LSAT structure.</w:t>
            </w:r>
          </w:p>
        </w:tc>
      </w:tr>
      <w:tr>
        <w:trPr>
          <w:cantSplit/>
        </w:trPr>
        <w:tc>
          <w:tcPr>
            <w:tcW w:type="dxa" w:w="1656"/>
            <w:vAlign w:val="center"/>
            <w:shd w:fill="FFFFFF"/>
            <w:tcMar>
              <w:top w:w="85" w:type="dxa"/>
              <w:bottom w:w="85" w:type="dxa"/>
              <w:left w:w="85" w:type="dxa"/>
              <w:right w:w="85" w:type="dxa"/>
            </w:tcMar>
          </w:tcPr>
          <w:p>
            <w:pPr>
              <w:pStyle w:val="TableText"/>
            </w:pPr>
            <w:hyperlink r:id="rId43">
              <w:r>
                <w:rPr>
                  <w:color w:val="17466C"/>
                </w:rPr>
                <w:t>van Gog et al. (2015)</w:t>
              </w:r>
            </w:hyperlink>
          </w:p>
        </w:tc>
        <w:tc>
          <w:tcPr>
            <w:tcW w:type="dxa" w:w="1656"/>
            <w:vAlign w:val="center"/>
            <w:shd w:fill="FFFFFF"/>
            <w:tcMar>
              <w:top w:w="85" w:type="dxa"/>
              <w:bottom w:w="85" w:type="dxa"/>
              <w:left w:w="85" w:type="dxa"/>
              <w:right w:w="85" w:type="dxa"/>
            </w:tcMar>
          </w:tcPr>
          <w:p>
            <w:pPr>
              <w:pStyle w:val="TableText"/>
            </w:pPr>
            <w:r>
              <w:rPr>
                <w:b w:val="0"/>
              </w:rPr>
              <w:t>Full article</w:t>
            </w:r>
          </w:p>
        </w:tc>
        <w:tc>
          <w:tcPr>
            <w:tcW w:type="dxa" w:w="1800"/>
            <w:vAlign w:val="center"/>
            <w:shd w:fill="FFFFFF"/>
            <w:tcMar>
              <w:top w:w="85" w:type="dxa"/>
              <w:bottom w:w="85" w:type="dxa"/>
              <w:left w:w="85" w:type="dxa"/>
              <w:right w:w="85" w:type="dxa"/>
            </w:tcMar>
          </w:tcPr>
          <w:p>
            <w:pPr>
              <w:pStyle w:val="TableText"/>
            </w:pPr>
            <w:r>
              <w:rPr>
                <w:b w:val="0"/>
              </w:rPr>
              <w:t>Abstract; pp. 283–285</w:t>
            </w:r>
          </w:p>
        </w:tc>
        <w:tc>
          <w:tcPr>
            <w:tcW w:type="dxa" w:w="4248"/>
            <w:vAlign w:val="center"/>
            <w:shd w:fill="FFFFFF"/>
            <w:tcMar>
              <w:top w:w="85" w:type="dxa"/>
              <w:bottom w:w="85" w:type="dxa"/>
              <w:left w:w="85" w:type="dxa"/>
              <w:right w:w="85" w:type="dxa"/>
            </w:tcMar>
          </w:tcPr>
          <w:p>
            <w:pPr>
              <w:pStyle w:val="TableText"/>
            </w:pPr>
            <w:r>
              <w:rPr>
                <w:b w:val="0"/>
              </w:rPr>
              <w:t>Four experiments and lack of delayed advantage verified. No-feedback and short-instruction context limits extrapolation. Issue 27(2) supplied.</w:t>
            </w:r>
          </w:p>
        </w:tc>
      </w:tr>
      <w:tr>
        <w:trPr>
          <w:cantSplit/>
        </w:trPr>
        <w:tc>
          <w:tcPr>
            <w:tcW w:type="dxa" w:w="1656"/>
            <w:vAlign w:val="center"/>
            <w:shd w:fill="FFFFFF"/>
            <w:tcMar>
              <w:top w:w="85" w:type="dxa"/>
              <w:bottom w:w="85" w:type="dxa"/>
              <w:left w:w="85" w:type="dxa"/>
              <w:right w:w="85" w:type="dxa"/>
            </w:tcMar>
          </w:tcPr>
          <w:p>
            <w:pPr>
              <w:pStyle w:val="TableText"/>
            </w:pPr>
            <w:hyperlink r:id="rId44">
              <w:r>
                <w:rPr>
                  <w:color w:val="17466C"/>
                </w:rPr>
                <w:t>Wu and Smith (2024)</w:t>
              </w:r>
            </w:hyperlink>
          </w:p>
        </w:tc>
        <w:tc>
          <w:tcPr>
            <w:tcW w:type="dxa" w:w="1656"/>
            <w:vAlign w:val="center"/>
            <w:shd w:fill="FFFFFF"/>
            <w:tcMar>
              <w:top w:w="85" w:type="dxa"/>
              <w:bottom w:w="85" w:type="dxa"/>
              <w:left w:w="85" w:type="dxa"/>
              <w:right w:w="85" w:type="dxa"/>
            </w:tcMar>
          </w:tcPr>
          <w:p>
            <w:pPr>
              <w:pStyle w:val="TableText"/>
            </w:pPr>
            <w:r>
              <w:rPr>
                <w:b w:val="0"/>
              </w:rPr>
              <w:t>Full article manuscript</w:t>
            </w:r>
          </w:p>
        </w:tc>
        <w:tc>
          <w:tcPr>
            <w:tcW w:type="dxa" w:w="1800"/>
            <w:vAlign w:val="center"/>
            <w:shd w:fill="FFFFFF"/>
            <w:tcMar>
              <w:top w:w="85" w:type="dxa"/>
              <w:bottom w:w="85" w:type="dxa"/>
              <w:left w:w="85" w:type="dxa"/>
              <w:right w:w="85" w:type="dxa"/>
            </w:tcMar>
          </w:tcPr>
          <w:p>
            <w:pPr>
              <w:pStyle w:val="TableText"/>
            </w:pPr>
            <w:r>
              <w:rPr>
                <w:b w:val="0"/>
              </w:rPr>
              <w:t>Sections 4.1 6.3 and 7</w:t>
            </w:r>
          </w:p>
        </w:tc>
        <w:tc>
          <w:tcPr>
            <w:tcW w:type="dxa" w:w="4248"/>
            <w:vAlign w:val="center"/>
            <w:shd w:fill="FFFFFF"/>
            <w:tcMar>
              <w:top w:w="85" w:type="dxa"/>
              <w:bottom w:w="85" w:type="dxa"/>
              <w:left w:w="85" w:type="dxa"/>
              <w:right w:w="85" w:type="dxa"/>
            </w:tcMar>
          </w:tcPr>
          <w:p>
            <w:pPr>
              <w:pStyle w:val="TableText"/>
            </w:pPr>
            <w:r>
              <w:rPr>
                <w:b w:val="0"/>
              </w:rPr>
              <w:t>Related-category comparison verified; no matched-question equivalence claim. Exact proceedings title corrected.</w:t>
            </w:r>
          </w:p>
        </w:tc>
      </w:tr>
      <w:tr>
        <w:trPr>
          <w:cantSplit/>
        </w:trPr>
        <w:tc>
          <w:tcPr>
            <w:tcW w:type="dxa" w:w="1656"/>
            <w:vAlign w:val="center"/>
            <w:shd w:fill="FFFFFF"/>
            <w:tcMar>
              <w:top w:w="85" w:type="dxa"/>
              <w:bottom w:w="85" w:type="dxa"/>
              <w:left w:w="85" w:type="dxa"/>
              <w:right w:w="85" w:type="dxa"/>
            </w:tcMar>
          </w:tcPr>
          <w:p>
            <w:pPr>
              <w:pStyle w:val="TableText"/>
            </w:pPr>
            <w:hyperlink r:id="rId45">
              <w:r>
                <w:rPr>
                  <w:color w:val="17466C"/>
                </w:rPr>
                <w:t>Yang et al. (2023)</w:t>
              </w:r>
            </w:hyperlink>
          </w:p>
        </w:tc>
        <w:tc>
          <w:tcPr>
            <w:tcW w:type="dxa" w:w="1656"/>
            <w:vAlign w:val="center"/>
            <w:shd w:fill="FFFFFF"/>
            <w:tcMar>
              <w:top w:w="85" w:type="dxa"/>
              <w:bottom w:w="85" w:type="dxa"/>
              <w:left w:w="85" w:type="dxa"/>
              <w:right w:w="85" w:type="dxa"/>
            </w:tcMar>
          </w:tcPr>
          <w:p>
            <w:pPr>
              <w:pStyle w:val="TableText"/>
            </w:pPr>
            <w:r>
              <w:rPr>
                <w:b w:val="0"/>
              </w:rPr>
              <w:t>Full accepted manuscript</w:t>
            </w:r>
          </w:p>
        </w:tc>
        <w:tc>
          <w:tcPr>
            <w:tcW w:type="dxa" w:w="1800"/>
            <w:vAlign w:val="center"/>
            <w:shd w:fill="FFFFFF"/>
            <w:tcMar>
              <w:top w:w="85" w:type="dxa"/>
              <w:bottom w:w="85" w:type="dxa"/>
              <w:left w:w="85" w:type="dxa"/>
              <w:right w:w="85" w:type="dxa"/>
            </w:tcMar>
          </w:tcPr>
          <w:p>
            <w:pPr>
              <w:pStyle w:val="TableText"/>
            </w:pPr>
            <w:r>
              <w:rPr>
                <w:b w:val="0"/>
              </w:rPr>
              <w:t>Results and footnotes</w:t>
            </w:r>
          </w:p>
        </w:tc>
        <w:tc>
          <w:tcPr>
            <w:tcW w:type="dxa" w:w="4248"/>
            <w:vAlign w:val="center"/>
            <w:shd w:fill="FFFFFF"/>
            <w:tcMar>
              <w:top w:w="85" w:type="dxa"/>
              <w:bottom w:w="85" w:type="dxa"/>
              <w:left w:w="85" w:type="dxa"/>
              <w:right w:w="85" w:type="dxa"/>
            </w:tcMar>
          </w:tcPr>
          <w:p>
            <w:pPr>
              <w:pStyle w:val="TableText"/>
            </w:pPr>
            <w:r>
              <w:rPr>
                <w:b w:val="0"/>
              </w:rPr>
              <w:t>24 studies, N = 3,374, g = −0.52 verified. Pooled outcome wording refined; issue 35(3) supplied.</w:t>
            </w:r>
          </w:p>
        </w:tc>
      </w:tr>
      <w:tr>
        <w:trPr>
          <w:cantSplit/>
        </w:trPr>
        <w:tc>
          <w:tcPr>
            <w:tcW w:type="dxa" w:w="1656"/>
            <w:vAlign w:val="center"/>
            <w:shd w:fill="FFFFFF"/>
            <w:tcMar>
              <w:top w:w="85" w:type="dxa"/>
              <w:bottom w:w="85" w:type="dxa"/>
              <w:left w:w="85" w:type="dxa"/>
              <w:right w:w="85" w:type="dxa"/>
            </w:tcMar>
          </w:tcPr>
          <w:p>
            <w:pPr>
              <w:pStyle w:val="TableText"/>
            </w:pPr>
            <w:hyperlink r:id="rId46">
              <w:r>
                <w:rPr>
                  <w:color w:val="17466C"/>
                </w:rPr>
                <w:t>Yang et al. (2021)</w:t>
              </w:r>
            </w:hyperlink>
          </w:p>
        </w:tc>
        <w:tc>
          <w:tcPr>
            <w:tcW w:type="dxa" w:w="1656"/>
            <w:vAlign w:val="center"/>
            <w:shd w:fill="FFFFFF"/>
            <w:tcMar>
              <w:top w:w="85" w:type="dxa"/>
              <w:bottom w:w="85" w:type="dxa"/>
              <w:left w:w="85" w:type="dxa"/>
              <w:right w:w="85" w:type="dxa"/>
            </w:tcMar>
          </w:tcPr>
          <w:p>
            <w:pPr>
              <w:pStyle w:val="TableText"/>
            </w:pPr>
            <w:r>
              <w:rPr>
                <w:b w:val="0"/>
              </w:rPr>
              <w:t>Full typeset proof and published record</w:t>
            </w:r>
          </w:p>
        </w:tc>
        <w:tc>
          <w:tcPr>
            <w:tcW w:type="dxa" w:w="1800"/>
            <w:vAlign w:val="center"/>
            <w:shd w:fill="FFFFFF"/>
            <w:tcMar>
              <w:top w:w="85" w:type="dxa"/>
              <w:bottom w:w="85" w:type="dxa"/>
              <w:left w:w="85" w:type="dxa"/>
              <w:right w:w="85" w:type="dxa"/>
            </w:tcMar>
          </w:tcPr>
          <w:p>
            <w:pPr>
              <w:pStyle w:val="TableText"/>
            </w:pPr>
            <w:r>
              <w:rPr>
                <w:b w:val="0"/>
              </w:rPr>
              <w:t>Results; Questions 4–7</w:t>
            </w:r>
          </w:p>
        </w:tc>
        <w:tc>
          <w:tcPr>
            <w:tcW w:type="dxa" w:w="4248"/>
            <w:vAlign w:val="center"/>
            <w:shd w:fill="FFFFFF"/>
            <w:tcMar>
              <w:top w:w="85" w:type="dxa"/>
              <w:bottom w:w="85" w:type="dxa"/>
              <w:left w:w="85" w:type="dxa"/>
              <w:right w:w="85" w:type="dxa"/>
            </w:tcMar>
          </w:tcPr>
          <w:p>
            <w:pPr>
              <w:pStyle w:val="TableText"/>
            </w:pPr>
            <w:r>
              <w:rPr>
                <w:b w:val="0"/>
              </w:rPr>
              <w:t>222 studies, N = 48,478, g = 0.499 verified. Heterogeneous classroom interventions; no isolated mock-exam effect.</w:t>
            </w:r>
          </w:p>
        </w:tc>
      </w:tr>
    </w:tbl>
    <w:p>
      <w:pPr>
        <w:pStyle w:val="Heading1"/>
      </w:pPr>
      <w:r>
        <w:t>Interpretive limits</w:t>
      </w:r>
    </w:p>
    <w:p>
      <w:r>
        <w:t>The final paper presents a reasoned policy recommendation. The reviewed studies do not establish a universal duty to distribute a complete practice paper or full mock, or an inherent learning benefit from withholding representative preparation. The recommendation therefore retains flexibility about form, relevant prerequisites, and substantive novelty. Judging a particular course requires assessment-specific evidence. Source verification supports faithful representation of the cited literature and cannot remove the limitations of the underlying studies.</w:t>
      </w:r>
    </w:p>
    <w:sectPr w:rsidR="00FC693F" w:rsidRPr="0006063C" w:rsidSect="00034616">
      <w:footerReference w:type="default" r:id="rId30"/>
      <w:pgSz w:w="12240" w:h="15840"/>
      <w:pgMar w:top="1224"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76"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7"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line="264" w:lineRule="auto"/>
    </w:pPr>
    <w:rPr>
      <w:rFonts w:ascii="Times New Roman" w:hAnsi="Times New Roman" w:eastAsia="Times New Roman" w:cs="Times New Roman"/>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59" w:lineRule="auto" w:after="60" w:before="60"/>
    </w:pPr>
    <w:rPr>
      <w:rFonts w:ascii="Times New Roman" w:hAnsi="Times New Roman" w:eastAsia="Times New Roman" w:cs="Times New Roman"/>
      <w:color w:val="000000"/>
      <w:sz w:val="21"/>
    </w:rPr>
  </w:style>
  <w:style w:type="paragraph" w:customStyle="1" w:styleId="Reference">
    <w:name w:val="Reference"/>
    <w:pPr>
      <w:keepLines/>
      <w:spacing w:line="269" w:lineRule="auto" w:after="180"/>
      <w:ind w:left="360" w:hanging="360"/>
    </w:pPr>
    <w:rPr>
      <w:rFonts w:ascii="Times New Roman" w:hAnsi="Times New Roman" w:eastAsia="Times New Roman" w:cs="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7/edu0000282" TargetMode="External"/><Relationship Id="rId10" Type="http://schemas.openxmlformats.org/officeDocument/2006/relationships/hyperlink" Target="https://www.testingstandards.net/uploads/7/6/6/4/76643089/standards_2014edition.pdf" TargetMode="External"/><Relationship Id="rId11" Type="http://schemas.openxmlformats.org/officeDocument/2006/relationships/hyperlink" Target="https://doi.org/10.1016/j.intell.2016.01.004" TargetMode="External"/><Relationship Id="rId12" Type="http://schemas.openxmlformats.org/officeDocument/2006/relationships/hyperlink" Target="https://doi.org/10.1007/BF00138871" TargetMode="External"/><Relationship Id="rId13" Type="http://schemas.openxmlformats.org/officeDocument/2006/relationships/hyperlink" Target="https://doi.org/10.1037/xap0000142" TargetMode="External"/><Relationship Id="rId14" Type="http://schemas.openxmlformats.org/officeDocument/2006/relationships/hyperlink" Target="https://www.lsac.org/sites/default/files/research/LSAT-Test-Taker-Khan-Preparation_RR-21-01_full-report.pdf" TargetMode="External"/><Relationship Id="rId15" Type="http://schemas.openxmlformats.org/officeDocument/2006/relationships/hyperlink" Target="https://doi.org/10.1145/3328778.3372676" TargetMode="External"/><Relationship Id="rId16" Type="http://schemas.openxmlformats.org/officeDocument/2006/relationships/hyperlink" Target="https://doi.org/10.1207/s15430421tip4104_2" TargetMode="External"/><Relationship Id="rId17" Type="http://schemas.openxmlformats.org/officeDocument/2006/relationships/hyperlink" Target="https://www.lsac.org/blog/august-2024-more-things-change-more-they-stay-same" TargetMode="External"/><Relationship Id="rId18" Type="http://schemas.openxmlformats.org/officeDocument/2006/relationships/hyperlink" Target="https://www.lsac.org/lsat/prepare/official-lsat-practice-tests" TargetMode="External"/><Relationship Id="rId19" Type="http://schemas.openxmlformats.org/officeDocument/2006/relationships/hyperlink" Target="https://doi.org/10.1002/j.2333-8504.1981.tb01254.x" TargetMode="External"/><Relationship Id="rId20" Type="http://schemas.openxmlformats.org/officeDocument/2006/relationships/hyperlink" Target="https://doi.org/10.1037/0003-066X.50.9.741" TargetMode="External"/><Relationship Id="rId21" Type="http://schemas.openxmlformats.org/officeDocument/2006/relationships/hyperlink" Target="https://doi.org/10.1007/s40692-018-0103-3" TargetMode="External"/><Relationship Id="rId22" Type="http://schemas.openxmlformats.org/officeDocument/2006/relationships/hyperlink" Target="https://doi.org/10.1037/bul0000151" TargetMode="External"/><Relationship Id="rId23" Type="http://schemas.openxmlformats.org/officeDocument/2006/relationships/hyperlink" Target="https://doi.org/10.1145/3545945.3569821" TargetMode="External"/><Relationship Id="rId24" Type="http://schemas.openxmlformats.org/officeDocument/2006/relationships/hyperlink" Target="https://dl.acm.org/doi/10.5555/1379249.1379265" TargetMode="External"/><Relationship Id="rId25" Type="http://schemas.openxmlformats.org/officeDocument/2006/relationships/hyperlink" Target="https://www.tacoma.uw.edu/legal-pathways/preparing-lsat" TargetMode="External"/><Relationship Id="rId26" Type="http://schemas.openxmlformats.org/officeDocument/2006/relationships/hyperlink" Target="https://doi.org/10.1007/s10648-015-9297-3" TargetMode="External"/><Relationship Id="rId27" Type="http://schemas.openxmlformats.org/officeDocument/2006/relationships/hyperlink" Target="https://doi.org/10.1145/3649217.3653583" TargetMode="External"/><Relationship Id="rId28" Type="http://schemas.openxmlformats.org/officeDocument/2006/relationships/hyperlink" Target="https://doi.org/10.1007/s10648-023-09801-w" TargetMode="External"/><Relationship Id="rId29" Type="http://schemas.openxmlformats.org/officeDocument/2006/relationships/hyperlink" Target="https://doi.org/10.1037/bul0000309" TargetMode="External"/><Relationship Id="rId30" Type="http://schemas.openxmlformats.org/officeDocument/2006/relationships/footer" Target="footer1.xml"/><Relationship Id="rId31" Type="http://schemas.openxmlformats.org/officeDocument/2006/relationships/hyperlink" Target="https://pdf.poojaagarwal.com/Agarwal_2018_JEdPsych.pdf" TargetMode="External"/><Relationship Id="rId32" Type="http://schemas.openxmlformats.org/officeDocument/2006/relationships/hyperlink" Target="https://www.testingstandards.net/uploads/7/6/6/4/76643089/9780935302356.pdf" TargetMode="External"/><Relationship Id="rId33" Type="http://schemas.openxmlformats.org/officeDocument/2006/relationships/hyperlink" Target="https://www.sciencedirect.com/science/article/abs/pii/S0160289616300186" TargetMode="External"/><Relationship Id="rId34" Type="http://schemas.openxmlformats.org/officeDocument/2006/relationships/hyperlink" Target="https://www.cs.auckland.ac.nz/courses/compsci747s2c/lectures/teaching-through-constructive-alignment.pdf" TargetMode="External"/><Relationship Id="rId35" Type="http://schemas.openxmlformats.org/officeDocument/2006/relationships/hyperlink" Target="https://sites.wustl.edu/mdl1/files/2026/06/Butler-et-al.-2017-Retrieving-and-applying-knowledge-to-different-examples-promotes-transfer-of-learning.pdf" TargetMode="External"/><Relationship Id="rId36" Type="http://schemas.openxmlformats.org/officeDocument/2006/relationships/hyperlink" Target="https://www.researchgate.net/publication/339510566_Practice_Exams_and_Student_Performance_in_Introductory_Programming" TargetMode="External"/><Relationship Id="rId37" Type="http://schemas.openxmlformats.org/officeDocument/2006/relationships/hyperlink" Target="https://centreforfacdev.ca/pdf/TLC%20Resources/A%20Revision%20of%20Bloom_s%20Taxonomy%20-%20An%20Overview.pdf" TargetMode="External"/><Relationship Id="rId38" Type="http://schemas.openxmlformats.org/officeDocument/2006/relationships/hyperlink" Target="https://www.ets.org/research/policy_research_reports/publications/report/1981/hvxh.html" TargetMode="External"/><Relationship Id="rId39" Type="http://schemas.openxmlformats.org/officeDocument/2006/relationships/hyperlink" Target="https://dosen.perbanas.id/wp-content/uploads/2016/12/Validity-Messick1995.pdf" TargetMode="External"/><Relationship Id="rId40" Type="http://schemas.openxmlformats.org/officeDocument/2006/relationships/hyperlink" Target="https://link.springer.com/article/10.1007/s40692-018-0103-3" TargetMode="External"/><Relationship Id="rId41" Type="http://schemas.openxmlformats.org/officeDocument/2006/relationships/hyperlink" Target="https://pdf.retrievalpractice.org/transfer/Pan_Rickard_2018.pdf" TargetMode="External"/><Relationship Id="rId42" Type="http://schemas.openxmlformats.org/officeDocument/2006/relationships/hyperlink" Target="https://zilles.cs.illinois.edu/papers/frequent_testing_sigcse23.pdf" TargetMode="External"/><Relationship Id="rId43" Type="http://schemas.openxmlformats.org/officeDocument/2006/relationships/hyperlink" Target="https://link.springer.com/article/10.1007/s10648-015-9297-3" TargetMode="External"/><Relationship Id="rId44" Type="http://schemas.openxmlformats.org/officeDocument/2006/relationships/hyperlink" Target="https://arxiv.org/html/2405.19460v1" TargetMode="External"/><Relationship Id="rId45" Type="http://schemas.openxmlformats.org/officeDocument/2006/relationships/hyperlink" Target="https://discovery.ucl.ac.uk/id/eprint/10177686/" TargetMode="External"/><Relationship Id="rId46" Type="http://schemas.openxmlformats.org/officeDocument/2006/relationships/hyperlink" Target="https://metacog.bnu.edu.cn/pdf/articles/2020/YangLuoVadilloYuShanks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Verification and Final Review</dc:title>
  <dc:subject>Verification of references and claims in the practice exams paper</dc:subject>
  <dc:creator/>
  <cp:keywords>assessment validity; computer science; practice exams; retrieval practice; Bloom taxonomy</cp:keywords>
  <dc:description/>
  <cp:lastModifiedBy/>
  <cp:revision>1</cp:revision>
  <dcterms:created xsi:type="dcterms:W3CDTF">2013-12-23T23:15:00Z</dcterms:created>
  <dcterms:modified xsi:type="dcterms:W3CDTF">2013-12-23T23:15:00Z</dcterms:modified>
  <cp:category/>
</cp:coreProperties>
</file>