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 verification and review record</w:t>
      </w:r>
    </w:p>
    <w:p>
      <w:pPr>
        <w:pStyle w:val="Subtitle"/>
      </w:pPr>
      <w:r>
        <w:t>Indigenous data sovereignty and the East Coast space sector</w:t>
      </w:r>
    </w:p>
    <w:p>
      <w:r>
        <w:t>29 October 2026</w:t>
      </w:r>
    </w:p>
    <w:p>
      <w:r>
        <w:t>This record applies to the revised question-led overview, edition 2.0. It replaces the audit of the broader first edition. The accompanying register contains 47 review units: 38 body paragraphs and nine nonheader table rows. These are not counts of independently verified empirical claims. Thirteen cited works were checked for identity, relevant evidence, and interpretive limits.</w:t>
      </w:r>
    </w:p>
    <w:p>
      <w:pPr>
        <w:pStyle w:val="Heading1"/>
      </w:pPr>
      <w:r>
        <w:t>What was checked</w:t>
      </w:r>
    </w:p>
    <w:p>
      <w:r>
        <w:t>The review examined the dated regional records, the meanings attributed to Indigenous governance sources, the description of the one implemented practice, and the proposed research process. A separate structural review tested whether each question follows from the preceding discussion. The final text distinguishes documentary facts, principles, interpretations, methodological proposals, and unresolved matters.</w:t>
      </w:r>
    </w:p>
    <w:p>
      <w:r>
        <w:t>The first review addressed regional and research-ethics evidence. A second addressed the core concepts and the mapping account. A third examined the cumulative argument. The authoring pass then incorporated the corrections and checked the revised passages. This is an internal research audit. It is not external peer review, an ethics determination, an assessment of a project's compliance, or community endorsement.</w:t>
      </w:r>
    </w:p>
    <w:p>
      <w:pPr>
        <w:pStyle w:val="Heading1"/>
      </w:pPr>
      <w:r>
        <w:t>How the scope changed</w:t>
      </w:r>
    </w:p>
    <w:p>
      <w:r>
        <w:t>The paper now asks how the East Coast space sector could support Indigenous data sovereignty and what would need to be established to assess that support. It retains a short timeline and follows six linked questions. Four parallel applications and the catalogue of governance and technical arrangements have been removed. The remaining practice reference is used to make questions concrete, with its contextual limits stated.</w:t>
      </w:r>
    </w:p>
    <w:p>
      <w:r>
        <w:t>The revised argument includes data generated by other institutions about Indigenous Peoples and territories. It identifies relevant Indigenous governance processes in the development of assessment criteria. The proposed evidence holders include both authorities and participants, without treating the list as a determination of representation.</w:t>
      </w:r>
    </w:p>
    <w:p>
      <w:pPr>
        <w:pStyle w:val="Heading1"/>
      </w:pPr>
      <w:r>
        <w:t>Corrections made during this review</w:t>
      </w:r>
    </w:p>
    <w:p>
      <w:pPr>
        <w:keepNext/>
        <w:spacing w:before="100"/>
      </w:pPr>
      <w:r>
        <w:rPr>
          <w:i/>
          <w:sz w:val="21"/>
        </w:rPr>
        <w:t>Table 1 Principal review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12"/>
      </w:tblGrid>
      <w:tr>
        <w:trPr>
          <w:cantSplit/>
          <w:tblHeader/>
        </w:trPr>
        <w:tc>
          <w:tcPr>
            <w:tcW w:type="dxa" w:w="2880"/>
            <w:vAlign w:val="center"/>
            <w:tcMar>
              <w:top w:w="80" w:type="dxa"/>
              <w:left w:w="80" w:type="dxa"/>
              <w:bottom w:w="80" w:type="dxa"/>
              <w:right w:w="80" w:type="dxa"/>
            </w:tcMar>
            <w:shd w:fill="E7E7E7"/>
          </w:tcPr>
          <w:p>
            <w:pPr>
              <w:spacing w:line="254" w:lineRule="auto" w:after="20"/>
            </w:pPr>
            <w:r>
              <w:rPr>
                <w:b/>
                <w:sz w:val="20"/>
              </w:rPr>
              <w:t>Issue</w:t>
            </w:r>
          </w:p>
        </w:tc>
        <w:tc>
          <w:tcPr>
            <w:tcW w:type="dxa" w:w="6912"/>
            <w:vAlign w:val="center"/>
            <w:tcMar>
              <w:top w:w="80" w:type="dxa"/>
              <w:left w:w="80" w:type="dxa"/>
              <w:bottom w:w="80" w:type="dxa"/>
              <w:right w:w="80" w:type="dxa"/>
            </w:tcMar>
            <w:shd w:fill="E7E7E7"/>
          </w:tcPr>
          <w:p>
            <w:pPr>
              <w:spacing w:line="254" w:lineRule="auto" w:after="20"/>
            </w:pPr>
            <w:r>
              <w:rPr>
                <w:b/>
                <w:sz w:val="20"/>
              </w:rPr>
              <w:t>Final treatment</w:t>
            </w:r>
          </w:p>
        </w:tc>
      </w:tr>
      <w:tr>
        <w:trPr>
          <w:cantSplit/>
        </w:trPr>
        <w:tc>
          <w:tcPr>
            <w:tcW w:type="dxa" w:w="2880"/>
            <w:vAlign w:val="center"/>
            <w:tcMar>
              <w:top w:w="80" w:type="dxa"/>
              <w:left w:w="80" w:type="dxa"/>
              <w:bottom w:w="80" w:type="dxa"/>
              <w:right w:w="80" w:type="dxa"/>
            </w:tcMar>
            <w:shd w:fill="FFFFFF"/>
          </w:tcPr>
          <w:p>
            <w:pPr>
              <w:spacing w:line="254" w:lineRule="auto" w:after="20"/>
            </w:pPr>
            <w:r>
              <w:rPr>
                <w:b w:val="0"/>
                <w:sz w:val="20"/>
              </w:rPr>
              <w:t>Whether the fifth section advanced the central inquiry</w:t>
            </w:r>
          </w:p>
        </w:tc>
        <w:tc>
          <w:tcPr>
            <w:tcW w:type="dxa" w:w="6912"/>
            <w:vAlign w:val="center"/>
            <w:tcMar>
              <w:top w:w="80" w:type="dxa"/>
              <w:left w:w="80" w:type="dxa"/>
              <w:bottom w:w="80" w:type="dxa"/>
              <w:right w:w="80" w:type="dxa"/>
            </w:tcMar>
            <w:shd w:fill="FFFFFF"/>
          </w:tcPr>
          <w:p>
            <w:pPr>
              <w:spacing w:line="254" w:lineRule="auto" w:after="20"/>
            </w:pPr>
            <w:r>
              <w:rPr>
                <w:b w:val="0"/>
                <w:sz w:val="20"/>
              </w:rPr>
              <w:t>Its question now concerns what support could look like in practice.</w:t>
            </w:r>
          </w:p>
        </w:tc>
      </w:tr>
      <w:tr>
        <w:trPr>
          <w:cantSplit/>
        </w:trPr>
        <w:tc>
          <w:tcPr>
            <w:tcW w:type="dxa" w:w="2880"/>
            <w:vAlign w:val="center"/>
            <w:tcMar>
              <w:top w:w="80" w:type="dxa"/>
              <w:left w:w="80" w:type="dxa"/>
              <w:bottom w:w="80" w:type="dxa"/>
              <w:right w:w="80" w:type="dxa"/>
            </w:tcMar>
            <w:shd w:fill="F7F7F7"/>
          </w:tcPr>
          <w:p>
            <w:pPr>
              <w:spacing w:line="254" w:lineRule="auto" w:after="20"/>
            </w:pPr>
            <w:r>
              <w:rPr>
                <w:b w:val="0"/>
                <w:sz w:val="20"/>
              </w:rPr>
              <w:t>Who develops assessment criteria</w:t>
            </w:r>
          </w:p>
        </w:tc>
        <w:tc>
          <w:tcPr>
            <w:tcW w:type="dxa" w:w="6912"/>
            <w:vAlign w:val="center"/>
            <w:tcMar>
              <w:top w:w="80" w:type="dxa"/>
              <w:left w:w="80" w:type="dxa"/>
              <w:bottom w:w="80" w:type="dxa"/>
              <w:right w:w="80" w:type="dxa"/>
            </w:tcMar>
            <w:shd w:fill="F7F7F7"/>
          </w:tcPr>
          <w:p>
            <w:pPr>
              <w:spacing w:line="254" w:lineRule="auto" w:after="20"/>
            </w:pPr>
            <w:r>
              <w:rPr>
                <w:b w:val="0"/>
                <w:sz w:val="20"/>
              </w:rPr>
              <w:t>Relevant Indigenous governance processes are explicit.</w:t>
            </w:r>
          </w:p>
        </w:tc>
      </w:tr>
      <w:tr>
        <w:trPr>
          <w:cantSplit/>
        </w:trPr>
        <w:tc>
          <w:tcPr>
            <w:tcW w:type="dxa" w:w="2880"/>
            <w:vAlign w:val="center"/>
            <w:tcMar>
              <w:top w:w="80" w:type="dxa"/>
              <w:left w:w="80" w:type="dxa"/>
              <w:bottom w:w="80" w:type="dxa"/>
              <w:right w:w="80" w:type="dxa"/>
            </w:tcMar>
            <w:shd w:fill="FFFFFF"/>
          </w:tcPr>
          <w:p>
            <w:pPr>
              <w:spacing w:line="254" w:lineRule="auto" w:after="20"/>
            </w:pPr>
            <w:r>
              <w:rPr>
                <w:b w:val="0"/>
                <w:sz w:val="20"/>
              </w:rPr>
              <w:t>Scope of data considered</w:t>
            </w:r>
          </w:p>
        </w:tc>
        <w:tc>
          <w:tcPr>
            <w:tcW w:type="dxa" w:w="6912"/>
            <w:vAlign w:val="center"/>
            <w:tcMar>
              <w:top w:w="80" w:type="dxa"/>
              <w:left w:w="80" w:type="dxa"/>
              <w:bottom w:w="80" w:type="dxa"/>
              <w:right w:w="80" w:type="dxa"/>
            </w:tcMar>
            <w:shd w:fill="FFFFFF"/>
          </w:tcPr>
          <w:p>
            <w:pPr>
              <w:spacing w:line="254" w:lineRule="auto" w:after="20"/>
            </w:pPr>
            <w:r>
              <w:rPr>
                <w:b w:val="0"/>
                <w:sz w:val="20"/>
              </w:rPr>
              <w:t>Externally generated data concerning Peoples and territories is included.</w:t>
            </w:r>
          </w:p>
        </w:tc>
      </w:tr>
      <w:tr>
        <w:trPr>
          <w:cantSplit/>
        </w:trPr>
        <w:tc>
          <w:tcPr>
            <w:tcW w:type="dxa" w:w="2880"/>
            <w:vAlign w:val="center"/>
            <w:tcMar>
              <w:top w:w="80" w:type="dxa"/>
              <w:left w:w="80" w:type="dxa"/>
              <w:bottom w:w="80" w:type="dxa"/>
              <w:right w:w="80" w:type="dxa"/>
            </w:tcMar>
            <w:shd w:fill="F7F7F7"/>
          </w:tcPr>
          <w:p>
            <w:pPr>
              <w:spacing w:line="254" w:lineRule="auto" w:after="20"/>
            </w:pPr>
            <w:r>
              <w:rPr>
                <w:b w:val="0"/>
                <w:sz w:val="20"/>
              </w:rPr>
              <w:t>Status of a stated map-access condition</w:t>
            </w:r>
          </w:p>
        </w:tc>
        <w:tc>
          <w:tcPr>
            <w:tcW w:type="dxa" w:w="6912"/>
            <w:vAlign w:val="center"/>
            <w:tcMar>
              <w:top w:w="80" w:type="dxa"/>
              <w:left w:w="80" w:type="dxa"/>
              <w:bottom w:w="80" w:type="dxa"/>
              <w:right w:w="80" w:type="dxa"/>
            </w:tcMar>
            <w:shd w:fill="F7F7F7"/>
          </w:tcPr>
          <w:p>
            <w:pPr>
              <w:spacing w:line="254" w:lineRule="auto" w:after="20"/>
            </w:pPr>
            <w:r>
              <w:rPr>
                <w:b w:val="0"/>
                <w:sz w:val="20"/>
              </w:rPr>
              <w:t>Attributed to the article's data statement; access controls were not tested.</w:t>
            </w:r>
          </w:p>
        </w:tc>
      </w:tr>
      <w:tr>
        <w:trPr>
          <w:cantSplit/>
        </w:trPr>
        <w:tc>
          <w:tcPr>
            <w:tcW w:type="dxa" w:w="2880"/>
            <w:vAlign w:val="center"/>
            <w:tcMar>
              <w:top w:w="80" w:type="dxa"/>
              <w:left w:w="80" w:type="dxa"/>
              <w:bottom w:w="80" w:type="dxa"/>
              <w:right w:w="80" w:type="dxa"/>
            </w:tcMar>
            <w:shd w:fill="FFFFFF"/>
          </w:tcPr>
          <w:p>
            <w:pPr>
              <w:spacing w:line="254" w:lineRule="auto" w:after="20"/>
            </w:pPr>
            <w:r>
              <w:rPr>
                <w:b w:val="0"/>
                <w:sz w:val="20"/>
              </w:rPr>
              <w:t>Status of the ISED process</w:t>
            </w:r>
          </w:p>
        </w:tc>
        <w:tc>
          <w:tcPr>
            <w:tcW w:type="dxa" w:w="6912"/>
            <w:vAlign w:val="center"/>
            <w:tcMar>
              <w:top w:w="80" w:type="dxa"/>
              <w:left w:w="80" w:type="dxa"/>
              <w:bottom w:w="80" w:type="dxa"/>
              <w:right w:w="80" w:type="dxa"/>
            </w:tcMar>
            <w:shd w:fill="FFFFFF"/>
          </w:tcPr>
          <w:p>
            <w:pPr>
              <w:spacing w:line="254" w:lineRule="auto" w:after="20"/>
            </w:pPr>
            <w:r>
              <w:rPr>
                <w:b w:val="0"/>
                <w:sz w:val="20"/>
              </w:rPr>
              <w:t>Described as a published consultation, with proposals distinguished from adopted measures.</w:t>
            </w:r>
          </w:p>
        </w:tc>
      </w:tr>
      <w:tr>
        <w:trPr>
          <w:cantSplit/>
        </w:trPr>
        <w:tc>
          <w:tcPr>
            <w:tcW w:type="dxa" w:w="2880"/>
            <w:vAlign w:val="center"/>
            <w:tcMar>
              <w:top w:w="80" w:type="dxa"/>
              <w:left w:w="80" w:type="dxa"/>
              <w:bottom w:w="80" w:type="dxa"/>
              <w:right w:w="80" w:type="dxa"/>
            </w:tcMar>
            <w:shd w:fill="F7F7F7"/>
          </w:tcPr>
          <w:p>
            <w:pPr>
              <w:spacing w:line="254" w:lineRule="auto" w:after="20"/>
            </w:pPr>
            <w:r>
              <w:rPr>
                <w:b w:val="0"/>
                <w:sz w:val="20"/>
              </w:rPr>
              <w:t>Collective agreement and individual consent</w:t>
            </w:r>
          </w:p>
        </w:tc>
        <w:tc>
          <w:tcPr>
            <w:tcW w:type="dxa" w:w="6912"/>
            <w:vAlign w:val="center"/>
            <w:tcMar>
              <w:top w:w="80" w:type="dxa"/>
              <w:left w:w="80" w:type="dxa"/>
              <w:bottom w:w="80" w:type="dxa"/>
              <w:right w:w="80" w:type="dxa"/>
            </w:tcMar>
            <w:shd w:fill="F7F7F7"/>
          </w:tcPr>
          <w:p>
            <w:pPr>
              <w:spacing w:line="254" w:lineRule="auto" w:after="20"/>
            </w:pPr>
            <w:r>
              <w:rPr>
                <w:b w:val="0"/>
                <w:sz w:val="20"/>
              </w:rPr>
              <w:t>Individual informed consent for interviews remains separate.</w:t>
            </w:r>
          </w:p>
        </w:tc>
      </w:tr>
    </w:tbl>
    <w:p>
      <w:pPr>
        <w:spacing w:after="0"/>
      </w:pPr>
    </w:p>
    <w:p>
      <w:pPr>
        <w:pStyle w:val="Heading1"/>
      </w:pPr>
      <w:r>
        <w:t>Source verification record</w:t>
      </w:r>
    </w:p>
    <w:p>
      <w:r>
        <w:t>All entries below concern the relevant passages, not a claim that every line of every work was manually reviewed. The register links each source to the body units using it. Source metadata and primary URLs are retained there and in the paper's bibliography.</w:t>
      </w:r>
    </w:p>
    <w:p>
      <w:pPr>
        <w:pStyle w:val="Heading2"/>
      </w:pPr>
      <w:r>
        <w:t>BEAULIEU2023</w:t>
      </w:r>
    </w:p>
    <w:p>
      <w:pPr>
        <w:spacing w:after="100"/>
      </w:pPr>
      <w:r>
        <w:rPr>
          <w:sz w:val="21"/>
        </w:rPr>
        <w:t>Section 2, especially community committees and mapping; Data availability statement; article type. Full publisher HTML, relevant passages and metadata rechecked 29 October 2026. Participant perspective; access controls and transferability untested.</w:t>
      </w:r>
    </w:p>
    <w:p>
      <w:hyperlink r:id="rId10">
        <w:r>
          <w:rPr>
            <w:color w:val="000000"/>
            <w:u w:val="single"/>
            <w:sz w:val="18"/>
          </w:rPr>
          <w:t>https://doi.org/10.3389/feart.2023.1076774</w:t>
        </w:r>
      </w:hyperlink>
    </w:p>
    <w:p>
      <w:pPr>
        <w:pStyle w:val="Heading2"/>
      </w:pPr>
      <w:r>
        <w:t>CIHR2022</w:t>
      </w:r>
    </w:p>
    <w:p>
      <w:pPr>
        <w:spacing w:after="100"/>
      </w:pPr>
      <w:r>
        <w:rPr>
          <w:sz w:val="21"/>
        </w:rPr>
        <w:t>Chapter 9, arts. 9.5–9.6, 9.11–9.12, 9.15, 9.17. Official Chapter 9 HTML; relevant provisions rechecked 29 October 2026. Contextual research policy, not allocation of operational powers.</w:t>
      </w:r>
    </w:p>
    <w:p>
      <w:hyperlink r:id="rId11">
        <w:r>
          <w:rPr>
            <w:color w:val="000000"/>
            <w:u w:val="single"/>
            <w:sz w:val="18"/>
          </w:rPr>
          <w:t>https://ethique.gc.ca/eng/tcps2-eptc2_2022_chapter9-chapitre9.html</w:t>
        </w:r>
      </w:hyperlink>
    </w:p>
    <w:p>
      <w:pPr>
        <w:pStyle w:val="Heading2"/>
      </w:pPr>
      <w:r>
        <w:t>CARROLL2020</w:t>
      </w:r>
    </w:p>
    <w:p>
      <w:pPr>
        <w:spacing w:after="100"/>
      </w:pPr>
      <w:r>
        <w:rPr>
          <w:sz w:val="21"/>
        </w:rPr>
        <w:t>The CARE Principles; The Emergence of Indigenous Data Sovereignty. Original publisher full HTML; relevant passages rechecked. Principles, not evidence of local outcomes.</w:t>
      </w:r>
    </w:p>
    <w:p>
      <w:hyperlink r:id="rId12">
        <w:r>
          <w:rPr>
            <w:color w:val="000000"/>
            <w:u w:val="single"/>
            <w:sz w:val="18"/>
          </w:rPr>
          <w:t>https://doi.org/10.5334/dsj-2020-043</w:t>
        </w:r>
      </w:hyperlink>
    </w:p>
    <w:p>
      <w:pPr>
        <w:pStyle w:val="Heading2"/>
      </w:pPr>
      <w:r>
        <w:t>DND2026</w:t>
      </w:r>
    </w:p>
    <w:p>
      <w:pPr>
        <w:spacing w:after="100"/>
      </w:pPr>
      <w:r>
        <w:rPr>
          <w:sz w:val="21"/>
        </w:rPr>
        <w:t>Agreement paragraph; Launch the North; Quick facts. Official release; targets and agreement objects rechecked. Announcement does not demonstrate delivery.</w:t>
      </w:r>
    </w:p>
    <w:p>
      <w:hyperlink r:id="rId13">
        <w:r>
          <w:rPr>
            <w:color w:val="000000"/>
            <w:u w:val="single"/>
            <w:sz w:val="18"/>
          </w:rPr>
          <w:t>https://www.canada.ca/en/department-national-defence/news/2026/03/minister-mcguinty-announces-strategic-investments-in-sovereign-space-launch.html</w:t>
        </w:r>
      </w:hyperlink>
    </w:p>
    <w:p>
      <w:pPr>
        <w:pStyle w:val="Heading2"/>
      </w:pPr>
      <w:r>
        <w:t>FNIGCND</w:t>
      </w:r>
    </w:p>
    <w:p>
      <w:pPr>
        <w:spacing w:after="100"/>
      </w:pPr>
      <w:r>
        <w:rPr>
          <w:sz w:val="21"/>
        </w:rPr>
        <w:t>Understanding OCAP; application; First Nations specificity. Full official guidance; relevant definitions rechecked. Nation interpretation; no endorsement implied.</w:t>
      </w:r>
    </w:p>
    <w:p>
      <w:hyperlink r:id="rId14">
        <w:r>
          <w:rPr>
            <w:color w:val="000000"/>
            <w:u w:val="single"/>
            <w:sz w:val="18"/>
          </w:rPr>
          <w:t>https://fnigc.ca/ocap-training/</w:t>
        </w:r>
      </w:hyperlink>
    </w:p>
    <w:p>
      <w:pPr>
        <w:pStyle w:val="Heading2"/>
      </w:pPr>
      <w:r>
        <w:t>ISED2026</w:t>
      </w:r>
    </w:p>
    <w:p>
      <w:pPr>
        <w:spacing w:after="100"/>
      </w:pPr>
      <w:r>
        <w:rPr>
          <w:sz w:val="21"/>
        </w:rPr>
        <w:t>October 2026; paras. 1–2, 80–83. Full official consultation; relevant scope rechecked. Proposals, not enacted powers.</w:t>
      </w:r>
    </w:p>
    <w:p>
      <w:hyperlink r:id="rId15">
        <w:r>
          <w:rPr>
            <w:color w:val="000000"/>
            <w:u w:val="single"/>
            <w:sz w:val="18"/>
          </w:rPr>
          <w:t>https://ised-isde.canada.ca/site/spectrum-management-telecommunications/en/learn-more/key-documents/consultations/consultation-legislative-and-regulatory-modernization-space-activities</w:t>
        </w:r>
      </w:hyperlink>
    </w:p>
    <w:p>
      <w:pPr>
        <w:pStyle w:val="Heading2"/>
      </w:pPr>
      <w:r>
        <w:t>LEAF2026</w:t>
      </w:r>
    </w:p>
    <w:p>
      <w:pPr>
        <w:spacing w:after="100"/>
      </w:pPr>
      <w:r>
        <w:rPr>
          <w:sz w:val="21"/>
        </w:rPr>
        <w:t>Main article date and opening paragraph. Full provider article; date attribution rechecked. No independent performance verification.</w:t>
      </w:r>
    </w:p>
    <w:p>
      <w:hyperlink r:id="rId16">
        <w:r>
          <w:rPr>
            <w:color w:val="000000"/>
            <w:u w:val="single"/>
            <w:sz w:val="18"/>
          </w:rPr>
          <w:t>https://leaf.space/leaf-space-extends-its-global-network-with-first-ground-station-in-canadas-spaceport-nova-scotia-2/</w:t>
        </w:r>
      </w:hyperlink>
    </w:p>
    <w:p>
      <w:pPr>
        <w:pStyle w:val="Heading2"/>
      </w:pPr>
      <w:r>
        <w:t>MEWND</w:t>
      </w:r>
    </w:p>
    <w:p>
      <w:pPr>
        <w:spacing w:after="100"/>
      </w:pPr>
      <w:r>
        <w:rPr>
          <w:sz w:val="21"/>
        </w:rPr>
        <w:t>Current application page; exemptions and questions. Full current official application guidance. No determination obtained.</w:t>
      </w:r>
    </w:p>
    <w:p>
      <w:hyperlink r:id="rId17">
        <w:r>
          <w:rPr>
            <w:color w:val="000000"/>
            <w:u w:val="single"/>
            <w:sz w:val="18"/>
          </w:rPr>
          <w:t>https://mawkim.org/mikmaw-ethics-watch/apply-for-research-approval/</w:t>
        </w:r>
      </w:hyperlink>
    </w:p>
    <w:p>
      <w:pPr>
        <w:pStyle w:val="Heading2"/>
      </w:pPr>
      <w:r>
        <w:t>NSE2019A</w:t>
      </w:r>
    </w:p>
    <w:p>
      <w:pPr>
        <w:spacing w:after="100"/>
      </w:pPr>
      <w:r>
        <w:rPr>
          <w:sz w:val="21"/>
        </w:rPr>
        <w:t>Decision date and approval status. Continuing official register; date and status rechecked. Undated page; historical plans remain.</w:t>
      </w:r>
    </w:p>
    <w:p>
      <w:hyperlink r:id="rId18">
        <w:r>
          <w:rPr>
            <w:color w:val="000000"/>
            <w:u w:val="single"/>
            <w:sz w:val="18"/>
          </w:rPr>
          <w:t>https://novascotia.ca/nse/ea/canso-spaceport-facility/</w:t>
        </w:r>
      </w:hyperlink>
    </w:p>
    <w:p>
      <w:pPr>
        <w:pStyle w:val="Heading2"/>
      </w:pPr>
      <w:r>
        <w:t>NSE2019B</w:t>
      </w:r>
    </w:p>
    <w:p>
      <w:pPr>
        <w:spacing w:after="100"/>
      </w:pPr>
      <w:r>
        <w:rPr>
          <w:sz w:val="21"/>
        </w:rPr>
        <w:t>Conditions 3.3, 4.8–4.9, 9.2, 9.4, 10.1. Official scanned approval; relevant pages visually reviewed. Implementation and consent not established.</w:t>
      </w:r>
    </w:p>
    <w:p>
      <w:hyperlink r:id="rId19">
        <w:r>
          <w:rPr>
            <w:color w:val="000000"/>
            <w:u w:val="single"/>
            <w:sz w:val="18"/>
          </w:rPr>
          <w:t>https://novascotia.ca/nse/ea/canso-spaceport-facility/Conditions.pdf</w:t>
        </w:r>
      </w:hyperlink>
    </w:p>
    <w:p>
      <w:pPr>
        <w:pStyle w:val="Heading2"/>
      </w:pPr>
      <w:r>
        <w:t>STRUM2018</w:t>
      </w:r>
    </w:p>
    <w:p>
      <w:pPr>
        <w:spacing w:after="100"/>
      </w:pPr>
      <w:r>
        <w:rPr>
          <w:sz w:val="21"/>
        </w:rPr>
        <w:t>Section 8, printed pp. 107–108. Full registration PDF; relevant passage rechecked. No current permissions inferred.</w:t>
      </w:r>
    </w:p>
    <w:p>
      <w:hyperlink r:id="rId20">
        <w:r>
          <w:rPr>
            <w:color w:val="000000"/>
            <w:u w:val="single"/>
            <w:sz w:val="18"/>
          </w:rPr>
          <w:t>https://novascotia.ca/nse/ea/canso-spaceport-facility/registration_document.pdf</w:t>
        </w:r>
      </w:hyperlink>
    </w:p>
    <w:p>
      <w:pPr>
        <w:pStyle w:val="Heading2"/>
      </w:pPr>
      <w:r>
        <w:t>TC2026B</w:t>
      </w:r>
    </w:p>
    <w:p>
      <w:pPr>
        <w:spacing w:after="100"/>
      </w:pPr>
      <w:r>
        <w:rPr>
          <w:sz w:val="21"/>
        </w:rPr>
        <w:t>Consultation period; draft requirements; public notification questions. Full official consultation; dates and status rechecked. Draft status retained.</w:t>
      </w:r>
    </w:p>
    <w:p>
      <w:hyperlink r:id="rId21">
        <w:r>
          <w:rPr>
            <w:color w:val="000000"/>
            <w:u w:val="single"/>
            <w:sz w:val="18"/>
          </w:rPr>
          <w:t>https://tc.canada.ca/en/corporate-services/consultations/consultation-commercial-space-launch-canada</w:t>
        </w:r>
      </w:hyperlink>
    </w:p>
    <w:p>
      <w:pPr>
        <w:pStyle w:val="Heading2"/>
      </w:pPr>
      <w:r>
        <w:t>UN2007</w:t>
      </w:r>
    </w:p>
    <w:p>
      <w:pPr>
        <w:spacing w:after="100"/>
      </w:pPr>
      <w:r>
        <w:rPr>
          <w:sz w:val="21"/>
        </w:rPr>
        <w:t>Articles 18–19, 31–32 in official Schedule. Official reproduced Declaration; relevant articles rechecked. Actor and context limits retained.</w:t>
      </w:r>
    </w:p>
    <w:p>
      <w:hyperlink r:id="rId22">
        <w:r>
          <w:rPr>
            <w:color w:val="000000"/>
            <w:u w:val="single"/>
            <w:sz w:val="18"/>
          </w:rPr>
          <w:t>https://laws.justice.gc.ca/eng/acts/U-2.2/FullText.html</w:t>
        </w:r>
      </w:hyperlink>
    </w:p>
    <w:p>
      <w:pPr>
        <w:pStyle w:val="Heading1"/>
      </w:pPr>
      <w:r>
        <w:t>Limits that remain</w:t>
      </w:r>
    </w:p>
    <w:p>
      <w:r>
        <w:t>No local interviews, community consultations, inspections, permission tests, or outcome evaluations were conducted. The framework and suggested evidence are provisional. A public record can identify a commitment or a process without establishing how it operates. The participant account used as a precedent does not determine an appropriate Mi'kmaw arrangement.</w:t>
      </w:r>
    </w:p>
    <w:p>
      <w:r>
        <w:t>The regional timeline retains the 27 October 2026 documentary cutoff. Sources were rechecked on 29 October for the revision. Later developments are outside that bounded record. The review was purposive and does not establish exhaustive coverage.</w:t>
      </w:r>
    </w:p>
    <w:p>
      <w:r>
        <w:t>Mi'kmaw Ethics Watch and institutional requirements for the desk review and any subsequent research remain to be confirmed. No approval or exemption determination was obtained. The paper preserves this unresolved status; this audit does not authorize research activity or publication.</w:t>
      </w:r>
    </w:p>
    <w:p>
      <w:pPr>
        <w:pStyle w:val="Heading1"/>
      </w:pPr>
      <w:r>
        <w:t>Edition and file identity</w:t>
      </w:r>
    </w:p>
    <w:p>
      <w:r>
        <w:t>The previous 391-unit register belongs to the first edition. This edition uses paragraphs and table rows as review units and has a different scope. The new register supersedes the old register for this text. Counts between editions are not directly comparable.</w:t>
      </w:r>
    </w:p>
    <w:p>
      <w:r>
        <w:t>The final paper file has the SHA-256 identifier below. The companion register and page references were checked against this edition.</w:t>
      </w:r>
    </w:p>
    <w:p>
      <w:r>
        <w:rPr>
          <w:sz w:val="18"/>
        </w:rPr>
        <w:t>d857adf6897f6f38ef67bfe64da37bc2c09138ef989bda501342c8905d56a5c2</w:t>
      </w:r>
    </w:p>
    <w:sectPr w:rsidR="00FC693F" w:rsidRPr="0006063C" w:rsidSect="00034616">
      <w:footerReference w:type="default" r:id="rId9"/>
      <w:pgSz w:w="12240" w:h="15840"/>
      <w:pgMar w:top="1123"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eastAsia="Times New Roman" w:cs="Times New Roman"/>
      <w:color w:val="000000"/>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before="0" w:after="120"/>
    </w:pPr>
    <w:rPr>
      <w:rFonts w:ascii="Times New Roman" w:hAnsi="Times New Roman" w:eastAsia="Times New Roman" w:cs="Times New Roman"/>
      <w:i/>
      <w:iCs/>
      <w:color w:val="000000"/>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3389/feart.2023.1076774" TargetMode="External"/><Relationship Id="rId11" Type="http://schemas.openxmlformats.org/officeDocument/2006/relationships/hyperlink" Target="https://ethique.gc.ca/eng/tcps2-eptc2_2022_chapter9-chapitre9.html" TargetMode="External"/><Relationship Id="rId12" Type="http://schemas.openxmlformats.org/officeDocument/2006/relationships/hyperlink" Target="https://doi.org/10.5334/dsj-2020-043" TargetMode="External"/><Relationship Id="rId13" Type="http://schemas.openxmlformats.org/officeDocument/2006/relationships/hyperlink" Target="https://www.canada.ca/en/department-national-defence/news/2026/03/minister-mcguinty-announces-strategic-investments-in-sovereign-space-launch.html" TargetMode="External"/><Relationship Id="rId14" Type="http://schemas.openxmlformats.org/officeDocument/2006/relationships/hyperlink" Target="https://fnigc.ca/ocap-training/" TargetMode="External"/><Relationship Id="rId15" Type="http://schemas.openxmlformats.org/officeDocument/2006/relationships/hyperlink" Target="https://ised-isde.canada.ca/site/spectrum-management-telecommunications/en/learn-more/key-documents/consultations/consultation-legislative-and-regulatory-modernization-space-activities" TargetMode="External"/><Relationship Id="rId16" Type="http://schemas.openxmlformats.org/officeDocument/2006/relationships/hyperlink" Target="https://leaf.space/leaf-space-extends-its-global-network-with-first-ground-station-in-canadas-spaceport-nova-scotia-2/" TargetMode="External"/><Relationship Id="rId17" Type="http://schemas.openxmlformats.org/officeDocument/2006/relationships/hyperlink" Target="https://mawkim.org/mikmaw-ethics-watch/apply-for-research-approval/" TargetMode="External"/><Relationship Id="rId18" Type="http://schemas.openxmlformats.org/officeDocument/2006/relationships/hyperlink" Target="https://novascotia.ca/nse/ea/canso-spaceport-facility/" TargetMode="External"/><Relationship Id="rId19" Type="http://schemas.openxmlformats.org/officeDocument/2006/relationships/hyperlink" Target="https://novascotia.ca/nse/ea/canso-spaceport-facility/Conditions.pdf" TargetMode="External"/><Relationship Id="rId20" Type="http://schemas.openxmlformats.org/officeDocument/2006/relationships/hyperlink" Target="https://novascotia.ca/nse/ea/canso-spaceport-facility/registration_document.pdf" TargetMode="External"/><Relationship Id="rId21" Type="http://schemas.openxmlformats.org/officeDocument/2006/relationships/hyperlink" Target="https://tc.canada.ca/en/corporate-services/consultations/consultation-commercial-space-launch-canada" TargetMode="External"/><Relationship Id="rId22" Type="http://schemas.openxmlformats.org/officeDocument/2006/relationships/hyperlink" Target="https://laws.justice.gc.ca/eng/acts/U-2.2/FullT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verification and review record for the question led overview</dc:title>
  <dc:subject>Question led documentary overview of Indigenous data sovereignty and Atlantic Canadian space infrastructure</dc:subject>
  <dc:creator>Mizel Cluett</dc:creator>
  <cp:keywords/>
  <dc:description/>
  <cp:lastModifiedBy/>
  <cp:revision>1</cp:revision>
  <dcterms:created xsi:type="dcterms:W3CDTF">2013-12-23T23:15:00Z</dcterms:created>
  <dcterms:modified xsi:type="dcterms:W3CDTF">2013-12-23T23:15:00Z</dcterms:modified>
  <cp:category/>
</cp:coreProperties>
</file>