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3440A" w14:textId="513DB7E4" w:rsidR="00DE297A" w:rsidRDefault="00924460">
      <w:pPr>
        <w:rPr>
          <w:b/>
          <w:bCs/>
          <w:u w:val="single"/>
        </w:rPr>
      </w:pPr>
      <w:r w:rsidRPr="00924460">
        <w:rPr>
          <w:b/>
          <w:bCs/>
          <w:u w:val="single"/>
        </w:rPr>
        <w:t>Introduction</w:t>
      </w:r>
      <w:r>
        <w:rPr>
          <w:b/>
          <w:bCs/>
          <w:u w:val="single"/>
        </w:rPr>
        <w:t>:</w:t>
      </w:r>
    </w:p>
    <w:p w14:paraId="47C48343" w14:textId="4341877B" w:rsidR="00924460" w:rsidRPr="00AA3632" w:rsidRDefault="00924460">
      <w:pPr>
        <w:rPr>
          <w:sz w:val="16"/>
          <w:szCs w:val="16"/>
        </w:rPr>
      </w:pPr>
      <w:r w:rsidRPr="00AA3632">
        <w:rPr>
          <w:sz w:val="16"/>
          <w:szCs w:val="16"/>
        </w:rPr>
        <w:t xml:space="preserve">For this project we investigate the </w:t>
      </w:r>
      <w:r w:rsidR="00A6444A" w:rsidRPr="00AA3632">
        <w:rPr>
          <w:sz w:val="16"/>
          <w:szCs w:val="16"/>
        </w:rPr>
        <w:t xml:space="preserve">legally contested </w:t>
      </w:r>
      <w:r w:rsidRPr="00AA3632">
        <w:rPr>
          <w:sz w:val="16"/>
          <w:szCs w:val="16"/>
        </w:rPr>
        <w:t xml:space="preserve">election </w:t>
      </w:r>
      <w:r w:rsidR="00A6444A" w:rsidRPr="00AA3632">
        <w:rPr>
          <w:sz w:val="16"/>
          <w:szCs w:val="16"/>
        </w:rPr>
        <w:t xml:space="preserve">results </w:t>
      </w:r>
      <w:r w:rsidRPr="00AA3632">
        <w:rPr>
          <w:sz w:val="16"/>
          <w:szCs w:val="16"/>
        </w:rPr>
        <w:t>in Nigeria</w:t>
      </w:r>
      <w:r w:rsidR="00A6444A" w:rsidRPr="00AA3632">
        <w:rPr>
          <w:sz w:val="16"/>
          <w:szCs w:val="16"/>
        </w:rPr>
        <w:t xml:space="preserve"> due to the questionable data integrity. Our purpose is to find out potential arears of irregularities through the available election data. This we will set out to achieve through highlighting outlier polling units whose results deviate significantly from their neighbouring units. This will serve as a pointer to possibility of rigging and undue influences.</w:t>
      </w:r>
    </w:p>
    <w:p w14:paraId="43F7620F" w14:textId="0221C076" w:rsidR="00A6444A" w:rsidRPr="00AA3632" w:rsidRDefault="00A6444A">
      <w:pPr>
        <w:rPr>
          <w:sz w:val="16"/>
          <w:szCs w:val="16"/>
        </w:rPr>
      </w:pPr>
      <w:r w:rsidRPr="00AA3632">
        <w:rPr>
          <w:sz w:val="16"/>
          <w:szCs w:val="16"/>
        </w:rPr>
        <w:t xml:space="preserve">The rest of </w:t>
      </w:r>
      <w:r w:rsidR="000F0DAB" w:rsidRPr="00AA3632">
        <w:rPr>
          <w:sz w:val="16"/>
          <w:szCs w:val="16"/>
        </w:rPr>
        <w:t>the report will present the dataset, methods, analysis</w:t>
      </w:r>
      <w:r w:rsidR="00D273E4">
        <w:rPr>
          <w:sz w:val="16"/>
          <w:szCs w:val="16"/>
        </w:rPr>
        <w:t xml:space="preserve">, findings and </w:t>
      </w:r>
      <w:r w:rsidR="000F0DAB" w:rsidRPr="00AA3632">
        <w:rPr>
          <w:sz w:val="16"/>
          <w:szCs w:val="16"/>
        </w:rPr>
        <w:t>conclusions from our data cleaning, exploration and visualizations.</w:t>
      </w:r>
    </w:p>
    <w:p w14:paraId="3899E0E2" w14:textId="0135629B" w:rsidR="000F0DAB" w:rsidRDefault="000F0DAB">
      <w:pPr>
        <w:rPr>
          <w:b/>
          <w:bCs/>
          <w:u w:val="single"/>
        </w:rPr>
      </w:pPr>
      <w:r w:rsidRPr="000F0DAB">
        <w:rPr>
          <w:b/>
          <w:bCs/>
          <w:u w:val="single"/>
        </w:rPr>
        <w:t>Data:</w:t>
      </w:r>
    </w:p>
    <w:p w14:paraId="768F1992" w14:textId="4FB1D5C3" w:rsidR="00480DA7" w:rsidRPr="00AA3632" w:rsidRDefault="00480DA7" w:rsidP="00480DA7">
      <w:pPr>
        <w:pStyle w:val="ListParagraph"/>
        <w:numPr>
          <w:ilvl w:val="0"/>
          <w:numId w:val="1"/>
        </w:numPr>
        <w:rPr>
          <w:sz w:val="16"/>
          <w:szCs w:val="16"/>
        </w:rPr>
      </w:pPr>
      <w:r w:rsidRPr="00393C86">
        <w:rPr>
          <w:b/>
          <w:bCs/>
          <w:sz w:val="16"/>
          <w:szCs w:val="16"/>
        </w:rPr>
        <w:t>Data Cleaning/Preparation</w:t>
      </w:r>
      <w:r w:rsidRPr="00AA3632">
        <w:rPr>
          <w:sz w:val="16"/>
          <w:szCs w:val="16"/>
        </w:rPr>
        <w:t>:</w:t>
      </w:r>
    </w:p>
    <w:p w14:paraId="37C2D164" w14:textId="7F487141" w:rsidR="00523D29" w:rsidRPr="00D273E4" w:rsidRDefault="00480DA7" w:rsidP="00D273E4">
      <w:pPr>
        <w:pStyle w:val="ListParagraph"/>
        <w:rPr>
          <w:rFonts w:ascii="Arial" w:eastAsia="Times New Roman" w:hAnsi="Arial" w:cs="Arial"/>
          <w:color w:val="1D1C1D"/>
          <w:sz w:val="16"/>
          <w:szCs w:val="16"/>
        </w:rPr>
      </w:pPr>
      <w:r w:rsidRPr="00AA3632">
        <w:rPr>
          <w:sz w:val="16"/>
          <w:szCs w:val="16"/>
        </w:rPr>
        <w:t xml:space="preserve">The raw data set was extracted from </w:t>
      </w:r>
      <w:hyperlink r:id="rId7" w:tgtFrame="_blank" w:history="1">
        <w:r w:rsidRPr="00FC0092">
          <w:rPr>
            <w:rFonts w:ascii="Arial" w:eastAsia="Times New Roman" w:hAnsi="Arial" w:cs="Arial"/>
            <w:color w:val="0000FF"/>
            <w:sz w:val="16"/>
            <w:szCs w:val="16"/>
            <w:u w:val="single"/>
          </w:rPr>
          <w:t>drive link</w:t>
        </w:r>
      </w:hyperlink>
      <w:r w:rsidRPr="00AA3632">
        <w:rPr>
          <w:rFonts w:ascii="Arial" w:eastAsia="Times New Roman" w:hAnsi="Arial" w:cs="Arial"/>
          <w:color w:val="1D1C1D"/>
          <w:sz w:val="16"/>
          <w:szCs w:val="16"/>
        </w:rPr>
        <w:t xml:space="preserve"> . </w:t>
      </w:r>
      <w:r w:rsidR="00D273E4">
        <w:rPr>
          <w:rFonts w:ascii="Arial" w:eastAsia="Times New Roman" w:hAnsi="Arial" w:cs="Arial"/>
          <w:color w:val="1D1C1D"/>
          <w:sz w:val="16"/>
          <w:szCs w:val="16"/>
        </w:rPr>
        <w:t>A Google API -</w:t>
      </w:r>
      <w:r w:rsidRPr="00AA3632">
        <w:rPr>
          <w:rFonts w:ascii="Arial" w:eastAsia="Times New Roman" w:hAnsi="Arial" w:cs="Arial"/>
          <w:color w:val="1D1C1D"/>
          <w:sz w:val="16"/>
          <w:szCs w:val="16"/>
        </w:rPr>
        <w:t xml:space="preserve">Geocode Awesome Table was used to get the missing longitude and latitude of the polling units </w:t>
      </w:r>
      <w:r w:rsidR="005F6288" w:rsidRPr="00AA3632">
        <w:rPr>
          <w:rFonts w:ascii="Arial" w:eastAsia="Times New Roman" w:hAnsi="Arial" w:cs="Arial"/>
          <w:color w:val="1D1C1D"/>
          <w:sz w:val="16"/>
          <w:szCs w:val="16"/>
        </w:rPr>
        <w:t>for the purpose of identifying neighbouring polling units</w:t>
      </w:r>
      <w:r w:rsidR="004A6339">
        <w:rPr>
          <w:rFonts w:ascii="Arial" w:eastAsia="Times New Roman" w:hAnsi="Arial" w:cs="Arial"/>
          <w:color w:val="1D1C1D"/>
          <w:sz w:val="16"/>
          <w:szCs w:val="16"/>
        </w:rPr>
        <w:t xml:space="preserve"> and distances</w:t>
      </w:r>
      <w:r w:rsidR="005F6288" w:rsidRPr="00AA3632">
        <w:rPr>
          <w:rFonts w:ascii="Arial" w:eastAsia="Times New Roman" w:hAnsi="Arial" w:cs="Arial"/>
          <w:color w:val="1D1C1D"/>
          <w:sz w:val="16"/>
          <w:szCs w:val="16"/>
        </w:rPr>
        <w:t xml:space="preserve">. </w:t>
      </w:r>
      <w:r w:rsidR="00093935">
        <w:rPr>
          <w:rFonts w:ascii="Arial" w:eastAsia="Times New Roman" w:hAnsi="Arial" w:cs="Arial"/>
          <w:color w:val="1D1C1D"/>
          <w:sz w:val="16"/>
          <w:szCs w:val="16"/>
        </w:rPr>
        <w:t xml:space="preserve">Some columns were combined to </w:t>
      </w:r>
      <w:r w:rsidR="00F02F75">
        <w:rPr>
          <w:rFonts w:ascii="Arial" w:eastAsia="Times New Roman" w:hAnsi="Arial" w:cs="Arial"/>
          <w:color w:val="1D1C1D"/>
          <w:sz w:val="16"/>
          <w:szCs w:val="16"/>
        </w:rPr>
        <w:t>get complete</w:t>
      </w:r>
      <w:r w:rsidR="00093935">
        <w:rPr>
          <w:rFonts w:ascii="Arial" w:eastAsia="Times New Roman" w:hAnsi="Arial" w:cs="Arial"/>
          <w:color w:val="1D1C1D"/>
          <w:sz w:val="16"/>
          <w:szCs w:val="16"/>
        </w:rPr>
        <w:t xml:space="preserve"> addresses in order to extract the geocodes. </w:t>
      </w:r>
      <w:r w:rsidR="005F6288" w:rsidRPr="00AA3632">
        <w:rPr>
          <w:rFonts w:ascii="Arial" w:eastAsia="Times New Roman" w:hAnsi="Arial" w:cs="Arial"/>
          <w:color w:val="1D1C1D"/>
          <w:sz w:val="16"/>
          <w:szCs w:val="16"/>
        </w:rPr>
        <w:t xml:space="preserve">The dataset was cleaned </w:t>
      </w:r>
      <w:r w:rsidR="00D273E4">
        <w:rPr>
          <w:rFonts w:ascii="Arial" w:eastAsia="Times New Roman" w:hAnsi="Arial" w:cs="Arial"/>
          <w:color w:val="1D1C1D"/>
          <w:sz w:val="16"/>
          <w:szCs w:val="16"/>
        </w:rPr>
        <w:t>for</w:t>
      </w:r>
      <w:r w:rsidR="005F6288" w:rsidRPr="00AA3632">
        <w:rPr>
          <w:rFonts w:ascii="Arial" w:eastAsia="Times New Roman" w:hAnsi="Arial" w:cs="Arial"/>
          <w:color w:val="1D1C1D"/>
          <w:sz w:val="16"/>
          <w:szCs w:val="16"/>
        </w:rPr>
        <w:t xml:space="preserve"> duplicates, unnecessary columns and rows, nulls and blank spaces as well as errors</w:t>
      </w:r>
      <w:r w:rsidR="00426A4B" w:rsidRPr="00AA3632">
        <w:rPr>
          <w:rFonts w:ascii="Arial" w:eastAsia="Times New Roman" w:hAnsi="Arial" w:cs="Arial"/>
          <w:color w:val="1D1C1D"/>
          <w:sz w:val="16"/>
          <w:szCs w:val="16"/>
        </w:rPr>
        <w:t xml:space="preserve"> using Microsoft Excel</w:t>
      </w:r>
      <w:r w:rsidR="005F6288" w:rsidRPr="00AA3632">
        <w:rPr>
          <w:rFonts w:ascii="Arial" w:eastAsia="Times New Roman" w:hAnsi="Arial" w:cs="Arial"/>
          <w:color w:val="1D1C1D"/>
          <w:sz w:val="16"/>
          <w:szCs w:val="16"/>
        </w:rPr>
        <w:t>. The clean dataset can be viewed in the sheet labelled CLEAN DATA in the attached spreadsheet.</w:t>
      </w:r>
    </w:p>
    <w:p w14:paraId="1D5D26A7" w14:textId="559B2FB0" w:rsidR="00523D29" w:rsidRDefault="00523D29" w:rsidP="00AA3632">
      <w:pPr>
        <w:rPr>
          <w:b/>
          <w:bCs/>
          <w:u w:val="single"/>
        </w:rPr>
      </w:pPr>
      <w:r w:rsidRPr="00AA3632">
        <w:rPr>
          <w:b/>
          <w:bCs/>
          <w:u w:val="single"/>
        </w:rPr>
        <w:t>Methods:</w:t>
      </w:r>
    </w:p>
    <w:p w14:paraId="0A3C95A3" w14:textId="77777777" w:rsidR="00D273E4" w:rsidRDefault="00D273E4" w:rsidP="00D273E4">
      <w:pPr>
        <w:pStyle w:val="ListParagraph"/>
        <w:rPr>
          <w:rFonts w:ascii="Arial" w:eastAsia="Times New Roman" w:hAnsi="Arial" w:cs="Arial"/>
          <w:color w:val="1D1C1D"/>
          <w:sz w:val="16"/>
          <w:szCs w:val="16"/>
        </w:rPr>
      </w:pPr>
      <w:r>
        <w:rPr>
          <w:rFonts w:ascii="Arial" w:eastAsia="Times New Roman" w:hAnsi="Arial" w:cs="Arial"/>
          <w:color w:val="1D1C1D"/>
          <w:sz w:val="16"/>
          <w:szCs w:val="16"/>
        </w:rPr>
        <w:t xml:space="preserve">The dataset was then loaded into Microsoft SQL Server Management Studio (SSMS) where the longitude and latitude were converted into the geography data type (named Geolocation) to enable compute the distances. SSMS was used for the rest of the exploratory data manipulations and analysis. </w:t>
      </w:r>
    </w:p>
    <w:p w14:paraId="3D815611" w14:textId="130AF21B" w:rsidR="00D273E4" w:rsidRDefault="00D273E4" w:rsidP="00D273E4">
      <w:pPr>
        <w:pStyle w:val="ListParagraph"/>
        <w:rPr>
          <w:rFonts w:ascii="Arial" w:eastAsia="Times New Roman" w:hAnsi="Arial" w:cs="Arial"/>
          <w:color w:val="1D1C1D"/>
          <w:sz w:val="16"/>
          <w:szCs w:val="16"/>
        </w:rPr>
      </w:pPr>
      <w:r>
        <w:rPr>
          <w:rFonts w:ascii="Arial" w:eastAsia="Times New Roman" w:hAnsi="Arial" w:cs="Arial"/>
          <w:color w:val="1D1C1D"/>
          <w:sz w:val="16"/>
          <w:szCs w:val="16"/>
        </w:rPr>
        <w:t>At the end of the exploration, outputs were exported the Excel spreadsheet for final sorting and visualization.</w:t>
      </w:r>
    </w:p>
    <w:p w14:paraId="25F6AA2F" w14:textId="77777777" w:rsidR="00D273E4" w:rsidRPr="00D273E4" w:rsidRDefault="00D273E4" w:rsidP="00D273E4">
      <w:pPr>
        <w:pStyle w:val="ListParagraph"/>
        <w:rPr>
          <w:rFonts w:ascii="Arial" w:eastAsia="Times New Roman" w:hAnsi="Arial" w:cs="Arial"/>
          <w:color w:val="1D1C1D"/>
          <w:sz w:val="16"/>
          <w:szCs w:val="16"/>
        </w:rPr>
      </w:pPr>
    </w:p>
    <w:p w14:paraId="2EFDF624" w14:textId="62FE5476" w:rsidR="005F6288" w:rsidRPr="00AA3632" w:rsidRDefault="00523D29" w:rsidP="00426A4B">
      <w:pPr>
        <w:pStyle w:val="ListParagraph"/>
        <w:numPr>
          <w:ilvl w:val="0"/>
          <w:numId w:val="1"/>
        </w:numPr>
        <w:rPr>
          <w:sz w:val="16"/>
          <w:szCs w:val="16"/>
        </w:rPr>
      </w:pPr>
      <w:r w:rsidRPr="00393C86">
        <w:rPr>
          <w:b/>
          <w:bCs/>
          <w:sz w:val="16"/>
          <w:szCs w:val="16"/>
        </w:rPr>
        <w:t>Clustering</w:t>
      </w:r>
      <w:r w:rsidR="00426A4B" w:rsidRPr="00AA3632">
        <w:rPr>
          <w:sz w:val="16"/>
          <w:szCs w:val="16"/>
        </w:rPr>
        <w:t xml:space="preserve">: Clusters of neighbouring polling units were created </w:t>
      </w:r>
      <w:r w:rsidR="00D273E4">
        <w:rPr>
          <w:sz w:val="16"/>
          <w:szCs w:val="16"/>
        </w:rPr>
        <w:t xml:space="preserve">in </w:t>
      </w:r>
      <w:r w:rsidR="00426A4B" w:rsidRPr="00AA3632">
        <w:rPr>
          <w:sz w:val="16"/>
          <w:szCs w:val="16"/>
        </w:rPr>
        <w:t>SQL based on longitudes and latitudes as shown in the sheet labelled CLUSTERS</w:t>
      </w:r>
      <w:r w:rsidR="00DD60D6" w:rsidRPr="00AA3632">
        <w:rPr>
          <w:sz w:val="16"/>
          <w:szCs w:val="16"/>
        </w:rPr>
        <w:t>. The clusters are numbered with dense rank to make them distinct</w:t>
      </w:r>
      <w:r w:rsidR="00426A4B" w:rsidRPr="00AA3632">
        <w:rPr>
          <w:sz w:val="16"/>
          <w:szCs w:val="16"/>
        </w:rPr>
        <w:t xml:space="preserve">. A snippet of the procedure </w:t>
      </w:r>
      <w:r w:rsidRPr="00AA3632">
        <w:rPr>
          <w:sz w:val="16"/>
          <w:szCs w:val="16"/>
        </w:rPr>
        <w:t xml:space="preserve">used </w:t>
      </w:r>
      <w:r w:rsidR="00426A4B" w:rsidRPr="00AA3632">
        <w:rPr>
          <w:sz w:val="16"/>
          <w:szCs w:val="16"/>
        </w:rPr>
        <w:t>can be seen below</w:t>
      </w:r>
      <w:r w:rsidRPr="00AA3632">
        <w:rPr>
          <w:sz w:val="16"/>
          <w:szCs w:val="16"/>
        </w:rPr>
        <w:t>:</w:t>
      </w:r>
    </w:p>
    <w:p w14:paraId="1B39B024" w14:textId="0F270975" w:rsidR="00041C0E" w:rsidRDefault="00041C0E" w:rsidP="00041C0E">
      <w:pPr>
        <w:pStyle w:val="ListParagraph"/>
      </w:pPr>
    </w:p>
    <w:p w14:paraId="67A27FB4" w14:textId="5358F47F" w:rsidR="00041C0E" w:rsidRPr="00480DA7" w:rsidRDefault="00041C0E" w:rsidP="00041C0E">
      <w:pPr>
        <w:pStyle w:val="ListParagraph"/>
      </w:pPr>
      <w:r w:rsidRPr="00041C0E">
        <w:rPr>
          <w:noProof/>
        </w:rPr>
        <w:drawing>
          <wp:inline distT="0" distB="0" distL="0" distR="0" wp14:anchorId="16A88980" wp14:editId="0D4CA978">
            <wp:extent cx="4719995" cy="30759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1969" cy="3096777"/>
                    </a:xfrm>
                    <a:prstGeom prst="rect">
                      <a:avLst/>
                    </a:prstGeom>
                  </pic:spPr>
                </pic:pic>
              </a:graphicData>
            </a:graphic>
          </wp:inline>
        </w:drawing>
      </w:r>
    </w:p>
    <w:p w14:paraId="52F71AE1" w14:textId="39551B02" w:rsidR="00A6444A" w:rsidRDefault="00A6444A"/>
    <w:p w14:paraId="10F9EC34" w14:textId="69C95BD6" w:rsidR="00041C0E" w:rsidRDefault="00041C0E" w:rsidP="00041C0E">
      <w:pPr>
        <w:pStyle w:val="ListParagraph"/>
        <w:numPr>
          <w:ilvl w:val="0"/>
          <w:numId w:val="1"/>
        </w:numPr>
        <w:rPr>
          <w:sz w:val="16"/>
          <w:szCs w:val="16"/>
        </w:rPr>
      </w:pPr>
      <w:r w:rsidRPr="00393C86">
        <w:rPr>
          <w:b/>
          <w:bCs/>
          <w:sz w:val="16"/>
          <w:szCs w:val="16"/>
        </w:rPr>
        <w:t>Outlier Score Calculation</w:t>
      </w:r>
      <w:r w:rsidR="00E23BDF" w:rsidRPr="00AA3632">
        <w:rPr>
          <w:sz w:val="16"/>
          <w:szCs w:val="16"/>
        </w:rPr>
        <w:t>:</w:t>
      </w:r>
    </w:p>
    <w:p w14:paraId="1ED439D3" w14:textId="05038EED" w:rsidR="00334EC7" w:rsidRPr="00334EC7" w:rsidRDefault="00334EC7" w:rsidP="00334EC7">
      <w:pPr>
        <w:pStyle w:val="ListParagraph"/>
        <w:rPr>
          <w:sz w:val="16"/>
          <w:szCs w:val="16"/>
        </w:rPr>
      </w:pPr>
      <w:r>
        <w:rPr>
          <w:sz w:val="16"/>
          <w:szCs w:val="16"/>
        </w:rPr>
        <w:t>Preliminary analysis of the dataset shows that LP had an overwhelming majority and this can be seen from the chart below</w:t>
      </w:r>
      <w:r w:rsidR="00393C86">
        <w:rPr>
          <w:sz w:val="16"/>
          <w:szCs w:val="16"/>
        </w:rPr>
        <w:t>. Hence deviations from this trend would be considered out-of-place.</w:t>
      </w:r>
    </w:p>
    <w:p w14:paraId="4CE45617" w14:textId="3C573E6D" w:rsidR="00E23BDF" w:rsidRPr="00AA3632" w:rsidRDefault="001C3905" w:rsidP="009E1BD5">
      <w:pPr>
        <w:pStyle w:val="ListParagraph"/>
        <w:rPr>
          <w:sz w:val="16"/>
          <w:szCs w:val="16"/>
        </w:rPr>
      </w:pPr>
      <w:r>
        <w:rPr>
          <w:sz w:val="16"/>
          <w:szCs w:val="16"/>
        </w:rPr>
        <w:t xml:space="preserve">Standard deviation was used as the measure of the outlier score. </w:t>
      </w:r>
      <w:r w:rsidR="00E23BDF" w:rsidRPr="00AA3632">
        <w:rPr>
          <w:sz w:val="16"/>
          <w:szCs w:val="16"/>
        </w:rPr>
        <w:t xml:space="preserve">Outlier polling units were selected based on the </w:t>
      </w:r>
      <w:r>
        <w:rPr>
          <w:sz w:val="16"/>
          <w:szCs w:val="16"/>
        </w:rPr>
        <w:t xml:space="preserve">polling </w:t>
      </w:r>
      <w:r w:rsidR="00E23BDF" w:rsidRPr="00AA3632">
        <w:rPr>
          <w:sz w:val="16"/>
          <w:szCs w:val="16"/>
        </w:rPr>
        <w:t>units per political party where standard deviation is greater than</w:t>
      </w:r>
      <w:r>
        <w:rPr>
          <w:sz w:val="16"/>
          <w:szCs w:val="16"/>
        </w:rPr>
        <w:t xml:space="preserve"> 2</w:t>
      </w:r>
      <w:r w:rsidR="00E23BDF" w:rsidRPr="00AA3632">
        <w:rPr>
          <w:sz w:val="16"/>
          <w:szCs w:val="16"/>
        </w:rPr>
        <w:t xml:space="preserve"> (STDEV &gt;2). Below is a snippet of the procedure:</w:t>
      </w:r>
    </w:p>
    <w:p w14:paraId="29D77CA3" w14:textId="4081882E" w:rsidR="009E1BD5" w:rsidRDefault="00334EC7" w:rsidP="00E23BDF">
      <w:pPr>
        <w:pStyle w:val="ListParagraph"/>
      </w:pPr>
      <w:r>
        <w:rPr>
          <w:noProof/>
        </w:rPr>
        <w:lastRenderedPageBreak/>
        <w:drawing>
          <wp:inline distT="0" distB="0" distL="0" distR="0" wp14:anchorId="4452176A" wp14:editId="5C5E7D90">
            <wp:extent cx="4114800" cy="1920240"/>
            <wp:effectExtent l="0" t="0" r="0" b="3810"/>
            <wp:docPr id="8" name="Chart 8">
              <a:extLst xmlns:a="http://schemas.openxmlformats.org/drawingml/2006/main">
                <a:ext uri="{FF2B5EF4-FFF2-40B4-BE49-F238E27FC236}">
                  <a16:creationId xmlns:a16="http://schemas.microsoft.com/office/drawing/2014/main" id="{453C6E69-A130-4F74-9C0C-614A33C647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8A2CA8" w14:textId="1DDBA579" w:rsidR="009E1BD5" w:rsidRDefault="009E1BD5" w:rsidP="00E23BDF">
      <w:pPr>
        <w:pStyle w:val="ListParagraph"/>
      </w:pPr>
      <w:r>
        <w:rPr>
          <w:noProof/>
        </w:rPr>
        <w:drawing>
          <wp:inline distT="0" distB="0" distL="0" distR="0" wp14:anchorId="3430CFC8" wp14:editId="0581B6FF">
            <wp:extent cx="4672425"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5927" cy="3343874"/>
                    </a:xfrm>
                    <a:prstGeom prst="rect">
                      <a:avLst/>
                    </a:prstGeom>
                  </pic:spPr>
                </pic:pic>
              </a:graphicData>
            </a:graphic>
          </wp:inline>
        </w:drawing>
      </w:r>
    </w:p>
    <w:p w14:paraId="0E67CEC1" w14:textId="71015A46" w:rsidR="009E1BD5" w:rsidRDefault="009E1BD5" w:rsidP="009E1BD5"/>
    <w:p w14:paraId="4ED9EA4E" w14:textId="65955077" w:rsidR="009E1BD5" w:rsidRPr="00AA3632" w:rsidRDefault="009E1BD5" w:rsidP="009E1BD5">
      <w:pPr>
        <w:pStyle w:val="ListParagraph"/>
        <w:rPr>
          <w:sz w:val="16"/>
          <w:szCs w:val="16"/>
        </w:rPr>
      </w:pPr>
      <w:r w:rsidRPr="00AA3632">
        <w:rPr>
          <w:sz w:val="16"/>
          <w:szCs w:val="16"/>
        </w:rPr>
        <w:t>The outlier score computation was done with standard deviation to determine the extent of deviation of selected outlier polling units from neighbouring units within 1 km radius</w:t>
      </w:r>
      <w:r w:rsidRPr="00AA3632">
        <w:rPr>
          <w:sz w:val="16"/>
          <w:szCs w:val="16"/>
        </w:rPr>
        <w:t xml:space="preserve"> as per below procedure</w:t>
      </w:r>
      <w:r w:rsidR="00DE1919" w:rsidRPr="00AA3632">
        <w:rPr>
          <w:sz w:val="16"/>
          <w:szCs w:val="16"/>
        </w:rPr>
        <w:t>. The parameter for selecting the top 3 outliers was the polling units with the highest standard deviations.</w:t>
      </w:r>
    </w:p>
    <w:p w14:paraId="0E952589" w14:textId="0B12EE10" w:rsidR="009E1BD5" w:rsidRDefault="00545091" w:rsidP="009E1BD5">
      <w:pPr>
        <w:pStyle w:val="ListParagraph"/>
      </w:pPr>
      <w:r>
        <w:rPr>
          <w:noProof/>
        </w:rPr>
        <w:lastRenderedPageBreak/>
        <w:drawing>
          <wp:inline distT="0" distB="0" distL="0" distR="0" wp14:anchorId="7043A46A" wp14:editId="2A43922C">
            <wp:extent cx="4339212" cy="3213613"/>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867" b="3824"/>
                    <a:stretch/>
                  </pic:blipFill>
                  <pic:spPr bwMode="auto">
                    <a:xfrm>
                      <a:off x="0" y="0"/>
                      <a:ext cx="4339212" cy="3213613"/>
                    </a:xfrm>
                    <a:prstGeom prst="rect">
                      <a:avLst/>
                    </a:prstGeom>
                    <a:ln>
                      <a:noFill/>
                    </a:ln>
                    <a:extLst>
                      <a:ext uri="{53640926-AAD7-44D8-BBD7-CCE9431645EC}">
                        <a14:shadowObscured xmlns:a14="http://schemas.microsoft.com/office/drawing/2010/main"/>
                      </a:ext>
                    </a:extLst>
                  </pic:spPr>
                </pic:pic>
              </a:graphicData>
            </a:graphic>
          </wp:inline>
        </w:drawing>
      </w:r>
    </w:p>
    <w:p w14:paraId="1055930D" w14:textId="12677354" w:rsidR="009E1BD5" w:rsidRDefault="009E1BD5" w:rsidP="009E1BD5">
      <w:pPr>
        <w:pStyle w:val="ListParagraph"/>
      </w:pPr>
    </w:p>
    <w:p w14:paraId="25C01AF5" w14:textId="55D700BE" w:rsidR="005F5D02" w:rsidRDefault="005F5D02" w:rsidP="009E1BD5">
      <w:pPr>
        <w:pStyle w:val="ListParagraph"/>
      </w:pPr>
    </w:p>
    <w:p w14:paraId="2F089AD6" w14:textId="77777777" w:rsidR="005F5D02" w:rsidRDefault="005F5D02" w:rsidP="005F5D02">
      <w:pPr>
        <w:ind w:firstLine="720"/>
        <w:rPr>
          <w:b/>
          <w:bCs/>
          <w:u w:val="single"/>
        </w:rPr>
      </w:pPr>
    </w:p>
    <w:p w14:paraId="4033AB88" w14:textId="4F98ABEE" w:rsidR="005F5D02" w:rsidRDefault="005F5D02" w:rsidP="005F5D02">
      <w:pPr>
        <w:ind w:firstLine="720"/>
        <w:rPr>
          <w:b/>
          <w:bCs/>
          <w:u w:val="single"/>
        </w:rPr>
      </w:pPr>
      <w:r w:rsidRPr="00A734BC">
        <w:rPr>
          <w:b/>
          <w:bCs/>
          <w:u w:val="single"/>
        </w:rPr>
        <w:t>Summary of Findings</w:t>
      </w:r>
    </w:p>
    <w:p w14:paraId="19484425" w14:textId="77777777" w:rsidR="005F5D02" w:rsidRPr="005F5D02" w:rsidRDefault="005F5D02" w:rsidP="005F5D02">
      <w:pPr>
        <w:ind w:firstLine="720"/>
        <w:rPr>
          <w:sz w:val="16"/>
          <w:szCs w:val="16"/>
        </w:rPr>
      </w:pPr>
      <w:r w:rsidRPr="005F5D02">
        <w:rPr>
          <w:sz w:val="16"/>
          <w:szCs w:val="16"/>
        </w:rPr>
        <w:t>From the overall dataset explored, it shows that LP led in majority of the polling units. The acceptable Standard deviation maximum of 2 was used to show that up to 95% of the score are close to the mean of the polling units that conform to the established trend of LP winning the election in Anambra state.</w:t>
      </w:r>
    </w:p>
    <w:p w14:paraId="046AFAB7" w14:textId="77777777" w:rsidR="005F5D02" w:rsidRPr="005F5D02" w:rsidRDefault="005F5D02" w:rsidP="005F5D02">
      <w:pPr>
        <w:ind w:firstLine="720"/>
        <w:rPr>
          <w:sz w:val="16"/>
          <w:szCs w:val="16"/>
        </w:rPr>
      </w:pPr>
      <w:r w:rsidRPr="005F5D02">
        <w:rPr>
          <w:sz w:val="16"/>
          <w:szCs w:val="16"/>
        </w:rPr>
        <w:t>The other polling units with standard deviations greater than 2 were considered outliers. When further compared with neighbouring polling units within 1km radius, their outlier status was further established with their standard deviation being the highest among its neighbours.</w:t>
      </w:r>
    </w:p>
    <w:p w14:paraId="1720E599" w14:textId="67CFC710" w:rsidR="005F5D02" w:rsidRPr="005F5D02" w:rsidRDefault="005F5D02" w:rsidP="005F5D02">
      <w:pPr>
        <w:ind w:firstLine="720"/>
        <w:rPr>
          <w:sz w:val="16"/>
          <w:szCs w:val="16"/>
        </w:rPr>
      </w:pPr>
      <w:r>
        <w:rPr>
          <w:sz w:val="16"/>
          <w:szCs w:val="16"/>
        </w:rPr>
        <w:t>The top 3 outliers for ea</w:t>
      </w:r>
      <w:r w:rsidR="001C3905">
        <w:rPr>
          <w:sz w:val="16"/>
          <w:szCs w:val="16"/>
        </w:rPr>
        <w:t>ch political party top 3 highest standard deviation scores (outlier score)</w:t>
      </w:r>
      <w:r w:rsidR="00BE57DB">
        <w:rPr>
          <w:sz w:val="16"/>
          <w:szCs w:val="16"/>
        </w:rPr>
        <w:t>.</w:t>
      </w:r>
      <w:r w:rsidR="001C3905">
        <w:rPr>
          <w:sz w:val="16"/>
          <w:szCs w:val="16"/>
        </w:rPr>
        <w:t xml:space="preserve"> </w:t>
      </w:r>
      <w:r w:rsidR="00BE57DB">
        <w:rPr>
          <w:sz w:val="16"/>
          <w:szCs w:val="16"/>
        </w:rPr>
        <w:t xml:space="preserve">For </w:t>
      </w:r>
      <w:r w:rsidR="00095DC8">
        <w:rPr>
          <w:sz w:val="16"/>
          <w:szCs w:val="16"/>
        </w:rPr>
        <w:t>example,</w:t>
      </w:r>
      <w:r w:rsidR="00BE57DB">
        <w:rPr>
          <w:sz w:val="16"/>
          <w:szCs w:val="16"/>
        </w:rPr>
        <w:t xml:space="preserve"> t</w:t>
      </w:r>
      <w:r w:rsidR="001C3905">
        <w:rPr>
          <w:sz w:val="16"/>
          <w:szCs w:val="16"/>
        </w:rPr>
        <w:t>here</w:t>
      </w:r>
      <w:r w:rsidRPr="005F5D02">
        <w:rPr>
          <w:sz w:val="16"/>
          <w:szCs w:val="16"/>
        </w:rPr>
        <w:t xml:space="preserve"> is clear case of over-voting among the</w:t>
      </w:r>
      <w:r w:rsidR="001C3905">
        <w:rPr>
          <w:sz w:val="16"/>
          <w:szCs w:val="16"/>
        </w:rPr>
        <w:t xml:space="preserve"> top 3</w:t>
      </w:r>
      <w:r w:rsidRPr="005F5D02">
        <w:rPr>
          <w:sz w:val="16"/>
          <w:szCs w:val="16"/>
        </w:rPr>
        <w:t xml:space="preserve"> LP outliers</w:t>
      </w:r>
      <w:r w:rsidR="001C3905">
        <w:rPr>
          <w:sz w:val="16"/>
          <w:szCs w:val="16"/>
        </w:rPr>
        <w:t xml:space="preserve"> where</w:t>
      </w:r>
      <w:r w:rsidRPr="005F5D02">
        <w:rPr>
          <w:sz w:val="16"/>
          <w:szCs w:val="16"/>
        </w:rPr>
        <w:t xml:space="preserve"> the total number of votes () is higher than the accredited voters</w:t>
      </w:r>
      <w:r w:rsidR="00BE57DB">
        <w:rPr>
          <w:sz w:val="16"/>
          <w:szCs w:val="16"/>
        </w:rPr>
        <w:t xml:space="preserve"> in </w:t>
      </w:r>
      <w:r w:rsidR="00BE57DB" w:rsidRPr="00BE57DB">
        <w:rPr>
          <w:sz w:val="16"/>
          <w:szCs w:val="16"/>
        </w:rPr>
        <w:t>Ama-</w:t>
      </w:r>
      <w:proofErr w:type="spellStart"/>
      <w:r w:rsidR="00BE57DB" w:rsidRPr="00BE57DB">
        <w:rPr>
          <w:sz w:val="16"/>
          <w:szCs w:val="16"/>
        </w:rPr>
        <w:t>Okpogba</w:t>
      </w:r>
      <w:proofErr w:type="spellEnd"/>
      <w:r w:rsidR="00BE57DB" w:rsidRPr="00BE57DB">
        <w:rPr>
          <w:sz w:val="16"/>
          <w:szCs w:val="16"/>
        </w:rPr>
        <w:t>, Anambra East, Anambra</w:t>
      </w:r>
      <w:r w:rsidR="00BE57DB">
        <w:rPr>
          <w:sz w:val="16"/>
          <w:szCs w:val="16"/>
        </w:rPr>
        <w:t xml:space="preserve"> from the dataset.</w:t>
      </w:r>
    </w:p>
    <w:p w14:paraId="34446DC3" w14:textId="3255B768" w:rsidR="005F5D02" w:rsidRDefault="00A3245C" w:rsidP="009E1BD5">
      <w:pPr>
        <w:pStyle w:val="ListParagraph"/>
      </w:pPr>
      <w:r>
        <w:rPr>
          <w:noProof/>
        </w:rPr>
        <w:drawing>
          <wp:inline distT="0" distB="0" distL="0" distR="0" wp14:anchorId="01A5AFD3" wp14:editId="3E43B74A">
            <wp:extent cx="2642774" cy="2330450"/>
            <wp:effectExtent l="0" t="0" r="5715" b="12700"/>
            <wp:docPr id="4" name="Chart 4">
              <a:extLst xmlns:a="http://schemas.openxmlformats.org/drawingml/2006/main">
                <a:ext uri="{FF2B5EF4-FFF2-40B4-BE49-F238E27FC236}">
                  <a16:creationId xmlns:a16="http://schemas.microsoft.com/office/drawing/2014/main" id="{BEF4A8BB-D84A-40D0-BAF2-0BB0DB4340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A3245C">
        <w:rPr>
          <w:noProof/>
        </w:rPr>
        <w:t xml:space="preserve"> </w:t>
      </w:r>
      <w:r>
        <w:rPr>
          <w:noProof/>
        </w:rPr>
        <w:drawing>
          <wp:inline distT="0" distB="0" distL="0" distR="0" wp14:anchorId="4F59D2CB" wp14:editId="4781165D">
            <wp:extent cx="2626360" cy="2336069"/>
            <wp:effectExtent l="0" t="0" r="2540" b="7620"/>
            <wp:docPr id="5" name="Chart 5">
              <a:extLst xmlns:a="http://schemas.openxmlformats.org/drawingml/2006/main">
                <a:ext uri="{FF2B5EF4-FFF2-40B4-BE49-F238E27FC236}">
                  <a16:creationId xmlns:a16="http://schemas.microsoft.com/office/drawing/2014/main" id="{AE216B60-2276-48F0-BD10-801957BEDC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7CB279" w14:textId="3433D64C" w:rsidR="00DE1919" w:rsidRDefault="0022010A" w:rsidP="009E1BD5">
      <w:pPr>
        <w:pStyle w:val="ListParagraph"/>
      </w:pPr>
      <w:r>
        <w:rPr>
          <w:noProof/>
        </w:rPr>
        <w:lastRenderedPageBreak/>
        <w:drawing>
          <wp:inline distT="0" distB="0" distL="0" distR="0" wp14:anchorId="05300EF3" wp14:editId="46DB72FD">
            <wp:extent cx="2092960" cy="2225217"/>
            <wp:effectExtent l="0" t="0" r="2540" b="3810"/>
            <wp:docPr id="6" name="Chart 6">
              <a:extLst xmlns:a="http://schemas.openxmlformats.org/drawingml/2006/main">
                <a:ext uri="{FF2B5EF4-FFF2-40B4-BE49-F238E27FC236}">
                  <a16:creationId xmlns:a16="http://schemas.microsoft.com/office/drawing/2014/main" id="{04DBF6C6-53D7-4049-ACBB-591B35D84E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22010A">
        <w:rPr>
          <w:noProof/>
        </w:rPr>
        <w:t xml:space="preserve"> </w:t>
      </w:r>
      <w:r>
        <w:rPr>
          <w:noProof/>
        </w:rPr>
        <w:drawing>
          <wp:inline distT="0" distB="0" distL="0" distR="0" wp14:anchorId="68A2C2EC" wp14:editId="31F2B798">
            <wp:extent cx="3192471" cy="2230120"/>
            <wp:effectExtent l="0" t="0" r="8255" b="17780"/>
            <wp:docPr id="7" name="Chart 7">
              <a:extLst xmlns:a="http://schemas.openxmlformats.org/drawingml/2006/main">
                <a:ext uri="{FF2B5EF4-FFF2-40B4-BE49-F238E27FC236}">
                  <a16:creationId xmlns:a16="http://schemas.microsoft.com/office/drawing/2014/main" id="{12110313-B3F5-4A03-9D4D-CD9266CE8A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6FA1AA" w14:textId="72DBB8E1" w:rsidR="00A734BC" w:rsidRDefault="00A734BC" w:rsidP="009E1BD5">
      <w:pPr>
        <w:ind w:firstLine="720"/>
      </w:pPr>
    </w:p>
    <w:p w14:paraId="5859FE71" w14:textId="2116515E" w:rsidR="00A734BC" w:rsidRDefault="00393C86" w:rsidP="00393C86">
      <w:r>
        <w:t>Conclusions:</w:t>
      </w:r>
    </w:p>
    <w:p w14:paraId="703C55A4" w14:textId="490E11AC" w:rsidR="00393C86" w:rsidRPr="00095DC8" w:rsidRDefault="00393C86" w:rsidP="00393C86">
      <w:pPr>
        <w:rPr>
          <w:sz w:val="16"/>
        </w:rPr>
      </w:pPr>
      <w:r w:rsidRPr="00095DC8">
        <w:rPr>
          <w:sz w:val="16"/>
        </w:rPr>
        <w:t xml:space="preserve">According to the findings </w:t>
      </w:r>
      <w:r w:rsidR="00095DC8" w:rsidRPr="00095DC8">
        <w:rPr>
          <w:sz w:val="16"/>
        </w:rPr>
        <w:t xml:space="preserve">we can safely say that LP had a landslide victory. Hence polling units where they were extremely outclassed could be contested. Nevertheless, the incidence of over-voting identified in an LP outlier </w:t>
      </w:r>
      <w:r w:rsidR="00095DC8">
        <w:rPr>
          <w:sz w:val="16"/>
        </w:rPr>
        <w:t xml:space="preserve">polling unit in </w:t>
      </w:r>
      <w:r w:rsidR="00095DC8" w:rsidRPr="00095DC8">
        <w:rPr>
          <w:sz w:val="16"/>
          <w:szCs w:val="16"/>
        </w:rPr>
        <w:t>Ama-</w:t>
      </w:r>
      <w:proofErr w:type="spellStart"/>
      <w:r w:rsidR="00095DC8" w:rsidRPr="00095DC8">
        <w:rPr>
          <w:sz w:val="16"/>
          <w:szCs w:val="16"/>
        </w:rPr>
        <w:t>Okpogba</w:t>
      </w:r>
      <w:proofErr w:type="spellEnd"/>
      <w:r w:rsidR="00095DC8" w:rsidRPr="00095DC8">
        <w:rPr>
          <w:sz w:val="16"/>
          <w:szCs w:val="16"/>
        </w:rPr>
        <w:t>, Anambra East, Anambra</w:t>
      </w:r>
      <w:r w:rsidR="00095DC8" w:rsidRPr="00095DC8">
        <w:rPr>
          <w:sz w:val="16"/>
          <w:szCs w:val="16"/>
        </w:rPr>
        <w:t>, calls to question the results from the LP outlier polling units</w:t>
      </w:r>
      <w:r w:rsidR="00095DC8">
        <w:rPr>
          <w:sz w:val="16"/>
          <w:szCs w:val="16"/>
        </w:rPr>
        <w:t>.</w:t>
      </w:r>
    </w:p>
    <w:p w14:paraId="320190F3" w14:textId="77777777" w:rsidR="00A734BC" w:rsidRPr="00A734BC" w:rsidRDefault="00A734BC" w:rsidP="009E1BD5">
      <w:pPr>
        <w:ind w:firstLine="720"/>
        <w:rPr>
          <w:b/>
          <w:bCs/>
          <w:u w:val="single"/>
        </w:rPr>
      </w:pPr>
    </w:p>
    <w:sectPr w:rsidR="00A734BC" w:rsidRPr="00A734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DAC7B" w14:textId="77777777" w:rsidR="00E95691" w:rsidRDefault="00E95691" w:rsidP="009E1BD5">
      <w:pPr>
        <w:spacing w:after="0" w:line="240" w:lineRule="auto"/>
      </w:pPr>
      <w:r>
        <w:separator/>
      </w:r>
    </w:p>
  </w:endnote>
  <w:endnote w:type="continuationSeparator" w:id="0">
    <w:p w14:paraId="01F0FC6D" w14:textId="77777777" w:rsidR="00E95691" w:rsidRDefault="00E95691" w:rsidP="009E1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16B97" w14:textId="77777777" w:rsidR="00E95691" w:rsidRDefault="00E95691" w:rsidP="009E1BD5">
      <w:pPr>
        <w:spacing w:after="0" w:line="240" w:lineRule="auto"/>
      </w:pPr>
      <w:r>
        <w:separator/>
      </w:r>
    </w:p>
  </w:footnote>
  <w:footnote w:type="continuationSeparator" w:id="0">
    <w:p w14:paraId="12089315" w14:textId="77777777" w:rsidR="00E95691" w:rsidRDefault="00E95691" w:rsidP="009E1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1019"/>
    <w:multiLevelType w:val="hybridMultilevel"/>
    <w:tmpl w:val="1250C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60"/>
    <w:rsid w:val="00041C0E"/>
    <w:rsid w:val="00086E82"/>
    <w:rsid w:val="00093935"/>
    <w:rsid w:val="00095DC8"/>
    <w:rsid w:val="000B0510"/>
    <w:rsid w:val="000F0DAB"/>
    <w:rsid w:val="001C3905"/>
    <w:rsid w:val="0022010A"/>
    <w:rsid w:val="00334EC7"/>
    <w:rsid w:val="00393C86"/>
    <w:rsid w:val="00426A4B"/>
    <w:rsid w:val="00480DA7"/>
    <w:rsid w:val="004A0B65"/>
    <w:rsid w:val="004A6339"/>
    <w:rsid w:val="00523D29"/>
    <w:rsid w:val="00545091"/>
    <w:rsid w:val="005F5D02"/>
    <w:rsid w:val="005F6288"/>
    <w:rsid w:val="00654577"/>
    <w:rsid w:val="008C2FFF"/>
    <w:rsid w:val="00924460"/>
    <w:rsid w:val="009E1BD5"/>
    <w:rsid w:val="00A3245C"/>
    <w:rsid w:val="00A6444A"/>
    <w:rsid w:val="00A734BC"/>
    <w:rsid w:val="00AA3632"/>
    <w:rsid w:val="00BE57DB"/>
    <w:rsid w:val="00CE577A"/>
    <w:rsid w:val="00D273E4"/>
    <w:rsid w:val="00DD60D6"/>
    <w:rsid w:val="00DE1919"/>
    <w:rsid w:val="00DE297A"/>
    <w:rsid w:val="00E23BDF"/>
    <w:rsid w:val="00E95691"/>
    <w:rsid w:val="00F02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D9BE7"/>
  <w15:chartTrackingRefBased/>
  <w15:docId w15:val="{4ABF9880-9C5A-4A8E-A018-5968C0B9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DA7"/>
    <w:pPr>
      <w:ind w:left="720"/>
      <w:contextualSpacing/>
    </w:pPr>
  </w:style>
  <w:style w:type="paragraph" w:styleId="Header">
    <w:name w:val="header"/>
    <w:basedOn w:val="Normal"/>
    <w:link w:val="HeaderChar"/>
    <w:uiPriority w:val="99"/>
    <w:unhideWhenUsed/>
    <w:rsid w:val="009E1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BD5"/>
  </w:style>
  <w:style w:type="paragraph" w:styleId="Footer">
    <w:name w:val="footer"/>
    <w:basedOn w:val="Normal"/>
    <w:link w:val="FooterChar"/>
    <w:uiPriority w:val="99"/>
    <w:unhideWhenUsed/>
    <w:rsid w:val="009E1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hyperlink" Target="https://drive.google.com/drive/folders/173oHgms6wYy5WKz_i3Lhl5mXcmobCWHz" TargetMode="Externa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CLEANED%20DATASE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Anambra%20Complete.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Anambra%20Complete.xls"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Anambra%20Complete.xls"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Anambra%20Complet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 DATASET.csv]Sheet1!PivotTable1</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Sheet1!$A$1</c:f>
              <c:strCache>
                <c:ptCount val="1"/>
                <c:pt idx="0">
                  <c:v>Sum of APC</c:v>
                </c:pt>
              </c:strCache>
            </c:strRef>
          </c:tx>
          <c:spPr>
            <a:solidFill>
              <a:schemeClr val="accent1"/>
            </a:solidFill>
            <a:ln>
              <a:noFill/>
            </a:ln>
            <a:effectLst/>
            <a:sp3d/>
          </c:spPr>
          <c:invertIfNegative val="0"/>
          <c:cat>
            <c:strRef>
              <c:f>Sheet1!$A$2</c:f>
              <c:strCache>
                <c:ptCount val="1"/>
                <c:pt idx="0">
                  <c:v>Total</c:v>
                </c:pt>
              </c:strCache>
            </c:strRef>
          </c:cat>
          <c:val>
            <c:numRef>
              <c:f>Sheet1!$A$2</c:f>
              <c:numCache>
                <c:formatCode>General</c:formatCode>
                <c:ptCount val="1"/>
                <c:pt idx="0">
                  <c:v>4638</c:v>
                </c:pt>
              </c:numCache>
            </c:numRef>
          </c:val>
          <c:extLst>
            <c:ext xmlns:c16="http://schemas.microsoft.com/office/drawing/2014/chart" uri="{C3380CC4-5D6E-409C-BE32-E72D297353CC}">
              <c16:uniqueId val="{00000000-D7F1-4951-BDF8-DD2A7FD47176}"/>
            </c:ext>
          </c:extLst>
        </c:ser>
        <c:ser>
          <c:idx val="1"/>
          <c:order val="1"/>
          <c:tx>
            <c:strRef>
              <c:f>Sheet1!$B$1</c:f>
              <c:strCache>
                <c:ptCount val="1"/>
                <c:pt idx="0">
                  <c:v>Sum of LP</c:v>
                </c:pt>
              </c:strCache>
            </c:strRef>
          </c:tx>
          <c:spPr>
            <a:solidFill>
              <a:schemeClr val="accent2"/>
            </a:solidFill>
            <a:ln>
              <a:noFill/>
            </a:ln>
            <a:effectLst/>
            <a:sp3d/>
          </c:spPr>
          <c:invertIfNegative val="0"/>
          <c:cat>
            <c:strRef>
              <c:f>Sheet1!$A$2</c:f>
              <c:strCache>
                <c:ptCount val="1"/>
                <c:pt idx="0">
                  <c:v>Total</c:v>
                </c:pt>
              </c:strCache>
            </c:strRef>
          </c:cat>
          <c:val>
            <c:numRef>
              <c:f>Sheet1!$B$2</c:f>
              <c:numCache>
                <c:formatCode>General</c:formatCode>
                <c:ptCount val="1"/>
                <c:pt idx="0">
                  <c:v>379889</c:v>
                </c:pt>
              </c:numCache>
            </c:numRef>
          </c:val>
          <c:extLst>
            <c:ext xmlns:c16="http://schemas.microsoft.com/office/drawing/2014/chart" uri="{C3380CC4-5D6E-409C-BE32-E72D297353CC}">
              <c16:uniqueId val="{00000001-D7F1-4951-BDF8-DD2A7FD47176}"/>
            </c:ext>
          </c:extLst>
        </c:ser>
        <c:ser>
          <c:idx val="2"/>
          <c:order val="2"/>
          <c:tx>
            <c:strRef>
              <c:f>Sheet1!$C$1</c:f>
              <c:strCache>
                <c:ptCount val="1"/>
                <c:pt idx="0">
                  <c:v>Sum of PDP</c:v>
                </c:pt>
              </c:strCache>
            </c:strRef>
          </c:tx>
          <c:spPr>
            <a:solidFill>
              <a:schemeClr val="accent3"/>
            </a:solidFill>
            <a:ln>
              <a:noFill/>
            </a:ln>
            <a:effectLst/>
            <a:sp3d/>
          </c:spPr>
          <c:invertIfNegative val="0"/>
          <c:cat>
            <c:strRef>
              <c:f>Sheet1!$A$2</c:f>
              <c:strCache>
                <c:ptCount val="1"/>
                <c:pt idx="0">
                  <c:v>Total</c:v>
                </c:pt>
              </c:strCache>
            </c:strRef>
          </c:cat>
          <c:val>
            <c:numRef>
              <c:f>Sheet1!$C$2</c:f>
              <c:numCache>
                <c:formatCode>General</c:formatCode>
                <c:ptCount val="1"/>
                <c:pt idx="0">
                  <c:v>8881</c:v>
                </c:pt>
              </c:numCache>
            </c:numRef>
          </c:val>
          <c:extLst>
            <c:ext xmlns:c16="http://schemas.microsoft.com/office/drawing/2014/chart" uri="{C3380CC4-5D6E-409C-BE32-E72D297353CC}">
              <c16:uniqueId val="{00000002-D7F1-4951-BDF8-DD2A7FD47176}"/>
            </c:ext>
          </c:extLst>
        </c:ser>
        <c:ser>
          <c:idx val="3"/>
          <c:order val="3"/>
          <c:tx>
            <c:strRef>
              <c:f>Sheet1!$D$1</c:f>
              <c:strCache>
                <c:ptCount val="1"/>
                <c:pt idx="0">
                  <c:v>Sum of NNPP</c:v>
                </c:pt>
              </c:strCache>
            </c:strRef>
          </c:tx>
          <c:spPr>
            <a:solidFill>
              <a:schemeClr val="accent4"/>
            </a:solidFill>
            <a:ln>
              <a:noFill/>
            </a:ln>
            <a:effectLst/>
            <a:sp3d/>
          </c:spPr>
          <c:invertIfNegative val="0"/>
          <c:cat>
            <c:strRef>
              <c:f>Sheet1!$A$2</c:f>
              <c:strCache>
                <c:ptCount val="1"/>
                <c:pt idx="0">
                  <c:v>Total</c:v>
                </c:pt>
              </c:strCache>
            </c:strRef>
          </c:cat>
          <c:val>
            <c:numRef>
              <c:f>Sheet1!$D$2</c:f>
              <c:numCache>
                <c:formatCode>General</c:formatCode>
                <c:ptCount val="1"/>
                <c:pt idx="0">
                  <c:v>2047</c:v>
                </c:pt>
              </c:numCache>
            </c:numRef>
          </c:val>
          <c:extLst>
            <c:ext xmlns:c16="http://schemas.microsoft.com/office/drawing/2014/chart" uri="{C3380CC4-5D6E-409C-BE32-E72D297353CC}">
              <c16:uniqueId val="{00000003-D7F1-4951-BDF8-DD2A7FD47176}"/>
            </c:ext>
          </c:extLst>
        </c:ser>
        <c:dLbls>
          <c:showLegendKey val="0"/>
          <c:showVal val="0"/>
          <c:showCatName val="0"/>
          <c:showSerName val="0"/>
          <c:showPercent val="0"/>
          <c:showBubbleSize val="0"/>
        </c:dLbls>
        <c:gapWidth val="150"/>
        <c:shape val="box"/>
        <c:axId val="958572800"/>
        <c:axId val="958573216"/>
        <c:axId val="1118209600"/>
      </c:bar3DChart>
      <c:catAx>
        <c:axId val="9585728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573216"/>
        <c:crosses val="autoZero"/>
        <c:auto val="1"/>
        <c:lblAlgn val="ctr"/>
        <c:lblOffset val="100"/>
        <c:noMultiLvlLbl val="0"/>
      </c:catAx>
      <c:valAx>
        <c:axId val="95857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572800"/>
        <c:crosses val="autoZero"/>
        <c:crossBetween val="between"/>
      </c:valAx>
      <c:serAx>
        <c:axId val="111820960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573216"/>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[Anambra Complete.xls]PIVOT TABLE!PivotTable3</c:name>
    <c:fmtId val="-1"/>
  </c:pivotSource>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1" baseline="0"/>
              <a:t>APC OUTLIER SCORE</a:t>
            </a:r>
          </a:p>
        </c:rich>
      </c:tx>
      <c:layout>
        <c:manualLayout>
          <c:xMode val="edge"/>
          <c:yMode val="edge"/>
          <c:x val="0.29093740715719835"/>
          <c:y val="3.2697547683923703E-2"/>
        </c:manualLayout>
      </c:layout>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rgbClr val="FF0000"/>
          </a:solidFill>
          <a:ln>
            <a:noFill/>
          </a:ln>
          <a:effectLst/>
        </c:spPr>
      </c:pivotFmt>
      <c:pivotFmt>
        <c:idx val="20"/>
        <c:spPr>
          <a:solidFill>
            <a:srgbClr val="FF0000"/>
          </a:solidFill>
          <a:ln>
            <a:noFill/>
          </a:ln>
          <a:effectLst/>
        </c:spPr>
      </c:pivotFmt>
      <c:pivotFmt>
        <c:idx val="21"/>
        <c:spPr>
          <a:solidFill>
            <a:srgbClr val="FF0000"/>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rgbClr val="FF0000"/>
          </a:solidFill>
          <a:ln>
            <a:noFill/>
          </a:ln>
          <a:effectLst/>
        </c:spPr>
      </c:pivotFmt>
      <c:pivotFmt>
        <c:idx val="24"/>
        <c:spPr>
          <a:solidFill>
            <a:srgbClr val="FF0000"/>
          </a:solidFill>
          <a:ln>
            <a:noFill/>
          </a:ln>
          <a:effectLst/>
        </c:spPr>
      </c:pivotFmt>
      <c:pivotFmt>
        <c:idx val="25"/>
        <c:spPr>
          <a:solidFill>
            <a:srgbClr val="FF0000"/>
          </a:solidFill>
          <a:ln>
            <a:noFill/>
          </a:ln>
          <a:effectLst/>
        </c:spPr>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rgbClr val="FF0000"/>
          </a:solidFill>
          <a:ln>
            <a:noFill/>
          </a:ln>
          <a:effectLst/>
        </c:spPr>
      </c:pivotFmt>
      <c:pivotFmt>
        <c:idx val="28"/>
        <c:spPr>
          <a:solidFill>
            <a:srgbClr val="FF0000"/>
          </a:solidFill>
          <a:ln>
            <a:noFill/>
          </a:ln>
          <a:effectLst/>
        </c:spPr>
      </c:pivotFmt>
      <c:pivotFmt>
        <c:idx val="29"/>
        <c:spPr>
          <a:solidFill>
            <a:srgbClr val="FF0000"/>
          </a:solidFill>
          <a:ln>
            <a:noFill/>
          </a:ln>
          <a:effectLst/>
        </c:spPr>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rgbClr val="FF0000"/>
          </a:solidFill>
          <a:ln>
            <a:noFill/>
          </a:ln>
          <a:effectLst/>
        </c:spPr>
      </c:pivotFmt>
      <c:pivotFmt>
        <c:idx val="32"/>
        <c:spPr>
          <a:solidFill>
            <a:srgbClr val="FF0000"/>
          </a:solidFill>
          <a:ln>
            <a:noFill/>
          </a:ln>
          <a:effectLst/>
        </c:spPr>
      </c:pivotFmt>
      <c:pivotFmt>
        <c:idx val="33"/>
        <c:spPr>
          <a:solidFill>
            <a:srgbClr val="FF0000"/>
          </a:solidFill>
          <a:ln>
            <a:noFill/>
          </a:ln>
          <a:effectLst/>
        </c:spPr>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rgbClr val="FF0000"/>
          </a:solidFill>
          <a:ln>
            <a:noFill/>
          </a:ln>
          <a:effectLst/>
        </c:spPr>
      </c:pivotFmt>
      <c:pivotFmt>
        <c:idx val="36"/>
        <c:spPr>
          <a:solidFill>
            <a:srgbClr val="FF0000"/>
          </a:solidFill>
          <a:ln>
            <a:noFill/>
          </a:ln>
          <a:effectLst/>
        </c:spPr>
      </c:pivotFmt>
      <c:pivotFmt>
        <c:idx val="37"/>
        <c:spPr>
          <a:solidFill>
            <a:srgbClr val="FF0000"/>
          </a:solidFill>
          <a:ln>
            <a:noFill/>
          </a:ln>
          <a:effectLst/>
        </c:spPr>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rgbClr val="FF0000"/>
          </a:solidFill>
          <a:ln>
            <a:noFill/>
          </a:ln>
          <a:effectLst/>
        </c:spPr>
      </c:pivotFmt>
      <c:pivotFmt>
        <c:idx val="40"/>
        <c:spPr>
          <a:solidFill>
            <a:srgbClr val="FF0000"/>
          </a:solidFill>
          <a:ln>
            <a:noFill/>
          </a:ln>
          <a:effectLst/>
        </c:spPr>
      </c:pivotFmt>
      <c:pivotFmt>
        <c:idx val="41"/>
        <c:spPr>
          <a:solidFill>
            <a:srgbClr val="FF0000"/>
          </a:solidFill>
          <a:ln>
            <a:noFill/>
          </a:ln>
          <a:effectLst/>
        </c:spPr>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rgbClr val="FF0000"/>
          </a:solidFill>
          <a:ln>
            <a:noFill/>
          </a:ln>
          <a:effectLst/>
        </c:spPr>
      </c:pivotFmt>
      <c:pivotFmt>
        <c:idx val="44"/>
        <c:spPr>
          <a:solidFill>
            <a:srgbClr val="FF0000"/>
          </a:solidFill>
          <a:ln>
            <a:noFill/>
          </a:ln>
          <a:effectLst/>
        </c:spPr>
      </c:pivotFmt>
      <c:pivotFmt>
        <c:idx val="45"/>
        <c:spPr>
          <a:solidFill>
            <a:srgbClr val="FF0000"/>
          </a:solidFill>
          <a:ln>
            <a:noFill/>
          </a:ln>
          <a:effectLst/>
        </c:spPr>
      </c:pivotFmt>
    </c:pivotFmts>
    <c:plotArea>
      <c:layout/>
      <c:barChart>
        <c:barDir val="bar"/>
        <c:grouping val="clustered"/>
        <c:varyColors val="0"/>
        <c:ser>
          <c:idx val="0"/>
          <c:order val="0"/>
          <c:tx>
            <c:strRef>
              <c:f>'PIVOT TABLE'!$D$4:$D$5</c:f>
              <c:strCache>
                <c:ptCount val="1"/>
                <c:pt idx="0">
                  <c:v>Total</c:v>
                </c:pt>
              </c:strCache>
            </c:strRef>
          </c:tx>
          <c:spPr>
            <a:solidFill>
              <a:schemeClr val="accent1"/>
            </a:solidFill>
            <a:ln>
              <a:noFill/>
            </a:ln>
            <a:effectLst/>
          </c:spPr>
          <c:invertIfNegative val="0"/>
          <c:dPt>
            <c:idx val="8"/>
            <c:invertIfNegative val="0"/>
            <c:bubble3D val="0"/>
            <c:spPr>
              <a:solidFill>
                <a:srgbClr val="FF0000"/>
              </a:solidFill>
              <a:ln>
                <a:noFill/>
              </a:ln>
              <a:effectLst/>
            </c:spPr>
            <c:extLst>
              <c:ext xmlns:c16="http://schemas.microsoft.com/office/drawing/2014/chart" uri="{C3380CC4-5D6E-409C-BE32-E72D297353CC}">
                <c16:uniqueId val="{00000001-0B67-4379-ABE7-4084E739EEE9}"/>
              </c:ext>
            </c:extLst>
          </c:dPt>
          <c:dPt>
            <c:idx val="9"/>
            <c:invertIfNegative val="0"/>
            <c:bubble3D val="0"/>
            <c:spPr>
              <a:solidFill>
                <a:srgbClr val="FF0000"/>
              </a:solidFill>
              <a:ln>
                <a:noFill/>
              </a:ln>
              <a:effectLst/>
            </c:spPr>
            <c:extLst>
              <c:ext xmlns:c16="http://schemas.microsoft.com/office/drawing/2014/chart" uri="{C3380CC4-5D6E-409C-BE32-E72D297353CC}">
                <c16:uniqueId val="{00000003-0B67-4379-ABE7-4084E739EEE9}"/>
              </c:ext>
            </c:extLst>
          </c:dPt>
          <c:dPt>
            <c:idx val="10"/>
            <c:invertIfNegative val="0"/>
            <c:bubble3D val="0"/>
            <c:spPr>
              <a:solidFill>
                <a:srgbClr val="FF0000"/>
              </a:solidFill>
              <a:ln>
                <a:noFill/>
              </a:ln>
              <a:effectLst/>
            </c:spPr>
            <c:extLst>
              <c:ext xmlns:c16="http://schemas.microsoft.com/office/drawing/2014/chart" uri="{C3380CC4-5D6E-409C-BE32-E72D297353CC}">
                <c16:uniqueId val="{00000005-0B67-4379-ABE7-4084E739EEE9}"/>
              </c:ext>
            </c:extLst>
          </c:dPt>
          <c:dLbls>
            <c:spPr>
              <a:noFill/>
              <a:ln>
                <a:noFill/>
              </a:ln>
              <a:effectLst/>
            </c:spPr>
            <c:txPr>
              <a:bodyPr rot="0" spcFirstLastPara="1" vertOverflow="ellipsis" vert="horz" wrap="square" lIns="38100" tIns="19050" rIns="38100" bIns="19050" anchor="ctr" anchorCtr="1">
                <a:spAutoFit/>
              </a:bodyPr>
              <a:lstStyle/>
              <a:p>
                <a:pPr>
                  <a:defRPr sz="4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 TABLE'!$B$6:$C$26</c:f>
              <c:multiLvlStrCache>
                <c:ptCount val="11"/>
                <c:lvl>
                  <c:pt idx="0">
                    <c:v>AMA-IGBOEZUNU, ANAMBRA EAST, ANAMBRA</c:v>
                  </c:pt>
                  <c:pt idx="1">
                    <c:v>BOYS' HIGH SCHOOL, OYI, ANAMBRA</c:v>
                  </c:pt>
                  <c:pt idx="2">
                    <c:v>ARMY DAY SECONDARY SCHOOL, ONITSHA-NORTH, ANAMBRA</c:v>
                  </c:pt>
                  <c:pt idx="3">
                    <c:v>EKE OLISE CENTRAL SCHOOL, OYI, ANAMBRA</c:v>
                  </c:pt>
                  <c:pt idx="4">
                    <c:v>EBE OLLOR SQUARE II, DUNUKOFIA, ANAMBRA</c:v>
                  </c:pt>
                  <c:pt idx="5">
                    <c:v>URUOKWE VILLAGE SQUARE I, NJIKOKA, ANAMBRA</c:v>
                  </c:pt>
                  <c:pt idx="6">
                    <c:v>COMMUNITY SECONDARY SCHOOL ODEKPE I, OGBARU, ANAMBRA</c:v>
                  </c:pt>
                  <c:pt idx="7">
                    <c:v>UMUNEBO P/S I, OYI, ANAMBRA</c:v>
                  </c:pt>
                  <c:pt idx="8">
                    <c:v>AKWA VILLAGE HALL III, DUNUKOFIA, ANAMBRA</c:v>
                  </c:pt>
                  <c:pt idx="9">
                    <c:v>NKWO AMENYI SQUARE II, AWKA SOUTH, ANAMBRA</c:v>
                  </c:pt>
                  <c:pt idx="10">
                    <c:v>AKABO HALL I, NNEWI SOUTH, ANAMBRA</c:v>
                  </c:pt>
                </c:lvl>
                <c:lvl>
                  <c:pt idx="0">
                    <c:v>21</c:v>
                  </c:pt>
                  <c:pt idx="2">
                    <c:v>22</c:v>
                  </c:pt>
                  <c:pt idx="4">
                    <c:v>36</c:v>
                  </c:pt>
                  <c:pt idx="5">
                    <c:v>43</c:v>
                  </c:pt>
                  <c:pt idx="6">
                    <c:v>85</c:v>
                  </c:pt>
                  <c:pt idx="7">
                    <c:v>99</c:v>
                  </c:pt>
                  <c:pt idx="8">
                    <c:v>148</c:v>
                  </c:pt>
                  <c:pt idx="9">
                    <c:v>228</c:v>
                  </c:pt>
                  <c:pt idx="10">
                    <c:v>350</c:v>
                  </c:pt>
                </c:lvl>
              </c:multiLvlStrCache>
            </c:multiLvlStrRef>
          </c:cat>
          <c:val>
            <c:numRef>
              <c:f>'PIVOT TABLE'!$D$6:$D$26</c:f>
              <c:numCache>
                <c:formatCode>General</c:formatCode>
                <c:ptCount val="11"/>
                <c:pt idx="0">
                  <c:v>2.0169524635144098</c:v>
                </c:pt>
                <c:pt idx="1">
                  <c:v>2.0169524635144098</c:v>
                </c:pt>
                <c:pt idx="2">
                  <c:v>2.0751907774848299</c:v>
                </c:pt>
                <c:pt idx="3">
                  <c:v>2.0751907774848299</c:v>
                </c:pt>
                <c:pt idx="4">
                  <c:v>2.1538055186444698</c:v>
                </c:pt>
                <c:pt idx="5">
                  <c:v>2.26222704413042</c:v>
                </c:pt>
                <c:pt idx="6">
                  <c:v>2.6524717552515198</c:v>
                </c:pt>
                <c:pt idx="7">
                  <c:v>3.1055293565934798</c:v>
                </c:pt>
                <c:pt idx="8">
                  <c:v>3.9387001197710001</c:v>
                </c:pt>
                <c:pt idx="9">
                  <c:v>5.4319743268350402</c:v>
                </c:pt>
                <c:pt idx="10">
                  <c:v>7.9103703032613497</c:v>
                </c:pt>
              </c:numCache>
            </c:numRef>
          </c:val>
          <c:extLst>
            <c:ext xmlns:c16="http://schemas.microsoft.com/office/drawing/2014/chart" uri="{C3380CC4-5D6E-409C-BE32-E72D297353CC}">
              <c16:uniqueId val="{00000006-0B67-4379-ABE7-4084E739EEE9}"/>
            </c:ext>
          </c:extLst>
        </c:ser>
        <c:dLbls>
          <c:dLblPos val="outEnd"/>
          <c:showLegendKey val="0"/>
          <c:showVal val="1"/>
          <c:showCatName val="0"/>
          <c:showSerName val="0"/>
          <c:showPercent val="0"/>
          <c:showBubbleSize val="0"/>
        </c:dLbls>
        <c:gapWidth val="219"/>
        <c:axId val="978900703"/>
        <c:axId val="978899455"/>
      </c:barChart>
      <c:catAx>
        <c:axId val="978900703"/>
        <c:scaling>
          <c:orientation val="minMax"/>
        </c:scaling>
        <c:delete val="0"/>
        <c:axPos val="l"/>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sz="600" b="1" baseline="0"/>
                  <a:t>APC SCORE  per polling Unit </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978899455"/>
        <c:crosses val="autoZero"/>
        <c:auto val="1"/>
        <c:lblAlgn val="ctr"/>
        <c:lblOffset val="100"/>
        <c:noMultiLvlLbl val="0"/>
      </c:catAx>
      <c:valAx>
        <c:axId val="978899455"/>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600" b="1" baseline="0"/>
                  <a:t>Outlier Score(Standard Deviation)</a:t>
                </a:r>
              </a:p>
            </c:rich>
          </c:tx>
          <c:layout>
            <c:manualLayout>
              <c:xMode val="edge"/>
              <c:yMode val="edge"/>
              <c:x val="0.61863298337707784"/>
              <c:y val="0.91288791106993994"/>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9789007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[Anambra Complete.xls]PIVOT TABLE!PivotTable4</c:name>
    <c:fmtId val="-1"/>
  </c:pivotSource>
  <c:chart>
    <c:title>
      <c:tx>
        <c:rich>
          <a:bodyPr rot="0" spcFirstLastPara="1" vertOverflow="ellipsis" vert="horz" wrap="square" anchor="ctr" anchorCtr="1"/>
          <a:lstStyle/>
          <a:p>
            <a:pPr>
              <a:defRPr sz="800" b="1" i="0" u="none" strike="noStrike" kern="1200" spc="0" baseline="0">
                <a:solidFill>
                  <a:schemeClr val="tx1">
                    <a:lumMod val="65000"/>
                    <a:lumOff val="35000"/>
                  </a:schemeClr>
                </a:solidFill>
                <a:latin typeface="+mn-lt"/>
                <a:ea typeface="+mn-ea"/>
                <a:cs typeface="+mn-cs"/>
              </a:defRPr>
            </a:pPr>
            <a:r>
              <a:rPr lang="en-US" sz="800" b="1" i="0" baseline="0"/>
              <a:t>PDP OUTLIER SCORE</a:t>
            </a:r>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rgbClr val="FF0000"/>
          </a:solidFill>
          <a:ln>
            <a:noFill/>
          </a:ln>
          <a:effectLst/>
        </c:spPr>
      </c:pivotFmt>
      <c:pivotFmt>
        <c:idx val="2"/>
        <c:spPr>
          <a:solidFill>
            <a:srgbClr val="FF0000"/>
          </a:solidFill>
          <a:ln>
            <a:noFill/>
          </a:ln>
          <a:effectLst/>
        </c:spPr>
      </c:pivotFmt>
      <c:pivotFmt>
        <c:idx val="3"/>
        <c:spPr>
          <a:solidFill>
            <a:srgbClr val="FF0000"/>
          </a:solidFill>
          <a:ln>
            <a:noFill/>
          </a:ln>
          <a:effectLst/>
        </c:spPr>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rgbClr val="FF0000"/>
          </a:solidFill>
          <a:ln>
            <a:noFill/>
          </a:ln>
          <a:effectLst/>
        </c:spPr>
      </c:pivotFmt>
      <c:pivotFmt>
        <c:idx val="6"/>
        <c:spPr>
          <a:solidFill>
            <a:srgbClr val="FF0000"/>
          </a:solidFill>
          <a:ln>
            <a:noFill/>
          </a:ln>
          <a:effectLst/>
        </c:spPr>
      </c:pivotFmt>
      <c:pivotFmt>
        <c:idx val="7"/>
        <c:spPr>
          <a:solidFill>
            <a:srgbClr val="FF0000"/>
          </a:solidFill>
          <a:ln>
            <a:noFill/>
          </a:ln>
          <a:effectLst/>
        </c:spPr>
      </c:pivotFmt>
      <c:pivotFmt>
        <c:idx val="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
        <c:spPr>
          <a:solidFill>
            <a:srgbClr val="FF0000"/>
          </a:solidFill>
          <a:ln>
            <a:noFill/>
          </a:ln>
          <a:effectLst/>
        </c:spPr>
      </c:pivotFmt>
      <c:pivotFmt>
        <c:idx val="10"/>
        <c:spPr>
          <a:solidFill>
            <a:srgbClr val="FF0000"/>
          </a:solidFill>
          <a:ln>
            <a:noFill/>
          </a:ln>
          <a:effectLst/>
        </c:spPr>
      </c:pivotFmt>
      <c:pivotFmt>
        <c:idx val="11"/>
        <c:spPr>
          <a:solidFill>
            <a:srgbClr val="FF0000"/>
          </a:solidFill>
          <a:ln>
            <a:noFill/>
          </a:ln>
          <a:effectLst/>
        </c:spPr>
      </c:pivotFmt>
      <c:pivotFmt>
        <c:idx val="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
        <c:spPr>
          <a:solidFill>
            <a:srgbClr val="0070C0"/>
          </a:solidFill>
          <a:ln>
            <a:noFill/>
          </a:ln>
          <a:effectLst/>
        </c:spPr>
      </c:pivotFmt>
      <c:pivotFmt>
        <c:idx val="14"/>
        <c:spPr>
          <a:solidFill>
            <a:srgbClr val="0070C0"/>
          </a:solidFill>
          <a:ln>
            <a:noFill/>
          </a:ln>
          <a:effectLst/>
        </c:spPr>
      </c:pivotFmt>
      <c:pivotFmt>
        <c:idx val="15"/>
        <c:spPr>
          <a:solidFill>
            <a:srgbClr val="0070C0"/>
          </a:solidFill>
          <a:ln>
            <a:noFill/>
          </a:ln>
          <a:effectLst/>
        </c:spPr>
      </c:pivotFmt>
      <c:pivotFmt>
        <c:idx val="16"/>
        <c:spPr>
          <a:solidFill>
            <a:srgbClr val="FF0000"/>
          </a:solidFill>
          <a:ln>
            <a:noFill/>
          </a:ln>
          <a:effectLst/>
        </c:spPr>
      </c:pivotFmt>
      <c:pivotFmt>
        <c:idx val="17"/>
        <c:spPr>
          <a:solidFill>
            <a:srgbClr val="FF0000"/>
          </a:solidFill>
          <a:ln>
            <a:noFill/>
          </a:ln>
          <a:effectLst/>
        </c:spPr>
      </c:pivotFmt>
      <c:pivotFmt>
        <c:idx val="18"/>
        <c:spPr>
          <a:solidFill>
            <a:srgbClr val="FF0000"/>
          </a:solidFill>
          <a:ln>
            <a:noFill/>
          </a:ln>
          <a:effectLst/>
        </c:spPr>
      </c:pivotFmt>
      <c:pivotFmt>
        <c:idx val="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
        <c:spPr>
          <a:solidFill>
            <a:srgbClr val="0070C0"/>
          </a:solidFill>
          <a:ln>
            <a:noFill/>
          </a:ln>
          <a:effectLst/>
        </c:spPr>
      </c:pivotFmt>
      <c:pivotFmt>
        <c:idx val="21"/>
        <c:spPr>
          <a:solidFill>
            <a:srgbClr val="0070C0"/>
          </a:solidFill>
          <a:ln>
            <a:noFill/>
          </a:ln>
          <a:effectLst/>
        </c:spPr>
      </c:pivotFmt>
      <c:pivotFmt>
        <c:idx val="22"/>
        <c:spPr>
          <a:solidFill>
            <a:srgbClr val="0070C0"/>
          </a:solidFill>
          <a:ln>
            <a:noFill/>
          </a:ln>
          <a:effectLst/>
        </c:spPr>
      </c:pivotFmt>
      <c:pivotFmt>
        <c:idx val="23"/>
        <c:spPr>
          <a:solidFill>
            <a:srgbClr val="FF0000"/>
          </a:solidFill>
          <a:ln>
            <a:noFill/>
          </a:ln>
          <a:effectLst/>
        </c:spPr>
      </c:pivotFmt>
      <c:pivotFmt>
        <c:idx val="24"/>
        <c:spPr>
          <a:solidFill>
            <a:srgbClr val="FF0000"/>
          </a:solidFill>
          <a:ln>
            <a:noFill/>
          </a:ln>
          <a:effectLst/>
        </c:spPr>
      </c:pivotFmt>
      <c:pivotFmt>
        <c:idx val="25"/>
        <c:spPr>
          <a:solidFill>
            <a:srgbClr val="FF0000"/>
          </a:solidFill>
          <a:ln>
            <a:noFill/>
          </a:ln>
          <a:effectLst/>
        </c:spPr>
      </c:pivotFmt>
      <c:pivotFmt>
        <c:idx val="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
        <c:spPr>
          <a:solidFill>
            <a:srgbClr val="0070C0"/>
          </a:solidFill>
          <a:ln>
            <a:noFill/>
          </a:ln>
          <a:effectLst/>
        </c:spPr>
      </c:pivotFmt>
      <c:pivotFmt>
        <c:idx val="28"/>
        <c:spPr>
          <a:solidFill>
            <a:srgbClr val="0070C0"/>
          </a:solidFill>
          <a:ln>
            <a:noFill/>
          </a:ln>
          <a:effectLst/>
        </c:spPr>
      </c:pivotFmt>
      <c:pivotFmt>
        <c:idx val="29"/>
        <c:spPr>
          <a:solidFill>
            <a:srgbClr val="0070C0"/>
          </a:solidFill>
          <a:ln>
            <a:noFill/>
          </a:ln>
          <a:effectLst/>
        </c:spPr>
      </c:pivotFmt>
      <c:pivotFmt>
        <c:idx val="30"/>
        <c:spPr>
          <a:solidFill>
            <a:srgbClr val="FF0000"/>
          </a:solidFill>
          <a:ln>
            <a:noFill/>
          </a:ln>
          <a:effectLst/>
        </c:spPr>
      </c:pivotFmt>
      <c:pivotFmt>
        <c:idx val="31"/>
        <c:spPr>
          <a:solidFill>
            <a:srgbClr val="FF0000"/>
          </a:solidFill>
          <a:ln>
            <a:noFill/>
          </a:ln>
          <a:effectLst/>
        </c:spPr>
      </c:pivotFmt>
      <c:pivotFmt>
        <c:idx val="32"/>
        <c:spPr>
          <a:solidFill>
            <a:srgbClr val="FF0000"/>
          </a:solidFill>
          <a:ln>
            <a:noFill/>
          </a:ln>
          <a:effectLst/>
        </c:spPr>
      </c:pivotFmt>
      <c:pivotFmt>
        <c:idx val="3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
        <c:spPr>
          <a:solidFill>
            <a:srgbClr val="0070C0"/>
          </a:solidFill>
          <a:ln>
            <a:noFill/>
          </a:ln>
          <a:effectLst/>
        </c:spPr>
      </c:pivotFmt>
      <c:pivotFmt>
        <c:idx val="35"/>
        <c:spPr>
          <a:solidFill>
            <a:srgbClr val="0070C0"/>
          </a:solidFill>
          <a:ln>
            <a:noFill/>
          </a:ln>
          <a:effectLst/>
        </c:spPr>
      </c:pivotFmt>
      <c:pivotFmt>
        <c:idx val="36"/>
        <c:spPr>
          <a:solidFill>
            <a:srgbClr val="0070C0"/>
          </a:solidFill>
          <a:ln>
            <a:noFill/>
          </a:ln>
          <a:effectLst/>
        </c:spPr>
      </c:pivotFmt>
      <c:pivotFmt>
        <c:idx val="37"/>
        <c:spPr>
          <a:solidFill>
            <a:srgbClr val="FF0000"/>
          </a:solidFill>
          <a:ln>
            <a:noFill/>
          </a:ln>
          <a:effectLst/>
        </c:spPr>
      </c:pivotFmt>
      <c:pivotFmt>
        <c:idx val="38"/>
        <c:spPr>
          <a:solidFill>
            <a:srgbClr val="FF0000"/>
          </a:solidFill>
          <a:ln>
            <a:noFill/>
          </a:ln>
          <a:effectLst/>
        </c:spPr>
      </c:pivotFmt>
      <c:pivotFmt>
        <c:idx val="39"/>
        <c:spPr>
          <a:solidFill>
            <a:srgbClr val="FF0000"/>
          </a:solidFill>
          <a:ln>
            <a:noFill/>
          </a:ln>
          <a:effectLst/>
        </c:spPr>
      </c:pivotFmt>
      <c:pivotFmt>
        <c:idx val="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1"/>
        <c:spPr>
          <a:solidFill>
            <a:srgbClr val="0070C0"/>
          </a:solidFill>
          <a:ln>
            <a:noFill/>
          </a:ln>
          <a:effectLst/>
        </c:spPr>
      </c:pivotFmt>
      <c:pivotFmt>
        <c:idx val="42"/>
        <c:spPr>
          <a:solidFill>
            <a:srgbClr val="0070C0"/>
          </a:solidFill>
          <a:ln>
            <a:noFill/>
          </a:ln>
          <a:effectLst/>
        </c:spPr>
      </c:pivotFmt>
      <c:pivotFmt>
        <c:idx val="43"/>
        <c:spPr>
          <a:solidFill>
            <a:srgbClr val="0070C0"/>
          </a:solidFill>
          <a:ln>
            <a:noFill/>
          </a:ln>
          <a:effectLst/>
        </c:spPr>
      </c:pivotFmt>
      <c:pivotFmt>
        <c:idx val="44"/>
        <c:spPr>
          <a:solidFill>
            <a:srgbClr val="FF0000"/>
          </a:solidFill>
          <a:ln>
            <a:noFill/>
          </a:ln>
          <a:effectLst/>
        </c:spPr>
      </c:pivotFmt>
      <c:pivotFmt>
        <c:idx val="45"/>
        <c:spPr>
          <a:solidFill>
            <a:srgbClr val="FF0000"/>
          </a:solidFill>
          <a:ln>
            <a:noFill/>
          </a:ln>
          <a:effectLst/>
        </c:spPr>
      </c:pivotFmt>
      <c:pivotFmt>
        <c:idx val="46"/>
        <c:spPr>
          <a:solidFill>
            <a:srgbClr val="FF0000"/>
          </a:solidFill>
          <a:ln>
            <a:noFill/>
          </a:ln>
          <a:effectLst/>
        </c:spPr>
      </c:pivotFmt>
    </c:pivotFmts>
    <c:plotArea>
      <c:layout/>
      <c:barChart>
        <c:barDir val="bar"/>
        <c:grouping val="clustered"/>
        <c:varyColors val="0"/>
        <c:ser>
          <c:idx val="0"/>
          <c:order val="0"/>
          <c:tx>
            <c:strRef>
              <c:f>'PIVOT TABLE'!$E$35:$E$36</c:f>
              <c:strCache>
                <c:ptCount val="1"/>
                <c:pt idx="0">
                  <c:v>Total</c:v>
                </c:pt>
              </c:strCache>
            </c:strRef>
          </c:tx>
          <c:spPr>
            <a:solidFill>
              <a:schemeClr val="accent1"/>
            </a:solidFill>
            <a:ln>
              <a:noFill/>
            </a:ln>
            <a:effectLst/>
          </c:spPr>
          <c:invertIfNegative val="0"/>
          <c:dPt>
            <c:idx val="1"/>
            <c:invertIfNegative val="0"/>
            <c:bubble3D val="0"/>
            <c:spPr>
              <a:solidFill>
                <a:srgbClr val="0070C0"/>
              </a:solidFill>
              <a:ln>
                <a:noFill/>
              </a:ln>
              <a:effectLst/>
            </c:spPr>
            <c:extLst>
              <c:ext xmlns:c16="http://schemas.microsoft.com/office/drawing/2014/chart" uri="{C3380CC4-5D6E-409C-BE32-E72D297353CC}">
                <c16:uniqueId val="{00000001-E797-43BD-94CE-B021E8F96D3B}"/>
              </c:ext>
            </c:extLst>
          </c:dPt>
          <c:dPt>
            <c:idx val="2"/>
            <c:invertIfNegative val="0"/>
            <c:bubble3D val="0"/>
            <c:spPr>
              <a:solidFill>
                <a:srgbClr val="0070C0"/>
              </a:solidFill>
              <a:ln>
                <a:noFill/>
              </a:ln>
              <a:effectLst/>
            </c:spPr>
            <c:extLst>
              <c:ext xmlns:c16="http://schemas.microsoft.com/office/drawing/2014/chart" uri="{C3380CC4-5D6E-409C-BE32-E72D297353CC}">
                <c16:uniqueId val="{00000003-E797-43BD-94CE-B021E8F96D3B}"/>
              </c:ext>
            </c:extLst>
          </c:dPt>
          <c:dPt>
            <c:idx val="3"/>
            <c:invertIfNegative val="0"/>
            <c:bubble3D val="0"/>
            <c:spPr>
              <a:solidFill>
                <a:srgbClr val="0070C0"/>
              </a:solidFill>
              <a:ln>
                <a:noFill/>
              </a:ln>
              <a:effectLst/>
            </c:spPr>
            <c:extLst>
              <c:ext xmlns:c16="http://schemas.microsoft.com/office/drawing/2014/chart" uri="{C3380CC4-5D6E-409C-BE32-E72D297353CC}">
                <c16:uniqueId val="{00000005-E797-43BD-94CE-B021E8F96D3B}"/>
              </c:ext>
            </c:extLst>
          </c:dPt>
          <c:dPt>
            <c:idx val="8"/>
            <c:invertIfNegative val="0"/>
            <c:bubble3D val="0"/>
            <c:spPr>
              <a:solidFill>
                <a:srgbClr val="FF0000"/>
              </a:solidFill>
              <a:ln>
                <a:noFill/>
              </a:ln>
              <a:effectLst/>
            </c:spPr>
            <c:extLst>
              <c:ext xmlns:c16="http://schemas.microsoft.com/office/drawing/2014/chart" uri="{C3380CC4-5D6E-409C-BE32-E72D297353CC}">
                <c16:uniqueId val="{00000007-E797-43BD-94CE-B021E8F96D3B}"/>
              </c:ext>
            </c:extLst>
          </c:dPt>
          <c:dPt>
            <c:idx val="9"/>
            <c:invertIfNegative val="0"/>
            <c:bubble3D val="0"/>
            <c:spPr>
              <a:solidFill>
                <a:srgbClr val="FF0000"/>
              </a:solidFill>
              <a:ln>
                <a:noFill/>
              </a:ln>
              <a:effectLst/>
            </c:spPr>
            <c:extLst>
              <c:ext xmlns:c16="http://schemas.microsoft.com/office/drawing/2014/chart" uri="{C3380CC4-5D6E-409C-BE32-E72D297353CC}">
                <c16:uniqueId val="{00000009-E797-43BD-94CE-B021E8F96D3B}"/>
              </c:ext>
            </c:extLst>
          </c:dPt>
          <c:dPt>
            <c:idx val="10"/>
            <c:invertIfNegative val="0"/>
            <c:bubble3D val="0"/>
            <c:spPr>
              <a:solidFill>
                <a:srgbClr val="FF0000"/>
              </a:solidFill>
              <a:ln>
                <a:noFill/>
              </a:ln>
              <a:effectLst/>
            </c:spPr>
            <c:extLst>
              <c:ext xmlns:c16="http://schemas.microsoft.com/office/drawing/2014/chart" uri="{C3380CC4-5D6E-409C-BE32-E72D297353CC}">
                <c16:uniqueId val="{0000000B-E797-43BD-94CE-B021E8F96D3B}"/>
              </c:ext>
            </c:extLst>
          </c:dPt>
          <c:dLbls>
            <c:spPr>
              <a:noFill/>
              <a:ln>
                <a:noFill/>
              </a:ln>
              <a:effectLst/>
            </c:spPr>
            <c:txPr>
              <a:bodyPr wrap="square" lIns="38100" tIns="19050" rIns="38100" bIns="19050" anchor="ctr">
                <a:spAutoFit/>
              </a:bodyPr>
              <a:lstStyle/>
              <a:p>
                <a:pPr>
                  <a:defRPr sz="400" baseline="0"/>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multiLvlStrRef>
              <c:f>'PIVOT TABLE'!$C$37:$D$58</c:f>
              <c:multiLvlStrCache>
                <c:ptCount val="11"/>
                <c:lvl>
                  <c:pt idx="0">
                    <c:v>AGUAYO IFITE II, ORUMBA NORTH, ANAMBRA</c:v>
                  </c:pt>
                  <c:pt idx="1">
                    <c:v>R.V. UMUEZE I, AGUATA, ANAMBRA</c:v>
                  </c:pt>
                  <c:pt idx="2">
                    <c:v>AFOR MARKET SQUARE III, AWKA SOUTH, ANAMBRA</c:v>
                  </c:pt>
                  <c:pt idx="3">
                    <c:v>OKWUTE HALL II, AGUATA, ANAMBRA</c:v>
                  </c:pt>
                  <c:pt idx="4">
                    <c:v>OTIOGBATA HALL I, AGUATA, ANAMBRA</c:v>
                  </c:pt>
                  <c:pt idx="5">
                    <c:v>AFOR MARKET SQUARE II, AWKA SOUTH, ANAMBRA</c:v>
                  </c:pt>
                  <c:pt idx="6">
                    <c:v>AMA-OKPOGBA, ANAMBRA EAST, ANAMBRA</c:v>
                  </c:pt>
                  <c:pt idx="7">
                    <c:v>OKAA AGBILIGBA HALL, ORUMBA NORTH, ANAMBRA</c:v>
                  </c:pt>
                  <c:pt idx="8">
                    <c:v>AMAUDO UMUOWELE, AGUATA, ANAMBRA</c:v>
                  </c:pt>
                  <c:pt idx="9">
                    <c:v>PIONEER PRY. SCHOOL III, ONITSHA -SOUTH, ANAMBRA</c:v>
                  </c:pt>
                  <c:pt idx="10">
                    <c:v>AMAMKPU V HALL, AWKA NORTH, ANAMBRA</c:v>
                  </c:pt>
                </c:lvl>
                <c:lvl>
                  <c:pt idx="0">
                    <c:v>59</c:v>
                  </c:pt>
                  <c:pt idx="1">
                    <c:v>66</c:v>
                  </c:pt>
                  <c:pt idx="2">
                    <c:v>69</c:v>
                  </c:pt>
                  <c:pt idx="3">
                    <c:v>77</c:v>
                  </c:pt>
                  <c:pt idx="5">
                    <c:v>78</c:v>
                  </c:pt>
                  <c:pt idx="6">
                    <c:v>107</c:v>
                  </c:pt>
                  <c:pt idx="7">
                    <c:v>198</c:v>
                  </c:pt>
                  <c:pt idx="8">
                    <c:v>199</c:v>
                  </c:pt>
                  <c:pt idx="9">
                    <c:v>291</c:v>
                  </c:pt>
                  <c:pt idx="10">
                    <c:v>465</c:v>
                  </c:pt>
                </c:lvl>
              </c:multiLvlStrCache>
            </c:multiLvlStrRef>
          </c:cat>
          <c:val>
            <c:numRef>
              <c:f>'PIVOT TABLE'!$E$37:$E$58</c:f>
              <c:numCache>
                <c:formatCode>General</c:formatCode>
                <c:ptCount val="11"/>
                <c:pt idx="0">
                  <c:v>4.5596757062751498</c:v>
                </c:pt>
                <c:pt idx="1">
                  <c:v>4.6799413367352498</c:v>
                </c:pt>
                <c:pt idx="2">
                  <c:v>4.8082127247767001</c:v>
                </c:pt>
                <c:pt idx="3">
                  <c:v>5.1154012075904003</c:v>
                </c:pt>
                <c:pt idx="4">
                  <c:v>5.1154012075904003</c:v>
                </c:pt>
                <c:pt idx="5">
                  <c:v>5.2659391914160398</c:v>
                </c:pt>
                <c:pt idx="6">
                  <c:v>5.5424113302147999</c:v>
                </c:pt>
                <c:pt idx="7">
                  <c:v>6.4147867246373602</c:v>
                </c:pt>
                <c:pt idx="8">
                  <c:v>7.1886088883489698</c:v>
                </c:pt>
                <c:pt idx="9">
                  <c:v>8.6219121755807002</c:v>
                </c:pt>
                <c:pt idx="10">
                  <c:v>11.511425653526</c:v>
                </c:pt>
              </c:numCache>
            </c:numRef>
          </c:val>
          <c:extLst>
            <c:ext xmlns:c16="http://schemas.microsoft.com/office/drawing/2014/chart" uri="{C3380CC4-5D6E-409C-BE32-E72D297353CC}">
              <c16:uniqueId val="{0000000C-E797-43BD-94CE-B021E8F96D3B}"/>
            </c:ext>
          </c:extLst>
        </c:ser>
        <c:dLbls>
          <c:dLblPos val="outEnd"/>
          <c:showLegendKey val="0"/>
          <c:showVal val="1"/>
          <c:showCatName val="0"/>
          <c:showSerName val="0"/>
          <c:showPercent val="0"/>
          <c:showBubbleSize val="0"/>
        </c:dLbls>
        <c:gapWidth val="182"/>
        <c:axId val="1193416431"/>
        <c:axId val="1193415599"/>
      </c:barChart>
      <c:catAx>
        <c:axId val="1193416431"/>
        <c:scaling>
          <c:orientation val="minMax"/>
        </c:scaling>
        <c:delete val="0"/>
        <c:axPos val="l"/>
        <c:title>
          <c:tx>
            <c:rich>
              <a:bodyPr rot="-540000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r>
                  <a:rPr lang="en-US" sz="600" b="1" baseline="0"/>
                  <a:t>PDP Score per Polling Unit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193415599"/>
        <c:crosses val="autoZero"/>
        <c:auto val="1"/>
        <c:lblAlgn val="ctr"/>
        <c:lblOffset val="100"/>
        <c:noMultiLvlLbl val="0"/>
      </c:catAx>
      <c:valAx>
        <c:axId val="1193415599"/>
        <c:scaling>
          <c:orientation val="minMax"/>
        </c:scaling>
        <c:delete val="0"/>
        <c:axPos val="b"/>
        <c:title>
          <c:tx>
            <c:rich>
              <a:bodyPr rot="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r>
                  <a:rPr lang="en-US" sz="600" b="1" baseline="0"/>
                  <a:t>Outlier Score (Standard Deviation)</a:t>
                </a:r>
              </a:p>
            </c:rich>
          </c:tx>
          <c:layout>
            <c:manualLayout>
              <c:xMode val="edge"/>
              <c:yMode val="edge"/>
              <c:x val="0.57890064523184603"/>
              <c:y val="0.9083953047535724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193416431"/>
        <c:crosses val="autoZero"/>
        <c:crossBetween val="between"/>
      </c:valAx>
    </c:plotArea>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[Anambra Complete.xls]PIVOT TABLE!PivotTable5</c:name>
    <c:fmtId val="-1"/>
  </c:pivotSource>
  <c:chart>
    <c:title>
      <c:tx>
        <c:rich>
          <a:bodyPr rot="0" spcFirstLastPara="1" vertOverflow="ellipsis" vert="horz" wrap="square" anchor="ctr" anchorCtr="1"/>
          <a:lstStyle/>
          <a:p>
            <a:pPr>
              <a:defRPr sz="800" b="1" i="0" u="none" strike="noStrike" kern="1200" spc="0" baseline="0">
                <a:solidFill>
                  <a:schemeClr val="tx1">
                    <a:lumMod val="65000"/>
                    <a:lumOff val="35000"/>
                  </a:schemeClr>
                </a:solidFill>
                <a:latin typeface="+mn-lt"/>
                <a:ea typeface="+mn-ea"/>
                <a:cs typeface="+mn-cs"/>
              </a:defRPr>
            </a:pPr>
            <a:r>
              <a:rPr lang="en-US" sz="800" b="1" baseline="0"/>
              <a:t>NNPP OUTLIER SCORE</a:t>
            </a:r>
          </a:p>
        </c:rich>
      </c:tx>
      <c:overlay val="0"/>
      <c:spPr>
        <a:noFill/>
        <a:ln>
          <a:noFill/>
        </a:ln>
        <a:effectLst/>
      </c:spPr>
      <c:txPr>
        <a:bodyPr rot="0" spcFirstLastPara="1" vertOverflow="ellipsis" vert="horz" wrap="square" anchor="ctr" anchorCtr="1"/>
        <a:lstStyle/>
        <a:p>
          <a:pPr>
            <a:defRPr sz="8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pivotFmt>
      <c:pivotFmt>
        <c:idx val="2"/>
        <c:spPr>
          <a:solidFill>
            <a:srgbClr val="FF0000"/>
          </a:solidFill>
          <a:ln>
            <a:noFill/>
          </a:ln>
          <a:effectLst/>
        </c:spPr>
      </c:pivotFmt>
      <c:pivotFmt>
        <c:idx val="3"/>
        <c:spPr>
          <a:solidFill>
            <a:srgbClr val="FF0000"/>
          </a:solidFill>
          <a:ln>
            <a:noFill/>
          </a:ln>
          <a:effectLst/>
        </c:spP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0000"/>
          </a:solidFill>
          <a:ln>
            <a:noFill/>
          </a:ln>
          <a:effectLst/>
        </c:spPr>
      </c:pivotFmt>
      <c:pivotFmt>
        <c:idx val="6"/>
        <c:spPr>
          <a:solidFill>
            <a:srgbClr val="FF0000"/>
          </a:solidFill>
          <a:ln>
            <a:noFill/>
          </a:ln>
          <a:effectLst/>
        </c:spPr>
      </c:pivotFmt>
      <c:pivotFmt>
        <c:idx val="7"/>
        <c:spPr>
          <a:solidFill>
            <a:srgbClr val="FF0000"/>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pivotFmt>
      <c:pivotFmt>
        <c:idx val="10"/>
        <c:spPr>
          <a:solidFill>
            <a:srgbClr val="FF0000"/>
          </a:solidFill>
          <a:ln>
            <a:noFill/>
          </a:ln>
          <a:effectLst/>
        </c:spPr>
      </c:pivotFmt>
      <c:pivotFmt>
        <c:idx val="11"/>
        <c:spPr>
          <a:solidFill>
            <a:srgbClr val="FF0000"/>
          </a:solidFill>
          <a:ln>
            <a:noFill/>
          </a:ln>
          <a:effectLst/>
        </c:spPr>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FF0000"/>
          </a:solidFill>
          <a:ln>
            <a:noFill/>
          </a:ln>
          <a:effectLst/>
        </c:spPr>
      </c:pivotFmt>
      <c:pivotFmt>
        <c:idx val="14"/>
        <c:spPr>
          <a:solidFill>
            <a:srgbClr val="FF0000"/>
          </a:solidFill>
          <a:ln>
            <a:noFill/>
          </a:ln>
          <a:effectLst/>
        </c:spPr>
      </c:pivotFmt>
      <c:pivotFmt>
        <c:idx val="15"/>
        <c:spPr>
          <a:solidFill>
            <a:srgbClr val="FF0000"/>
          </a:solidFill>
          <a:ln>
            <a:noFill/>
          </a:ln>
          <a:effectLst/>
        </c:spPr>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rgbClr val="FF0000"/>
          </a:solidFill>
          <a:ln>
            <a:noFill/>
          </a:ln>
          <a:effectLst/>
        </c:spPr>
      </c:pivotFmt>
      <c:pivotFmt>
        <c:idx val="18"/>
        <c:spPr>
          <a:solidFill>
            <a:srgbClr val="FF0000"/>
          </a:solidFill>
          <a:ln>
            <a:noFill/>
          </a:ln>
          <a:effectLst/>
        </c:spPr>
      </c:pivotFmt>
      <c:pivotFmt>
        <c:idx val="19"/>
        <c:spPr>
          <a:solidFill>
            <a:srgbClr val="FF0000"/>
          </a:solidFill>
          <a:ln>
            <a:noFill/>
          </a:ln>
          <a:effectLst/>
        </c:spPr>
      </c:pivotFmt>
    </c:pivotFmts>
    <c:plotArea>
      <c:layout/>
      <c:barChart>
        <c:barDir val="bar"/>
        <c:grouping val="clustered"/>
        <c:varyColors val="0"/>
        <c:ser>
          <c:idx val="0"/>
          <c:order val="0"/>
          <c:tx>
            <c:strRef>
              <c:f>'PIVOT TABLE'!$C$61:$C$62</c:f>
              <c:strCache>
                <c:ptCount val="1"/>
                <c:pt idx="0">
                  <c:v>Total</c:v>
                </c:pt>
              </c:strCache>
            </c:strRef>
          </c:tx>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CEEC-4888-8818-2E94641765C1}"/>
              </c:ext>
            </c:extLst>
          </c:dPt>
          <c:dPt>
            <c:idx val="2"/>
            <c:invertIfNegative val="0"/>
            <c:bubble3D val="0"/>
            <c:spPr>
              <a:solidFill>
                <a:srgbClr val="FF0000"/>
              </a:solidFill>
              <a:ln>
                <a:noFill/>
              </a:ln>
              <a:effectLst/>
            </c:spPr>
            <c:extLst>
              <c:ext xmlns:c16="http://schemas.microsoft.com/office/drawing/2014/chart" uri="{C3380CC4-5D6E-409C-BE32-E72D297353CC}">
                <c16:uniqueId val="{00000003-CEEC-4888-8818-2E94641765C1}"/>
              </c:ext>
            </c:extLst>
          </c:dPt>
          <c:dPt>
            <c:idx val="3"/>
            <c:invertIfNegative val="0"/>
            <c:bubble3D val="0"/>
            <c:spPr>
              <a:solidFill>
                <a:srgbClr val="FF0000"/>
              </a:solidFill>
              <a:ln>
                <a:noFill/>
              </a:ln>
              <a:effectLst/>
            </c:spPr>
            <c:extLst>
              <c:ext xmlns:c16="http://schemas.microsoft.com/office/drawing/2014/chart" uri="{C3380CC4-5D6E-409C-BE32-E72D297353CC}">
                <c16:uniqueId val="{00000005-CEEC-4888-8818-2E94641765C1}"/>
              </c:ext>
            </c:extLst>
          </c:dPt>
          <c:dLbls>
            <c:dLbl>
              <c:idx val="3"/>
              <c:layout>
                <c:manualLayout>
                  <c:x val="0"/>
                  <c:y val="-3.995433789954335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EEC-4888-8818-2E94641765C1}"/>
                </c:ext>
              </c:extLst>
            </c:dLbl>
            <c:spPr>
              <a:noFill/>
              <a:ln>
                <a:noFill/>
              </a:ln>
              <a:effectLst/>
            </c:spPr>
            <c:txPr>
              <a:bodyPr rot="0" spcFirstLastPara="1" vertOverflow="ellipsis" vert="horz" wrap="square" lIns="38100" tIns="19050" rIns="38100" bIns="19050" anchor="ctr" anchorCtr="1">
                <a:spAutoFit/>
              </a:bodyPr>
              <a:lstStyle/>
              <a:p>
                <a:pPr>
                  <a:defRPr sz="4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 TABLE'!$A$63:$B$71</c:f>
              <c:multiLvlStrCache>
                <c:ptCount val="4"/>
                <c:lvl>
                  <c:pt idx="0">
                    <c:v>NDINGBU HALL III, NNEWI NORTH, ANAMBRA</c:v>
                  </c:pt>
                  <c:pt idx="1">
                    <c:v>COMMUNITY PRY. SCHOOL II, ANAOCHA, ANAMBRA</c:v>
                  </c:pt>
                  <c:pt idx="2">
                    <c:v>EKWUEME HALL III, DUNUKOFIA, ANAMBRA</c:v>
                  </c:pt>
                  <c:pt idx="3">
                    <c:v>UMUEZEAGU P/S I, NNEWI NORTH, ANAMBRA</c:v>
                  </c:pt>
                </c:lvl>
                <c:lvl>
                  <c:pt idx="0">
                    <c:v>111</c:v>
                  </c:pt>
                  <c:pt idx="1">
                    <c:v>116</c:v>
                  </c:pt>
                  <c:pt idx="2">
                    <c:v>144</c:v>
                  </c:pt>
                  <c:pt idx="3">
                    <c:v>251</c:v>
                  </c:pt>
                </c:lvl>
              </c:multiLvlStrCache>
            </c:multiLvlStrRef>
          </c:cat>
          <c:val>
            <c:numRef>
              <c:f>'PIVOT TABLE'!$C$63:$C$71</c:f>
              <c:numCache>
                <c:formatCode>General</c:formatCode>
                <c:ptCount val="4"/>
                <c:pt idx="0">
                  <c:v>2.4986630077276102</c:v>
                </c:pt>
                <c:pt idx="1">
                  <c:v>3.1424205663501201</c:v>
                </c:pt>
                <c:pt idx="2">
                  <c:v>3.9338076825249702</c:v>
                </c:pt>
                <c:pt idx="3">
                  <c:v>5.7033815263571102</c:v>
                </c:pt>
              </c:numCache>
            </c:numRef>
          </c:val>
          <c:extLst>
            <c:ext xmlns:c16="http://schemas.microsoft.com/office/drawing/2014/chart" uri="{C3380CC4-5D6E-409C-BE32-E72D297353CC}">
              <c16:uniqueId val="{00000006-CEEC-4888-8818-2E94641765C1}"/>
            </c:ext>
          </c:extLst>
        </c:ser>
        <c:dLbls>
          <c:dLblPos val="outEnd"/>
          <c:showLegendKey val="0"/>
          <c:showVal val="1"/>
          <c:showCatName val="0"/>
          <c:showSerName val="0"/>
          <c:showPercent val="0"/>
          <c:showBubbleSize val="0"/>
        </c:dLbls>
        <c:gapWidth val="182"/>
        <c:axId val="1193416431"/>
        <c:axId val="1193415599"/>
      </c:barChart>
      <c:catAx>
        <c:axId val="1193416431"/>
        <c:scaling>
          <c:orientation val="minMax"/>
        </c:scaling>
        <c:delete val="0"/>
        <c:axPos val="l"/>
        <c:title>
          <c:tx>
            <c:rich>
              <a:bodyPr rot="-540000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r>
                  <a:rPr lang="en-US" sz="600" b="1" baseline="0"/>
                  <a:t>NNPP Score per Polling Unit</a:t>
                </a:r>
              </a:p>
            </c:rich>
          </c:tx>
          <c:overlay val="0"/>
          <c:spPr>
            <a:noFill/>
            <a:ln>
              <a:noFill/>
            </a:ln>
            <a:effectLst/>
          </c:spPr>
          <c:txPr>
            <a:bodyPr rot="-540000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193415599"/>
        <c:crosses val="autoZero"/>
        <c:auto val="1"/>
        <c:lblAlgn val="ctr"/>
        <c:lblOffset val="100"/>
        <c:noMultiLvlLbl val="0"/>
      </c:catAx>
      <c:valAx>
        <c:axId val="1193415599"/>
        <c:scaling>
          <c:orientation val="minMax"/>
        </c:scaling>
        <c:delete val="0"/>
        <c:axPos val="b"/>
        <c:title>
          <c:tx>
            <c:rich>
              <a:bodyPr rot="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r>
                  <a:rPr lang="en-US" sz="600" b="1" baseline="0"/>
                  <a:t>Outlier Score (Standard Deviation)</a:t>
                </a:r>
              </a:p>
            </c:rich>
          </c:tx>
          <c:layout>
            <c:manualLayout>
              <c:xMode val="edge"/>
              <c:yMode val="edge"/>
              <c:x val="0.33398293963254594"/>
              <c:y val="0.91108778069407992"/>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193416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[Anambra Complete.xls]PIVOT TABLE!PivotTable6</c:name>
    <c:fmtId val="-1"/>
  </c:pivotSource>
  <c:chart>
    <c:title>
      <c:tx>
        <c:rich>
          <a:bodyPr rot="0" vert="horz"/>
          <a:lstStyle/>
          <a:p>
            <a:pPr>
              <a:defRPr/>
            </a:pPr>
            <a:r>
              <a:rPr lang="en-US"/>
              <a:t>LP</a:t>
            </a:r>
            <a:r>
              <a:rPr lang="en-US" baseline="0"/>
              <a:t> OUTLIER SCORE</a:t>
            </a:r>
            <a:endParaRPr lang="en-US"/>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rgbClr val="FF0000"/>
          </a:solidFill>
          <a:ln>
            <a:noFill/>
          </a:ln>
          <a:effectLst/>
        </c:spPr>
      </c:pivotFmt>
      <c:pivotFmt>
        <c:idx val="2"/>
        <c:spPr>
          <a:solidFill>
            <a:srgbClr val="FF0000"/>
          </a:solidFill>
          <a:ln>
            <a:noFill/>
          </a:ln>
          <a:effectLst/>
        </c:spPr>
      </c:pivotFmt>
      <c:pivotFmt>
        <c:idx val="3"/>
        <c:spPr>
          <a:solidFill>
            <a:srgbClr val="FF0000"/>
          </a:solidFill>
          <a:ln>
            <a:noFill/>
          </a:ln>
          <a:effectLst/>
        </c:spPr>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rgbClr val="FF0000"/>
          </a:solidFill>
          <a:ln>
            <a:noFill/>
          </a:ln>
          <a:effectLst/>
        </c:spPr>
      </c:pivotFmt>
      <c:pivotFmt>
        <c:idx val="6"/>
        <c:spPr>
          <a:solidFill>
            <a:srgbClr val="FF0000"/>
          </a:solidFill>
          <a:ln>
            <a:noFill/>
          </a:ln>
          <a:effectLst/>
        </c:spPr>
      </c:pivotFmt>
      <c:pivotFmt>
        <c:idx val="7"/>
        <c:spPr>
          <a:solidFill>
            <a:srgbClr val="FF0000"/>
          </a:solidFill>
          <a:ln>
            <a:noFill/>
          </a:ln>
          <a:effectLst/>
        </c:spPr>
      </c:pivotFmt>
      <c:pivotFmt>
        <c:idx val="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
        <c:spPr>
          <a:solidFill>
            <a:srgbClr val="FF0000"/>
          </a:solidFill>
          <a:ln>
            <a:noFill/>
          </a:ln>
          <a:effectLst/>
        </c:spPr>
      </c:pivotFmt>
      <c:pivotFmt>
        <c:idx val="10"/>
        <c:spPr>
          <a:solidFill>
            <a:srgbClr val="FF0000"/>
          </a:solidFill>
          <a:ln>
            <a:noFill/>
          </a:ln>
          <a:effectLst/>
        </c:spPr>
      </c:pivotFmt>
      <c:pivotFmt>
        <c:idx val="11"/>
        <c:spPr>
          <a:solidFill>
            <a:srgbClr val="FF0000"/>
          </a:solidFill>
          <a:ln>
            <a:noFill/>
          </a:ln>
          <a:effectLst/>
        </c:spPr>
      </c:pivotFmt>
      <c:pivotFmt>
        <c:idx val="12"/>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13"/>
        <c:spPr>
          <a:solidFill>
            <a:srgbClr val="0070C0"/>
          </a:solidFill>
          <a:ln>
            <a:noFill/>
          </a:ln>
          <a:effectLst/>
        </c:spPr>
      </c:pivotFmt>
      <c:pivotFmt>
        <c:idx val="14"/>
        <c:spPr>
          <a:solidFill>
            <a:srgbClr val="0070C0"/>
          </a:solidFill>
          <a:ln>
            <a:noFill/>
          </a:ln>
          <a:effectLst/>
        </c:spPr>
      </c:pivotFmt>
      <c:pivotFmt>
        <c:idx val="15"/>
        <c:spPr>
          <a:solidFill>
            <a:srgbClr val="0070C0"/>
          </a:solidFill>
          <a:ln>
            <a:noFill/>
          </a:ln>
          <a:effectLst/>
        </c:spPr>
      </c:pivotFmt>
      <c:pivotFmt>
        <c:idx val="16"/>
        <c:spPr>
          <a:solidFill>
            <a:srgbClr val="FF0000"/>
          </a:solidFill>
          <a:ln>
            <a:noFill/>
          </a:ln>
          <a:effectLst/>
        </c:spPr>
      </c:pivotFmt>
      <c:pivotFmt>
        <c:idx val="17"/>
        <c:spPr>
          <a:solidFill>
            <a:srgbClr val="FF0000"/>
          </a:solidFill>
          <a:ln>
            <a:noFill/>
          </a:ln>
          <a:effectLst/>
        </c:spPr>
      </c:pivotFmt>
      <c:pivotFmt>
        <c:idx val="18"/>
        <c:spPr>
          <a:solidFill>
            <a:srgbClr val="FF0000"/>
          </a:solidFill>
          <a:ln>
            <a:noFill/>
          </a:ln>
          <a:effectLst/>
        </c:spPr>
      </c:pivotFmt>
      <c:pivotFmt>
        <c:idx val="19"/>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20"/>
        <c:spPr>
          <a:solidFill>
            <a:srgbClr val="0070C0"/>
          </a:solidFill>
          <a:ln>
            <a:noFill/>
          </a:ln>
          <a:effectLst/>
        </c:spPr>
      </c:pivotFmt>
      <c:pivotFmt>
        <c:idx val="21"/>
        <c:spPr>
          <a:solidFill>
            <a:srgbClr val="0070C0"/>
          </a:solidFill>
          <a:ln>
            <a:noFill/>
          </a:ln>
          <a:effectLst/>
        </c:spPr>
      </c:pivotFmt>
      <c:pivotFmt>
        <c:idx val="22"/>
        <c:spPr>
          <a:solidFill>
            <a:srgbClr val="0070C0"/>
          </a:solidFill>
          <a:ln>
            <a:noFill/>
          </a:ln>
          <a:effectLst/>
        </c:spPr>
      </c:pivotFmt>
      <c:pivotFmt>
        <c:idx val="23"/>
        <c:spPr>
          <a:solidFill>
            <a:srgbClr val="FF0000"/>
          </a:solidFill>
          <a:ln>
            <a:noFill/>
          </a:ln>
          <a:effectLst/>
        </c:spPr>
      </c:pivotFmt>
      <c:pivotFmt>
        <c:idx val="24"/>
        <c:spPr>
          <a:solidFill>
            <a:srgbClr val="FF0000"/>
          </a:solidFill>
          <a:ln>
            <a:noFill/>
          </a:ln>
          <a:effectLst/>
        </c:spPr>
      </c:pivotFmt>
      <c:pivotFmt>
        <c:idx val="25"/>
        <c:spPr>
          <a:solidFill>
            <a:srgbClr val="FF0000"/>
          </a:solidFill>
          <a:ln>
            <a:noFill/>
          </a:ln>
          <a:effectLst/>
        </c:spPr>
      </c:pivotFmt>
      <c:pivotFmt>
        <c:idx val="26"/>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27"/>
        <c:spPr>
          <a:solidFill>
            <a:srgbClr val="FF0000"/>
          </a:solidFill>
          <a:ln>
            <a:noFill/>
          </a:ln>
          <a:effectLst/>
        </c:spPr>
      </c:pivotFmt>
      <c:pivotFmt>
        <c:idx val="28"/>
        <c:spPr>
          <a:solidFill>
            <a:srgbClr val="FF0000"/>
          </a:solidFill>
          <a:ln>
            <a:noFill/>
          </a:ln>
          <a:effectLst/>
        </c:spPr>
      </c:pivotFmt>
      <c:pivotFmt>
        <c:idx val="29"/>
        <c:spPr>
          <a:solidFill>
            <a:srgbClr val="FF0000"/>
          </a:solidFill>
          <a:ln>
            <a:noFill/>
          </a:ln>
          <a:effectLst/>
        </c:spPr>
      </c:pivotFmt>
      <c:pivotFmt>
        <c:idx val="30"/>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31"/>
        <c:spPr>
          <a:solidFill>
            <a:srgbClr val="FF0000"/>
          </a:solidFill>
          <a:ln>
            <a:noFill/>
          </a:ln>
          <a:effectLst/>
        </c:spPr>
      </c:pivotFmt>
      <c:pivotFmt>
        <c:idx val="32"/>
        <c:spPr>
          <a:solidFill>
            <a:srgbClr val="FF0000"/>
          </a:solidFill>
          <a:ln>
            <a:noFill/>
          </a:ln>
          <a:effectLst/>
        </c:spPr>
      </c:pivotFmt>
      <c:pivotFmt>
        <c:idx val="33"/>
        <c:spPr>
          <a:solidFill>
            <a:srgbClr val="FF0000"/>
          </a:solidFill>
          <a:ln>
            <a:noFill/>
          </a:ln>
          <a:effectLst/>
        </c:spPr>
      </c:pivotFmt>
      <c:pivotFmt>
        <c:idx val="34"/>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35"/>
        <c:spPr>
          <a:solidFill>
            <a:srgbClr val="FF0000"/>
          </a:solidFill>
          <a:ln>
            <a:noFill/>
          </a:ln>
          <a:effectLst/>
        </c:spPr>
      </c:pivotFmt>
      <c:pivotFmt>
        <c:idx val="36"/>
        <c:spPr>
          <a:solidFill>
            <a:srgbClr val="FF0000"/>
          </a:solidFill>
          <a:ln>
            <a:noFill/>
          </a:ln>
          <a:effectLst/>
        </c:spPr>
      </c:pivotFmt>
      <c:pivotFmt>
        <c:idx val="37"/>
        <c:spPr>
          <a:solidFill>
            <a:srgbClr val="FF0000"/>
          </a:solidFill>
          <a:ln>
            <a:noFill/>
          </a:ln>
          <a:effectLst/>
        </c:spPr>
      </c:pivotFmt>
    </c:pivotFmts>
    <c:plotArea>
      <c:layout/>
      <c:barChart>
        <c:barDir val="bar"/>
        <c:grouping val="clustered"/>
        <c:varyColors val="0"/>
        <c:ser>
          <c:idx val="0"/>
          <c:order val="0"/>
          <c:tx>
            <c:strRef>
              <c:f>'PIVOT TABLE'!$C$76:$C$77</c:f>
              <c:strCache>
                <c:ptCount val="1"/>
                <c:pt idx="0">
                  <c:v>Total</c:v>
                </c:pt>
              </c:strCache>
            </c:strRef>
          </c:tx>
          <c:spPr>
            <a:solidFill>
              <a:srgbClr val="0070C0"/>
            </a:solidFill>
            <a:ln>
              <a:noFill/>
            </a:ln>
            <a:effectLst/>
          </c:spPr>
          <c:invertIfNegative val="0"/>
          <c:dPt>
            <c:idx val="1"/>
            <c:invertIfNegative val="0"/>
            <c:bubble3D val="0"/>
            <c:extLst>
              <c:ext xmlns:c16="http://schemas.microsoft.com/office/drawing/2014/chart" uri="{C3380CC4-5D6E-409C-BE32-E72D297353CC}">
                <c16:uniqueId val="{00000000-2C86-49D4-8F15-4C0FCDC53859}"/>
              </c:ext>
            </c:extLst>
          </c:dPt>
          <c:dPt>
            <c:idx val="2"/>
            <c:invertIfNegative val="0"/>
            <c:bubble3D val="0"/>
            <c:extLst>
              <c:ext xmlns:c16="http://schemas.microsoft.com/office/drawing/2014/chart" uri="{C3380CC4-5D6E-409C-BE32-E72D297353CC}">
                <c16:uniqueId val="{00000001-2C86-49D4-8F15-4C0FCDC53859}"/>
              </c:ext>
            </c:extLst>
          </c:dPt>
          <c:dPt>
            <c:idx val="3"/>
            <c:invertIfNegative val="0"/>
            <c:bubble3D val="0"/>
            <c:extLst>
              <c:ext xmlns:c16="http://schemas.microsoft.com/office/drawing/2014/chart" uri="{C3380CC4-5D6E-409C-BE32-E72D297353CC}">
                <c16:uniqueId val="{00000002-2C86-49D4-8F15-4C0FCDC53859}"/>
              </c:ext>
            </c:extLst>
          </c:dPt>
          <c:dPt>
            <c:idx val="7"/>
            <c:invertIfNegative val="0"/>
            <c:bubble3D val="0"/>
            <c:spPr>
              <a:solidFill>
                <a:srgbClr val="FF0000"/>
              </a:solidFill>
              <a:ln>
                <a:noFill/>
              </a:ln>
              <a:effectLst/>
            </c:spPr>
            <c:extLst>
              <c:ext xmlns:c16="http://schemas.microsoft.com/office/drawing/2014/chart" uri="{C3380CC4-5D6E-409C-BE32-E72D297353CC}">
                <c16:uniqueId val="{00000004-2C86-49D4-8F15-4C0FCDC53859}"/>
              </c:ext>
            </c:extLst>
          </c:dPt>
          <c:dPt>
            <c:idx val="8"/>
            <c:invertIfNegative val="0"/>
            <c:bubble3D val="0"/>
            <c:spPr>
              <a:solidFill>
                <a:srgbClr val="FF0000"/>
              </a:solidFill>
              <a:ln>
                <a:noFill/>
              </a:ln>
              <a:effectLst/>
            </c:spPr>
            <c:extLst>
              <c:ext xmlns:c16="http://schemas.microsoft.com/office/drawing/2014/chart" uri="{C3380CC4-5D6E-409C-BE32-E72D297353CC}">
                <c16:uniqueId val="{00000006-2C86-49D4-8F15-4C0FCDC53859}"/>
              </c:ext>
            </c:extLst>
          </c:dPt>
          <c:dPt>
            <c:idx val="9"/>
            <c:invertIfNegative val="0"/>
            <c:bubble3D val="0"/>
            <c:spPr>
              <a:solidFill>
                <a:srgbClr val="FF0000"/>
              </a:solidFill>
              <a:ln>
                <a:noFill/>
              </a:ln>
              <a:effectLst/>
            </c:spPr>
            <c:extLst>
              <c:ext xmlns:c16="http://schemas.microsoft.com/office/drawing/2014/chart" uri="{C3380CC4-5D6E-409C-BE32-E72D297353CC}">
                <c16:uniqueId val="{00000008-2C86-49D4-8F15-4C0FCDC53859}"/>
              </c:ext>
            </c:extLst>
          </c:dPt>
          <c:dLbls>
            <c:dLbl>
              <c:idx val="9"/>
              <c:layout>
                <c:manualLayout>
                  <c:x val="0"/>
                  <c:y val="-2.277904328018223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C86-49D4-8F15-4C0FCDC53859}"/>
                </c:ext>
              </c:extLst>
            </c:dLbl>
            <c:spPr>
              <a:noFill/>
              <a:ln>
                <a:noFill/>
              </a:ln>
              <a:effectLst/>
            </c:spPr>
            <c:txPr>
              <a:bodyPr/>
              <a:lstStyle/>
              <a:p>
                <a:pPr>
                  <a:defRPr sz="400" baseline="0"/>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multiLvlStrRef>
              <c:f>'PIVOT TABLE'!$A$78:$B$98</c:f>
              <c:multiLvlStrCache>
                <c:ptCount val="10"/>
                <c:lvl>
                  <c:pt idx="0">
                    <c:v>AMA-IGBOEZUNU, ANAMBRA EAST, ANAMBRA</c:v>
                  </c:pt>
                  <c:pt idx="1">
                    <c:v>ST. THERESA'S MBA FARM, ONITSHA-NORTH, ANAMBRA</c:v>
                  </c:pt>
                  <c:pt idx="2">
                    <c:v>ST. MARY'S PRIMARY SCHOOL, AKPAKA, ONITSHA-NORTH, ANAMBRA</c:v>
                  </c:pt>
                  <c:pt idx="3">
                    <c:v>NODU VILLAGE HALL II, AWKA SOUTH, ANAMBRA</c:v>
                  </c:pt>
                  <c:pt idx="4">
                    <c:v>G.T.C COMPOUND, AWKA SOUTH, ANAMBRA</c:v>
                  </c:pt>
                  <c:pt idx="5">
                    <c:v>OYOLU AREA, ONITSHA-NORTH, ANAMBRA</c:v>
                  </c:pt>
                  <c:pt idx="6">
                    <c:v>AMA-ENUGU II, ANAMBRA EAST, ANAMBRA</c:v>
                  </c:pt>
                  <c:pt idx="7">
                    <c:v>AMA-OKPOGBA, ANAMBRA EAST, ANAMBRA</c:v>
                  </c:pt>
                  <c:pt idx="8">
                    <c:v>OFONZE SQUARE I, ONITSHA-NORTH, ANAMBRA</c:v>
                  </c:pt>
                  <c:pt idx="9">
                    <c:v>IHIONU/NSUGBE STREET AREA, ONITSHA-NORTH, ANAMBRA</c:v>
                  </c:pt>
                </c:lvl>
                <c:lvl>
                  <c:pt idx="0">
                    <c:v>489</c:v>
                  </c:pt>
                  <c:pt idx="1">
                    <c:v>492</c:v>
                  </c:pt>
                  <c:pt idx="2">
                    <c:v>497</c:v>
                  </c:pt>
                  <c:pt idx="3">
                    <c:v>501</c:v>
                  </c:pt>
                  <c:pt idx="4">
                    <c:v>504</c:v>
                  </c:pt>
                  <c:pt idx="5">
                    <c:v>523</c:v>
                  </c:pt>
                  <c:pt idx="6">
                    <c:v>526</c:v>
                  </c:pt>
                  <c:pt idx="7">
                    <c:v>543</c:v>
                  </c:pt>
                  <c:pt idx="8">
                    <c:v>570</c:v>
                  </c:pt>
                  <c:pt idx="9">
                    <c:v>574</c:v>
                  </c:pt>
                </c:lvl>
              </c:multiLvlStrCache>
            </c:multiLvlStrRef>
          </c:cat>
          <c:val>
            <c:numRef>
              <c:f>'PIVOT TABLE'!$C$78:$C$98</c:f>
              <c:numCache>
                <c:formatCode>General</c:formatCode>
                <c:ptCount val="10"/>
                <c:pt idx="0">
                  <c:v>74.927111363392598</c:v>
                </c:pt>
                <c:pt idx="1">
                  <c:v>75.192604334957196</c:v>
                </c:pt>
                <c:pt idx="2">
                  <c:v>75.463946558575699</c:v>
                </c:pt>
                <c:pt idx="3">
                  <c:v>75.739719389845106</c:v>
                </c:pt>
                <c:pt idx="4">
                  <c:v>76.018483801385003</c:v>
                </c:pt>
                <c:pt idx="5">
                  <c:v>76.323757554572595</c:v>
                </c:pt>
                <c:pt idx="6">
                  <c:v>76.631970792482207</c:v>
                </c:pt>
                <c:pt idx="7">
                  <c:v>76.964542425213196</c:v>
                </c:pt>
                <c:pt idx="8">
                  <c:v>77.338375944887702</c:v>
                </c:pt>
                <c:pt idx="9">
                  <c:v>77.716561701457394</c:v>
                </c:pt>
              </c:numCache>
            </c:numRef>
          </c:val>
          <c:extLst>
            <c:ext xmlns:c16="http://schemas.microsoft.com/office/drawing/2014/chart" uri="{C3380CC4-5D6E-409C-BE32-E72D297353CC}">
              <c16:uniqueId val="{00000009-2C86-49D4-8F15-4C0FCDC53859}"/>
            </c:ext>
          </c:extLst>
        </c:ser>
        <c:dLbls>
          <c:dLblPos val="outEnd"/>
          <c:showLegendKey val="0"/>
          <c:showVal val="1"/>
          <c:showCatName val="0"/>
          <c:showSerName val="0"/>
          <c:showPercent val="0"/>
          <c:showBubbleSize val="0"/>
        </c:dLbls>
        <c:gapWidth val="182"/>
        <c:axId val="1193416431"/>
        <c:axId val="1193415599"/>
      </c:barChart>
      <c:catAx>
        <c:axId val="1193416431"/>
        <c:scaling>
          <c:orientation val="minMax"/>
        </c:scaling>
        <c:delete val="0"/>
        <c:axPos val="l"/>
        <c:title>
          <c:tx>
            <c:rich>
              <a:bodyPr rot="-5400000" vert="horz"/>
              <a:lstStyle/>
              <a:p>
                <a:pPr>
                  <a:defRPr/>
                </a:pPr>
                <a:r>
                  <a:rPr lang="en-US"/>
                  <a:t>LP Score per Polling Unit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193415599"/>
        <c:crosses val="autoZero"/>
        <c:auto val="1"/>
        <c:lblAlgn val="ctr"/>
        <c:lblOffset val="100"/>
        <c:noMultiLvlLbl val="0"/>
      </c:catAx>
      <c:valAx>
        <c:axId val="1193415599"/>
        <c:scaling>
          <c:orientation val="minMax"/>
        </c:scaling>
        <c:delete val="0"/>
        <c:axPos val="b"/>
        <c:title>
          <c:tx>
            <c:rich>
              <a:bodyPr rot="0" vert="horz"/>
              <a:lstStyle/>
              <a:p>
                <a:pPr>
                  <a:defRPr/>
                </a:pPr>
                <a:r>
                  <a:rPr lang="en-US"/>
                  <a:t>Outlier Score (Standard Deviation)</a:t>
                </a:r>
              </a:p>
            </c:rich>
          </c:tx>
          <c:layout>
            <c:manualLayout>
              <c:xMode val="edge"/>
              <c:yMode val="edge"/>
              <c:x val="0.58398293963254588"/>
              <c:y val="0.90568296987179031"/>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1193416431"/>
        <c:crosses val="autoZero"/>
        <c:crossBetween val="between"/>
      </c:valAx>
    </c:plotArea>
    <c:plotVisOnly val="1"/>
    <c:dispBlanksAs val="gap"/>
    <c:showDLblsOverMax val="0"/>
    <c:extLst/>
  </c:chart>
  <c:txPr>
    <a:bodyPr/>
    <a:lstStyle/>
    <a:p>
      <a:pPr>
        <a:defRPr sz="600" baseline="0"/>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4</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okey ifeanyi</dc:creator>
  <cp:keywords/>
  <dc:description/>
  <cp:lastModifiedBy>okey ifeanyi</cp:lastModifiedBy>
  <cp:revision>1</cp:revision>
  <dcterms:created xsi:type="dcterms:W3CDTF">2024-07-04T13:46:00Z</dcterms:created>
  <dcterms:modified xsi:type="dcterms:W3CDTF">2024-07-05T01:08:00Z</dcterms:modified>
</cp:coreProperties>
</file>