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Métrica Estresor Económico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line="360" w:lineRule="auto"/>
        <w:ind w:left="0" w:firstLine="0"/>
        <w:jc w:val="both"/>
        <w:rPr>
          <w:b w:val="1"/>
        </w:rPr>
      </w:pPr>
      <w:r w:rsidDel="00000000" w:rsidR="00000000" w:rsidRPr="00000000">
        <w:rPr>
          <w:b w:val="1"/>
          <w:rtl w:val="0"/>
        </w:rPr>
        <w:t xml:space="preserve">Estrés.-</w:t>
      </w:r>
    </w:p>
    <w:p w:rsidR="00000000" w:rsidDel="00000000" w:rsidP="00000000" w:rsidRDefault="00000000" w:rsidRPr="00000000" w14:paraId="00000004">
      <w:pPr>
        <w:spacing w:line="360" w:lineRule="auto"/>
        <w:ind w:left="0" w:firstLine="0"/>
        <w:jc w:val="both"/>
        <w:rPr/>
      </w:pPr>
      <w:r w:rsidDel="00000000" w:rsidR="00000000" w:rsidRPr="00000000">
        <w:rPr>
          <w:rtl w:val="0"/>
        </w:rPr>
        <w:t xml:space="preserve">Estado de cansancio emocional y físico. Reacción del cuerpo ante un desafío o demanda. Y se requiere un cambio o adaptación.</w:t>
      </w:r>
    </w:p>
    <w:p w:rsidR="00000000" w:rsidDel="00000000" w:rsidP="00000000" w:rsidRDefault="00000000" w:rsidRPr="00000000" w14:paraId="0000000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06">
      <w:pPr>
        <w:spacing w:line="360" w:lineRule="auto"/>
        <w:ind w:left="0" w:firstLine="0"/>
        <w:jc w:val="both"/>
        <w:rPr>
          <w:b w:val="1"/>
        </w:rPr>
      </w:pPr>
      <w:r w:rsidDel="00000000" w:rsidR="00000000" w:rsidRPr="00000000">
        <w:rPr>
          <w:b w:val="1"/>
          <w:rtl w:val="0"/>
        </w:rPr>
        <w:t xml:space="preserve">Estresores.-</w:t>
      </w:r>
    </w:p>
    <w:p w:rsidR="00000000" w:rsidDel="00000000" w:rsidP="00000000" w:rsidRDefault="00000000" w:rsidRPr="00000000" w14:paraId="00000007">
      <w:pPr>
        <w:spacing w:line="360" w:lineRule="auto"/>
        <w:ind w:left="0" w:firstLine="0"/>
        <w:jc w:val="both"/>
        <w:rPr/>
      </w:pPr>
      <w:r w:rsidDel="00000000" w:rsidR="00000000" w:rsidRPr="00000000">
        <w:rPr>
          <w:rtl w:val="0"/>
        </w:rPr>
        <w:t xml:space="preserve">Estímulos, condiciones o situaciones externas que generan una reacción de estrés. Y se requieren un cambio o adaptación.</w:t>
      </w:r>
    </w:p>
    <w:p w:rsidR="00000000" w:rsidDel="00000000" w:rsidP="00000000" w:rsidRDefault="00000000" w:rsidRPr="00000000" w14:paraId="00000008">
      <w:pPr>
        <w:spacing w:line="360" w:lineRule="auto"/>
        <w:ind w:left="0" w:firstLine="0"/>
        <w:jc w:val="both"/>
        <w:rPr/>
      </w:pPr>
      <w:r w:rsidDel="00000000" w:rsidR="00000000" w:rsidRPr="00000000">
        <w:rPr>
          <w:rtl w:val="0"/>
        </w:rPr>
      </w:r>
    </w:p>
    <w:p w:rsidR="00000000" w:rsidDel="00000000" w:rsidP="00000000" w:rsidRDefault="00000000" w:rsidRPr="00000000" w14:paraId="00000009">
      <w:pPr>
        <w:spacing w:line="360" w:lineRule="auto"/>
        <w:ind w:left="0" w:firstLine="0"/>
        <w:jc w:val="both"/>
        <w:rPr>
          <w:b w:val="1"/>
        </w:rPr>
      </w:pPr>
      <w:r w:rsidDel="00000000" w:rsidR="00000000" w:rsidRPr="00000000">
        <w:rPr>
          <w:b w:val="1"/>
          <w:rtl w:val="0"/>
        </w:rPr>
        <w:t xml:space="preserve">Estresores Económicos.-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Factores o situaciones relacionadas con el medio laboral y económico donde las personas dejen de sentir una estabilidad económica, por ejemplo despidos, inestabilidad laboral etc.</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Niveles de estrés.-</w:t>
      </w:r>
    </w:p>
    <w:p w:rsidR="00000000" w:rsidDel="00000000" w:rsidP="00000000" w:rsidRDefault="00000000" w:rsidRPr="00000000" w14:paraId="0000000D">
      <w:pPr>
        <w:spacing w:line="36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t xml:space="preserve">Se consideró al estrés como un concepto relevante en el presente trabajo debido a la situación por la que se está viviendo en estos días por la pandemia Covid-19. Se creyó pertinente dividir la frecuencia del estrés en una escala de cinco puntos del 0 al 4 basada en una prueba psicométrica, donde 0 representa una nula o menor cantidad de estrés y el cuatro se considera como gran cantidad de estrés. </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Se decidió utilizar la frecuencia del 0 al 4 ya que se consideró que con ese rango se nos permite de manera más sencilla poder agrupar y categorizar las variables y de esta forma se puede obtener un resultado mucho más acertado y exacto. </w:t>
      </w:r>
    </w:p>
    <w:p w:rsidR="00000000" w:rsidDel="00000000" w:rsidP="00000000" w:rsidRDefault="00000000" w:rsidRPr="00000000" w14:paraId="00000011">
      <w:pPr>
        <w:spacing w:line="360" w:lineRule="auto"/>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ea999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2</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No se manifiesta alguna respuesta de estrés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Raramente se considera como situación de estrés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En ocasiones/a veces se considera estar bajo estrés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La respuesta de estrés se considera como algo frecuente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Se considera estar bajo mucho estrés</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Variables: Estresores Económicos</w:t>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t xml:space="preserve">A continuación se muestran las variables que se obtuvieron de la base de datos: “Diagnóstico de las Afectaciones Económicas a las Unidades Económicas de Jalisco por el Coronavirus” misma que se extrajo de encuestas enviadas por correo electrónico y contiene valiosa información de algunas empresas de Jalisco.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Las siguientes variables se consideraron como estresores económicos ya que engloban  situaciones relacionadas con el medio laboral y económico, en donde, en este caso, las empresas se vieron en la necesidad de afrontar ciertas pérdidas o cambios con respecto a su actividad económica. Tales como los despidos o pagos de salarios, situaciones que pueden llegar a causar estrés tomando en cuenta los estímulos y factores externos, en este caso se considera como factor externo la situación de la pandemia.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Las variables proporcionadas y clasificadas como estresores económicos nos brindan información y datos cualitativos, por lo que se propuso una escala, mencionada anteriormente, que se aplicó a cada variable y su naturaleza para que puedan ser cuantificables y así poder estimar la variable estrés por cada empresa que participó en esta encuesta.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La variable estrés al final será el valor resultante de la suma  de las variables seleccionadas y su escala que se detalla en el siguiente recuadro. Es importante recalcar que cuanto más alto sea ese </w:t>
      </w:r>
      <w:r w:rsidDel="00000000" w:rsidR="00000000" w:rsidRPr="00000000">
        <w:rPr>
          <w:rtl w:val="0"/>
        </w:rPr>
        <w:t xml:space="preserve">valor </w:t>
      </w:r>
      <w:r w:rsidDel="00000000" w:rsidR="00000000" w:rsidRPr="00000000">
        <w:rPr>
          <w:rtl w:val="0"/>
        </w:rPr>
        <w:t xml:space="preserve">más alto será el estrés de la empresa.</w:t>
      </w:r>
    </w:p>
    <w:p w:rsidR="00000000" w:rsidDel="00000000" w:rsidP="00000000" w:rsidRDefault="00000000" w:rsidRPr="00000000" w14:paraId="0000002C">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ea9999" w:val="clear"/>
            <w:tcMar>
              <w:top w:w="100.0" w:type="dxa"/>
              <w:left w:w="100.0" w:type="dxa"/>
              <w:bottom w:w="100.0" w:type="dxa"/>
              <w:right w:w="100.0" w:type="dxa"/>
            </w:tcMar>
            <w:vAlign w:val="top"/>
          </w:tcPr>
          <w:p w:rsidR="00000000" w:rsidDel="00000000" w:rsidP="00000000" w:rsidRDefault="00000000" w:rsidRPr="00000000" w14:paraId="0000002D">
            <w:pPr>
              <w:ind w:left="720" w:hanging="360"/>
              <w:jc w:val="both"/>
              <w:rPr/>
            </w:pPr>
            <w:r w:rsidDel="00000000" w:rsidR="00000000" w:rsidRPr="00000000">
              <w:rPr>
                <w:rtl w:val="0"/>
              </w:rPr>
              <w:t xml:space="preserve">Variable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Significado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Respuestas/Criterio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1"/>
              </w:numPr>
              <w:ind w:left="720" w:hanging="360"/>
              <w:jc w:val="both"/>
            </w:pPr>
            <w:r w:rsidDel="00000000" w:rsidR="00000000" w:rsidRPr="00000000">
              <w:rPr>
                <w:rtl w:val="0"/>
              </w:rPr>
              <w:t xml:space="preserve">Pérdidas porcentaje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sz w:val="20"/>
                <w:szCs w:val="20"/>
                <w:rtl w:val="0"/>
              </w:rPr>
              <w:t xml:space="preserve">¿Qué porcentaje cree que alcancen sus pérdidas como porcentaje de sus ventas?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25% = 1</w:t>
            </w:r>
          </w:p>
          <w:p w:rsidR="00000000" w:rsidDel="00000000" w:rsidP="00000000" w:rsidRDefault="00000000" w:rsidRPr="00000000" w14:paraId="00000033">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a 50% = 2</w:t>
            </w:r>
          </w:p>
          <w:p w:rsidR="00000000" w:rsidDel="00000000" w:rsidP="00000000" w:rsidRDefault="00000000" w:rsidRPr="00000000" w14:paraId="00000034">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a 75%=3</w:t>
            </w:r>
          </w:p>
          <w:p w:rsidR="00000000" w:rsidDel="00000000" w:rsidP="00000000" w:rsidRDefault="00000000" w:rsidRPr="00000000" w14:paraId="00000035">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75% - 100% = 4</w:t>
            </w:r>
          </w:p>
          <w:p w:rsidR="00000000" w:rsidDel="00000000" w:rsidP="00000000" w:rsidRDefault="00000000" w:rsidRPr="00000000" w14:paraId="00000036">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1"/>
              </w:numPr>
              <w:ind w:left="720" w:hanging="360"/>
              <w:jc w:val="both"/>
            </w:pPr>
            <w:r w:rsidDel="00000000" w:rsidR="00000000" w:rsidRPr="00000000">
              <w:rPr>
                <w:rtl w:val="0"/>
              </w:rPr>
              <w:t xml:space="preserve">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sz w:val="20"/>
                <w:szCs w:val="20"/>
                <w:rtl w:val="0"/>
              </w:rPr>
              <w:t xml:space="preserve">¿Aproximadamente a qué porcentaje de capacidad se encuentra operando su establecimiento?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25% = 1</w:t>
            </w:r>
          </w:p>
          <w:p w:rsidR="00000000" w:rsidDel="00000000" w:rsidP="00000000" w:rsidRDefault="00000000" w:rsidRPr="00000000" w14:paraId="0000003A">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a 50% = 2</w:t>
            </w:r>
          </w:p>
          <w:p w:rsidR="00000000" w:rsidDel="00000000" w:rsidP="00000000" w:rsidRDefault="00000000" w:rsidRPr="00000000" w14:paraId="0000003B">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a 75%=3</w:t>
            </w:r>
          </w:p>
          <w:p w:rsidR="00000000" w:rsidDel="00000000" w:rsidP="00000000" w:rsidRDefault="00000000" w:rsidRPr="00000000" w14:paraId="0000003C">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75% - 100% = 4</w:t>
            </w:r>
          </w:p>
          <w:p w:rsidR="00000000" w:rsidDel="00000000" w:rsidP="00000000" w:rsidRDefault="00000000" w:rsidRPr="00000000" w14:paraId="0000003D">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1"/>
              </w:numPr>
              <w:ind w:left="720" w:hanging="360"/>
              <w:jc w:val="both"/>
            </w:pPr>
            <w:r w:rsidDel="00000000" w:rsidR="00000000" w:rsidRPr="00000000">
              <w:rPr>
                <w:rtl w:val="0"/>
              </w:rPr>
              <w:t xml:space="preserve">Cerrar</w:t>
            </w:r>
          </w:p>
          <w:p w:rsidR="00000000" w:rsidDel="00000000" w:rsidP="00000000" w:rsidRDefault="00000000" w:rsidRPr="00000000" w14:paraId="0000003F">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sz w:val="20"/>
                <w:szCs w:val="20"/>
                <w:rtl w:val="0"/>
              </w:rPr>
              <w:t xml:space="preserve">¿Ha considerado cerrar su establecimiento de manera definitiva?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si = 2</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el caso de no porque no lo ha considerado no hay un estrés, en el caso del si lo ha considerado pero no necesariamente cerrado por eso no es un nivel máximo de estrés.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
              </w:numPr>
              <w:ind w:left="720" w:hanging="360"/>
              <w:jc w:val="both"/>
            </w:pPr>
            <w:r w:rsidDel="00000000" w:rsidR="00000000" w:rsidRPr="00000000">
              <w:rPr>
                <w:rtl w:val="0"/>
              </w:rPr>
              <w:t xml:space="preserve">Despidos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 establecimiento se ha visto en la necesidad de despedir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 0; </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Si = 4; </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cuenta con personal = 0; </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pero lo está considerando = 2; </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pero lo hará en los próximos días =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1"/>
              </w:numPr>
              <w:ind w:left="720" w:hanging="360"/>
              <w:jc w:val="both"/>
            </w:pPr>
            <w:r w:rsidDel="00000000" w:rsidR="00000000" w:rsidRPr="00000000">
              <w:rPr>
                <w:rtl w:val="0"/>
              </w:rPr>
              <w:t xml:space="preserve">Plantilla porcentaje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¿Qué porcentaje del total de su plantilla laboral considera que fue o se verá afectada?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25% = 1</w:t>
            </w:r>
          </w:p>
          <w:p w:rsidR="00000000" w:rsidDel="00000000" w:rsidP="00000000" w:rsidRDefault="00000000" w:rsidRPr="00000000" w14:paraId="0000004E">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a 50% = 2</w:t>
            </w:r>
          </w:p>
          <w:p w:rsidR="00000000" w:rsidDel="00000000" w:rsidP="00000000" w:rsidRDefault="00000000" w:rsidRPr="00000000" w14:paraId="0000004F">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 a 75%=3</w:t>
            </w:r>
          </w:p>
          <w:p w:rsidR="00000000" w:rsidDel="00000000" w:rsidP="00000000" w:rsidRDefault="00000000" w:rsidRPr="00000000" w14:paraId="00000050">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75% - 100% = 4</w:t>
            </w:r>
          </w:p>
          <w:p w:rsidR="00000000" w:rsidDel="00000000" w:rsidP="00000000" w:rsidRDefault="00000000" w:rsidRPr="00000000" w14:paraId="00000051">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
              </w:numPr>
              <w:ind w:left="720" w:hanging="360"/>
              <w:jc w:val="both"/>
            </w:pPr>
            <w:r w:rsidDel="00000000" w:rsidR="00000000" w:rsidRPr="00000000">
              <w:rPr>
                <w:rtl w:val="0"/>
              </w:rPr>
              <w:t xml:space="preserve">Pago Salarios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Semanas cree que puedan soportar sus fondos esta situación provocada por el COVID-19 para no dejar de pagar salarios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aplica" y "No contestó ” = 0 </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0 a 6 semanas = 1</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6 a 12 semanas = 2</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12 a 18 semanas = 3</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18 a 24 semanas o más = 4</w:t>
            </w:r>
          </w:p>
          <w:p w:rsidR="00000000" w:rsidDel="00000000" w:rsidP="00000000" w:rsidRDefault="00000000" w:rsidRPr="00000000" w14:paraId="00000059">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Proporcional: A mayor variación mayor estrés.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1"/>
              </w:numPr>
              <w:ind w:left="720" w:hanging="360"/>
              <w:jc w:val="both"/>
            </w:pPr>
            <w:r w:rsidDel="00000000" w:rsidR="00000000" w:rsidRPr="00000000">
              <w:rPr>
                <w:rtl w:val="0"/>
              </w:rPr>
              <w:t xml:space="preserve">Pago impuestos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Semanas cree que puedan soportar sus fondos esta situación provocada por el COVID-19 para no dejar de pagar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aplica" y "No contestó ” = 0 </w:t>
            </w:r>
          </w:p>
          <w:p w:rsidR="00000000" w:rsidDel="00000000" w:rsidP="00000000" w:rsidRDefault="00000000" w:rsidRPr="00000000" w14:paraId="0000005D">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6 semanas = 1</w:t>
            </w:r>
          </w:p>
          <w:p w:rsidR="00000000" w:rsidDel="00000000" w:rsidP="00000000" w:rsidRDefault="00000000" w:rsidRPr="00000000" w14:paraId="0000005E">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 a 12 semanas = 2</w:t>
            </w:r>
          </w:p>
          <w:p w:rsidR="00000000" w:rsidDel="00000000" w:rsidP="00000000" w:rsidRDefault="00000000" w:rsidRPr="00000000" w14:paraId="0000005F">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a 18 semanas = 3</w:t>
            </w:r>
          </w:p>
          <w:p w:rsidR="00000000" w:rsidDel="00000000" w:rsidP="00000000" w:rsidRDefault="00000000" w:rsidRPr="00000000" w14:paraId="00000060">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 a 24 semanas o más = 4</w:t>
            </w:r>
          </w:p>
          <w:p w:rsidR="00000000" w:rsidDel="00000000" w:rsidP="00000000" w:rsidRDefault="00000000" w:rsidRPr="00000000" w14:paraId="00000061">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1"/>
              </w:numPr>
              <w:ind w:left="720" w:hanging="360"/>
              <w:jc w:val="both"/>
            </w:pPr>
            <w:r w:rsidDel="00000000" w:rsidR="00000000" w:rsidRPr="00000000">
              <w:rPr>
                <w:rtl w:val="0"/>
              </w:rPr>
              <w:t xml:space="preserve">Pago créditos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Semanas cree que puedan soportar sus fondos esta situación provocada por el COVID-19 para no dejar de pagar créditos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aplica" y "No contestó ” = 0 </w:t>
            </w:r>
          </w:p>
          <w:p w:rsidR="00000000" w:rsidDel="00000000" w:rsidP="00000000" w:rsidRDefault="00000000" w:rsidRPr="00000000" w14:paraId="00000065">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6 semanas = 1</w:t>
            </w:r>
          </w:p>
          <w:p w:rsidR="00000000" w:rsidDel="00000000" w:rsidP="00000000" w:rsidRDefault="00000000" w:rsidRPr="00000000" w14:paraId="00000066">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 a 12 semanas = 2</w:t>
            </w:r>
          </w:p>
          <w:p w:rsidR="00000000" w:rsidDel="00000000" w:rsidP="00000000" w:rsidRDefault="00000000" w:rsidRPr="00000000" w14:paraId="00000067">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a 18 semanas = 3</w:t>
            </w:r>
          </w:p>
          <w:p w:rsidR="00000000" w:rsidDel="00000000" w:rsidP="00000000" w:rsidRDefault="00000000" w:rsidRPr="00000000" w14:paraId="00000068">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 a 24 semanas o más = 4</w:t>
            </w:r>
          </w:p>
          <w:p w:rsidR="00000000" w:rsidDel="00000000" w:rsidP="00000000" w:rsidRDefault="00000000" w:rsidRPr="00000000" w14:paraId="00000069">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1"/>
              </w:numPr>
              <w:ind w:left="720" w:hanging="360"/>
              <w:jc w:val="both"/>
            </w:pPr>
            <w:r w:rsidDel="00000000" w:rsidR="00000000" w:rsidRPr="00000000">
              <w:rPr>
                <w:rtl w:val="0"/>
              </w:rPr>
              <w:t xml:space="preserve">Pago renta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Semanas cree que puedan soportar sus fondos esta situación provocada por el COVID-19 para no dejar de pagar 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aplica" y "No contestó ” = 0 </w:t>
            </w:r>
          </w:p>
          <w:p w:rsidR="00000000" w:rsidDel="00000000" w:rsidP="00000000" w:rsidRDefault="00000000" w:rsidRPr="00000000" w14:paraId="0000006D">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6 semanas = 1</w:t>
            </w:r>
          </w:p>
          <w:p w:rsidR="00000000" w:rsidDel="00000000" w:rsidP="00000000" w:rsidRDefault="00000000" w:rsidRPr="00000000" w14:paraId="0000006E">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 a 12 semanas = 2</w:t>
            </w:r>
          </w:p>
          <w:p w:rsidR="00000000" w:rsidDel="00000000" w:rsidP="00000000" w:rsidRDefault="00000000" w:rsidRPr="00000000" w14:paraId="0000006F">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a 18 semanas = 3</w:t>
            </w:r>
          </w:p>
          <w:p w:rsidR="00000000" w:rsidDel="00000000" w:rsidP="00000000" w:rsidRDefault="00000000" w:rsidRPr="00000000" w14:paraId="00000070">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 a 24 semanas o más = 4</w:t>
            </w:r>
          </w:p>
          <w:p w:rsidR="00000000" w:rsidDel="00000000" w:rsidP="00000000" w:rsidRDefault="00000000" w:rsidRPr="00000000" w14:paraId="00000071">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1"/>
              </w:numPr>
              <w:ind w:left="720" w:hanging="360"/>
              <w:jc w:val="both"/>
            </w:pPr>
            <w:r w:rsidDel="00000000" w:rsidR="00000000" w:rsidRPr="00000000">
              <w:rPr>
                <w:rtl w:val="0"/>
              </w:rPr>
              <w:t xml:space="preserve">Pago internet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Semanas cree que puedan soportar sus fondos esta situación provocada por el COVID-19 para no dejar de pagar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aplica" y "No contestó ” = 0 </w:t>
            </w:r>
          </w:p>
          <w:p w:rsidR="00000000" w:rsidDel="00000000" w:rsidP="00000000" w:rsidRDefault="00000000" w:rsidRPr="00000000" w14:paraId="00000075">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6 semanas = 1</w:t>
            </w:r>
          </w:p>
          <w:p w:rsidR="00000000" w:rsidDel="00000000" w:rsidP="00000000" w:rsidRDefault="00000000" w:rsidRPr="00000000" w14:paraId="00000076">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 a 12 semanas = 2</w:t>
            </w:r>
          </w:p>
          <w:p w:rsidR="00000000" w:rsidDel="00000000" w:rsidP="00000000" w:rsidRDefault="00000000" w:rsidRPr="00000000" w14:paraId="00000077">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a 18 semanas = 3</w:t>
            </w:r>
          </w:p>
          <w:p w:rsidR="00000000" w:rsidDel="00000000" w:rsidP="00000000" w:rsidRDefault="00000000" w:rsidRPr="00000000" w14:paraId="00000078">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 a 24 semanas o más = 4</w:t>
            </w:r>
          </w:p>
          <w:p w:rsidR="00000000" w:rsidDel="00000000" w:rsidP="00000000" w:rsidRDefault="00000000" w:rsidRPr="00000000" w14:paraId="00000079">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1"/>
              </w:numPr>
              <w:ind w:left="720" w:hanging="360"/>
              <w:jc w:val="both"/>
            </w:pPr>
            <w:r w:rsidDel="00000000" w:rsidR="00000000" w:rsidRPr="00000000">
              <w:rPr>
                <w:rtl w:val="0"/>
              </w:rPr>
              <w:t xml:space="preserve">Pago agua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Semanas cree que puedan soportar sus fondos esta situación provocada por el COVID-19 para no dejar de pagar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aplica" y "No contestó ” = 0 </w:t>
            </w:r>
          </w:p>
          <w:p w:rsidR="00000000" w:rsidDel="00000000" w:rsidP="00000000" w:rsidRDefault="00000000" w:rsidRPr="00000000" w14:paraId="0000007D">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6 semanas = 1</w:t>
            </w:r>
          </w:p>
          <w:p w:rsidR="00000000" w:rsidDel="00000000" w:rsidP="00000000" w:rsidRDefault="00000000" w:rsidRPr="00000000" w14:paraId="0000007E">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 a 12 semanas = 2</w:t>
            </w:r>
          </w:p>
          <w:p w:rsidR="00000000" w:rsidDel="00000000" w:rsidP="00000000" w:rsidRDefault="00000000" w:rsidRPr="00000000" w14:paraId="0000007F">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a 18 semanas = 3</w:t>
            </w:r>
          </w:p>
          <w:p w:rsidR="00000000" w:rsidDel="00000000" w:rsidP="00000000" w:rsidRDefault="00000000" w:rsidRPr="00000000" w14:paraId="00000080">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 a 24 semanas o más = 4</w:t>
            </w:r>
          </w:p>
          <w:p w:rsidR="00000000" w:rsidDel="00000000" w:rsidP="00000000" w:rsidRDefault="00000000" w:rsidRPr="00000000" w14:paraId="00000081">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1"/>
              </w:numPr>
              <w:ind w:left="720" w:hanging="360"/>
              <w:jc w:val="both"/>
            </w:pPr>
            <w:r w:rsidDel="00000000" w:rsidR="00000000" w:rsidRPr="00000000">
              <w:rPr>
                <w:rtl w:val="0"/>
              </w:rPr>
              <w:t xml:space="preserve">Pago luz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Semanas cree que puedan soportar sus fondos esta situación provocada por el COVID-19 para no dejar de pagar 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aplica" y "No contestó ” = 0 </w:t>
            </w:r>
          </w:p>
          <w:p w:rsidR="00000000" w:rsidDel="00000000" w:rsidP="00000000" w:rsidRDefault="00000000" w:rsidRPr="00000000" w14:paraId="00000085">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6 semanas = 1</w:t>
            </w:r>
          </w:p>
          <w:p w:rsidR="00000000" w:rsidDel="00000000" w:rsidP="00000000" w:rsidRDefault="00000000" w:rsidRPr="00000000" w14:paraId="00000086">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 a 12 semanas = 2</w:t>
            </w:r>
          </w:p>
          <w:p w:rsidR="00000000" w:rsidDel="00000000" w:rsidP="00000000" w:rsidRDefault="00000000" w:rsidRPr="00000000" w14:paraId="00000087">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a 18 semanas = 3</w:t>
            </w:r>
          </w:p>
          <w:p w:rsidR="00000000" w:rsidDel="00000000" w:rsidP="00000000" w:rsidRDefault="00000000" w:rsidRPr="00000000" w14:paraId="00000088">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 a 24 semanas o más = 4</w:t>
            </w:r>
          </w:p>
          <w:p w:rsidR="00000000" w:rsidDel="00000000" w:rsidP="00000000" w:rsidRDefault="00000000" w:rsidRPr="00000000" w14:paraId="00000089">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numPr>
                <w:ilvl w:val="0"/>
                <w:numId w:val="1"/>
              </w:numPr>
              <w:ind w:left="720" w:hanging="360"/>
              <w:jc w:val="both"/>
            </w:pPr>
            <w:r w:rsidDel="00000000" w:rsidR="00000000" w:rsidRPr="00000000">
              <w:rPr>
                <w:rtl w:val="0"/>
              </w:rPr>
              <w:t xml:space="preserve">Pago gas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Semanas cree que puedan soportar sus fondos esta situación provocada por el COVID-19 para no dejar de pagar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aplica" y "No contestó ” = 0 </w:t>
            </w:r>
          </w:p>
          <w:p w:rsidR="00000000" w:rsidDel="00000000" w:rsidP="00000000" w:rsidRDefault="00000000" w:rsidRPr="00000000" w14:paraId="0000008D">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a 6 semanas = 1</w:t>
            </w:r>
          </w:p>
          <w:p w:rsidR="00000000" w:rsidDel="00000000" w:rsidP="00000000" w:rsidRDefault="00000000" w:rsidRPr="00000000" w14:paraId="0000008E">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 a 12 semanas = 2</w:t>
            </w:r>
          </w:p>
          <w:p w:rsidR="00000000" w:rsidDel="00000000" w:rsidP="00000000" w:rsidRDefault="00000000" w:rsidRPr="00000000" w14:paraId="0000008F">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a 18 semanas = 3</w:t>
            </w:r>
          </w:p>
          <w:p w:rsidR="00000000" w:rsidDel="00000000" w:rsidP="00000000" w:rsidRDefault="00000000" w:rsidRPr="00000000" w14:paraId="00000090">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 a 24 semanas o más = 4</w:t>
            </w:r>
          </w:p>
          <w:p w:rsidR="00000000" w:rsidDel="00000000" w:rsidP="00000000" w:rsidRDefault="00000000" w:rsidRPr="00000000" w14:paraId="00000091">
            <w:pPr>
              <w:widowControl w:val="0"/>
              <w:spacing w:line="240" w:lineRule="auto"/>
              <w:jc w:val="both"/>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numPr>
                <w:ilvl w:val="0"/>
                <w:numId w:val="1"/>
              </w:numPr>
              <w:ind w:left="720" w:hanging="360"/>
              <w:jc w:val="both"/>
            </w:pPr>
            <w:r w:rsidDel="00000000" w:rsidR="00000000" w:rsidRPr="00000000">
              <w:rPr>
                <w:rtl w:val="0"/>
              </w:rPr>
              <w:t xml:space="preserve">Duración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¿Cuántos meses cree puedan soportar sus fondos esta situación provocada por el COVID-19 para pagar costos sin tener que suspender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0 a 6 </w:t>
            </w:r>
            <w:r w:rsidDel="00000000" w:rsidR="00000000" w:rsidRPr="00000000">
              <w:rPr>
                <w:rFonts w:ascii="Calibri" w:cs="Calibri" w:eastAsia="Calibri" w:hAnsi="Calibri"/>
                <w:sz w:val="20"/>
                <w:szCs w:val="20"/>
                <w:rtl w:val="0"/>
              </w:rPr>
              <w:t xml:space="preserve">semanas</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6 a 12 </w:t>
            </w:r>
            <w:r w:rsidDel="00000000" w:rsidR="00000000" w:rsidRPr="00000000">
              <w:rPr>
                <w:rFonts w:ascii="Calibri" w:cs="Calibri" w:eastAsia="Calibri" w:hAnsi="Calibri"/>
                <w:sz w:val="20"/>
                <w:szCs w:val="20"/>
                <w:rtl w:val="0"/>
              </w:rPr>
              <w:t xml:space="preserve">semanas</w:t>
            </w:r>
            <w:r w:rsidDel="00000000" w:rsidR="00000000" w:rsidRPr="00000000">
              <w:rPr>
                <w:rFonts w:ascii="Roboto" w:cs="Roboto" w:eastAsia="Roboto" w:hAnsi="Roboto"/>
                <w:sz w:val="20"/>
                <w:szCs w:val="20"/>
                <w:rtl w:val="0"/>
              </w:rPr>
              <w:t xml:space="preserve"> = 2</w:t>
            </w:r>
          </w:p>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12 a 18 </w:t>
            </w:r>
            <w:r w:rsidDel="00000000" w:rsidR="00000000" w:rsidRPr="00000000">
              <w:rPr>
                <w:rFonts w:ascii="Calibri" w:cs="Calibri" w:eastAsia="Calibri" w:hAnsi="Calibri"/>
                <w:sz w:val="20"/>
                <w:szCs w:val="20"/>
                <w:rtl w:val="0"/>
              </w:rPr>
              <w:t xml:space="preserve">semanas</w:t>
            </w:r>
            <w:r w:rsidDel="00000000" w:rsidR="00000000" w:rsidRPr="00000000">
              <w:rPr>
                <w:rFonts w:ascii="Roboto" w:cs="Roboto" w:eastAsia="Roboto" w:hAnsi="Roboto"/>
                <w:sz w:val="20"/>
                <w:szCs w:val="20"/>
                <w:rtl w:val="0"/>
              </w:rPr>
              <w:t xml:space="preserve"> = 3</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18 a 24 </w:t>
            </w:r>
            <w:r w:rsidDel="00000000" w:rsidR="00000000" w:rsidRPr="00000000">
              <w:rPr>
                <w:rFonts w:ascii="Calibri" w:cs="Calibri" w:eastAsia="Calibri" w:hAnsi="Calibri"/>
                <w:sz w:val="20"/>
                <w:szCs w:val="20"/>
                <w:rtl w:val="0"/>
              </w:rPr>
              <w:t xml:space="preserve">semanas</w:t>
            </w:r>
            <w:r w:rsidDel="00000000" w:rsidR="00000000" w:rsidRPr="00000000">
              <w:rPr>
                <w:rFonts w:ascii="Roboto" w:cs="Roboto" w:eastAsia="Roboto" w:hAnsi="Roboto"/>
                <w:sz w:val="20"/>
                <w:szCs w:val="20"/>
                <w:rtl w:val="0"/>
              </w:rPr>
              <w:t xml:space="preserve"> o más = 4</w:t>
            </w:r>
          </w:p>
          <w:p w:rsidR="00000000" w:rsidDel="00000000" w:rsidP="00000000" w:rsidRDefault="00000000" w:rsidRPr="00000000" w14:paraId="00000098">
            <w:pPr>
              <w:widowControl w:val="0"/>
              <w:spacing w:line="240" w:lineRule="auto"/>
              <w:jc w:val="both"/>
              <w:rPr>
                <w:rFonts w:ascii="Roboto" w:cs="Roboto" w:eastAsia="Roboto" w:hAnsi="Roboto"/>
                <w:sz w:val="20"/>
                <w:szCs w:val="20"/>
              </w:rPr>
            </w:pPr>
            <w:r w:rsidDel="00000000" w:rsidR="00000000" w:rsidRPr="00000000">
              <w:rPr>
                <w:rFonts w:ascii="Calibri" w:cs="Calibri" w:eastAsia="Calibri" w:hAnsi="Calibri"/>
                <w:sz w:val="20"/>
                <w:szCs w:val="20"/>
                <w:rtl w:val="0"/>
              </w:rPr>
              <w:t xml:space="preserve">Proporcional: A mayor variación mayor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1"/>
              </w:numPr>
              <w:ind w:left="720" w:hanging="360"/>
              <w:jc w:val="both"/>
            </w:pPr>
            <w:r w:rsidDel="00000000" w:rsidR="00000000" w:rsidRPr="00000000">
              <w:rPr>
                <w:rtl w:val="0"/>
              </w:rPr>
              <w:t xml:space="preserve">Capacidad pago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 establecimiento tiene la capacidad de pagar salarios si se mantiene cerrada o con trabajo desde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Si = 1</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 2</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sé = 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no tiene la capacidad entonces hay un estrés, sin embargo no máximo porque no está cerrada. Si tiene la capacidad es un estrés mínimo porque lo está pensando.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el caso de no sé no lo ha considerado por lo tanto no hay estrés.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numPr>
                <w:ilvl w:val="0"/>
                <w:numId w:val="1"/>
              </w:numPr>
              <w:ind w:left="720" w:hanging="360"/>
              <w:jc w:val="both"/>
            </w:pPr>
            <w:r w:rsidDel="00000000" w:rsidR="00000000" w:rsidRPr="00000000">
              <w:rPr>
                <w:rtl w:val="0"/>
              </w:rPr>
              <w:t xml:space="preserve">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sz w:val="20"/>
                <w:szCs w:val="20"/>
                <w:rtl w:val="0"/>
              </w:rPr>
              <w:t xml:space="preserve">¿Cuenta actualmente con algún crédito?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 0</w:t>
            </w:r>
          </w:p>
          <w:p w:rsidR="00000000" w:rsidDel="00000000" w:rsidP="00000000" w:rsidRDefault="00000000" w:rsidRPr="00000000" w14:paraId="000000A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Si =2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no tener un crédito no hay estrés, al tenerlo si hay por el tiempo de crisis, sin embargo no es máximo porque no sabemos si puede o no pagarlo.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numPr>
                <w:ilvl w:val="0"/>
                <w:numId w:val="1"/>
              </w:numPr>
              <w:ind w:left="720" w:hanging="360"/>
              <w:jc w:val="both"/>
            </w:pPr>
            <w:r w:rsidDel="00000000" w:rsidR="00000000" w:rsidRPr="00000000">
              <w:rPr>
                <w:rtl w:val="0"/>
              </w:rPr>
              <w:t xml:space="preserve">Aumento insumos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 observado aumentos en los insumos que necesita para su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Si = 3 </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 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haber aumentos hay inestabilidad e incertidumbre por lo que se genera alto estrés.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1"/>
              </w:numPr>
              <w:ind w:left="720" w:hanging="360"/>
              <w:jc w:val="both"/>
            </w:pPr>
            <w:r w:rsidDel="00000000" w:rsidR="00000000" w:rsidRPr="00000000">
              <w:rPr>
                <w:rtl w:val="0"/>
              </w:rPr>
              <w:t xml:space="preserve">Aumento precios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 tenido que subir precios para compensar mayores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 3 </w:t>
            </w:r>
          </w:p>
          <w:p w:rsidR="00000000" w:rsidDel="00000000" w:rsidP="00000000" w:rsidRDefault="00000000" w:rsidRPr="00000000" w14:paraId="000000AD">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 0</w:t>
            </w:r>
          </w:p>
          <w:p w:rsidR="00000000" w:rsidDel="00000000" w:rsidP="00000000" w:rsidRDefault="00000000" w:rsidRPr="00000000" w14:paraId="000000AE">
            <w:pPr>
              <w:widowControl w:val="0"/>
              <w:spacing w:line="240" w:lineRule="auto"/>
              <w:jc w:val="both"/>
              <w:rPr/>
            </w:pPr>
            <w:r w:rsidDel="00000000" w:rsidR="00000000" w:rsidRPr="00000000">
              <w:rPr>
                <w:rFonts w:ascii="Calibri" w:cs="Calibri" w:eastAsia="Calibri" w:hAnsi="Calibri"/>
                <w:sz w:val="20"/>
                <w:szCs w:val="20"/>
                <w:rtl w:val="0"/>
              </w:rPr>
              <w:t xml:space="preserve">Al haber aumentos hay inestabilidad e incertidumbre por lo que se genera alto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numPr>
                <w:ilvl w:val="0"/>
                <w:numId w:val="1"/>
              </w:numPr>
              <w:ind w:left="720" w:hanging="360"/>
              <w:jc w:val="both"/>
            </w:pPr>
            <w:r w:rsidDel="00000000" w:rsidR="00000000" w:rsidRPr="00000000">
              <w:rPr>
                <w:rtl w:val="0"/>
              </w:rPr>
              <w:t xml:space="preserve">Escasez insumos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 enfrentado escasez o retrasos de insumos que necesita para su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 3 </w:t>
            </w:r>
          </w:p>
          <w:p w:rsidR="00000000" w:rsidDel="00000000" w:rsidP="00000000" w:rsidRDefault="00000000" w:rsidRPr="00000000" w14:paraId="000000B2">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 0</w:t>
            </w:r>
          </w:p>
          <w:p w:rsidR="00000000" w:rsidDel="00000000" w:rsidP="00000000" w:rsidRDefault="00000000" w:rsidRPr="00000000" w14:paraId="000000B3">
            <w:pPr>
              <w:widowControl w:val="0"/>
              <w:spacing w:line="240" w:lineRule="auto"/>
              <w:jc w:val="both"/>
              <w:rPr/>
            </w:pPr>
            <w:r w:rsidDel="00000000" w:rsidR="00000000" w:rsidRPr="00000000">
              <w:rPr>
                <w:rFonts w:ascii="Calibri" w:cs="Calibri" w:eastAsia="Calibri" w:hAnsi="Calibri"/>
                <w:sz w:val="20"/>
                <w:szCs w:val="20"/>
                <w:rtl w:val="0"/>
              </w:rPr>
              <w:t xml:space="preserve">Al haber aumentos hay inestabilidad e incertidumbre por lo que se genera alto estrés.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numPr>
                <w:ilvl w:val="0"/>
                <w:numId w:val="1"/>
              </w:numPr>
              <w:ind w:left="720" w:hanging="360"/>
              <w:jc w:val="both"/>
            </w:pPr>
            <w:r w:rsidDel="00000000" w:rsidR="00000000" w:rsidRPr="00000000">
              <w:rPr>
                <w:rtl w:val="0"/>
              </w:rPr>
              <w:t xml:space="preserve">Aumento tipo de cambio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¿Considera que se ha visto afectado negativamente por el alza en el tipo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 4 </w:t>
            </w:r>
          </w:p>
          <w:p w:rsidR="00000000" w:rsidDel="00000000" w:rsidP="00000000" w:rsidRDefault="00000000" w:rsidRPr="00000000" w14:paraId="000000B8">
            <w:pPr>
              <w:widowControl w:val="0"/>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 0</w:t>
            </w:r>
          </w:p>
          <w:p w:rsidR="00000000" w:rsidDel="00000000" w:rsidP="00000000" w:rsidRDefault="00000000" w:rsidRPr="00000000" w14:paraId="000000B9">
            <w:pPr>
              <w:widowControl w:val="0"/>
              <w:spacing w:line="240" w:lineRule="auto"/>
              <w:jc w:val="both"/>
              <w:rPr/>
            </w:pPr>
            <w:r w:rsidDel="00000000" w:rsidR="00000000" w:rsidRPr="00000000">
              <w:rPr>
                <w:rFonts w:ascii="Calibri" w:cs="Calibri" w:eastAsia="Calibri" w:hAnsi="Calibri"/>
                <w:sz w:val="20"/>
                <w:szCs w:val="20"/>
                <w:rtl w:val="0"/>
              </w:rPr>
              <w:t xml:space="preserve">Se pregunta directamente si se vio afectado, al ser positiva la respuesta se acepta la presencia del estrés.</w:t>
            </w:r>
            <w:r w:rsidDel="00000000" w:rsidR="00000000" w:rsidRPr="00000000">
              <w:rPr>
                <w:rtl w:val="0"/>
              </w:rPr>
            </w:r>
          </w:p>
        </w:tc>
      </w:tr>
    </w:tbl>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Los cálculos para estimar la variable estrés fueron realizados en un notebook de python.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