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6"/>
        </w:rPr>
        <w:t>IFQM Employee Ideation Tool</w:t>
      </w:r>
    </w:p>
    <w:p>
      <w:pPr>
        <w:spacing w:after="80"/>
        <w:jc w:val="center"/>
      </w:pPr>
      <w:r>
        <w:rPr>
          <w:b/>
          <w:sz w:val="40"/>
        </w:rPr>
        <w:t>SMS Usage and DLT Content Template Request</w:t>
      </w:r>
    </w:p>
    <w:p>
      <w:pPr>
        <w:spacing w:after="360"/>
        <w:jc w:val="center"/>
      </w:pPr>
      <w:r>
        <w:rPr>
          <w:color w:val="555555"/>
          <w:sz w:val="22"/>
        </w:rPr>
        <w:t>Prepared for registration with Jio TrueConnect (DLT)</w:t>
      </w:r>
    </w:p>
    <w:tbl>
      <w:tblPr>
        <w:tblStyle w:val="TableGrid"/>
        <w:tblW w:type="auto" w:w="0"/>
        <w:jc w:val="center"/>
        <w:tblLayout w:type="fixed"/>
        <w:tblLook w:firstColumn="1" w:firstRow="1" w:lastColumn="0" w:lastRow="0" w:noHBand="0" w:noVBand="1" w:val="04A0"/>
      </w:tblPr>
      <w:tblGrid>
        <w:gridCol w:w="4896"/>
        <w:gridCol w:w="4896"/>
      </w:tblGrid>
      <w:tr>
        <w:tc>
          <w:tcPr>
            <w:tcW w:type="dxa" w:w="3312"/>
            <w:shd w:val="clear" w:fill="E8E8E8"/>
          </w:tcPr>
          <w:p>
            <w:pPr>
              <w:spacing w:after="40"/>
            </w:pPr>
            <w:r/>
            <w:r>
              <w:rPr>
                <w:b/>
                <w:sz w:val="20"/>
              </w:rPr>
              <w:t>Field</w:t>
            </w:r>
          </w:p>
        </w:tc>
        <w:tc>
          <w:tcPr>
            <w:tcW w:type="dxa" w:w="6192"/>
            <w:shd w:val="clear" w:fill="E8E8E8"/>
          </w:tcPr>
          <w:p>
            <w:pPr>
              <w:spacing w:after="40"/>
            </w:pPr>
            <w:r/>
            <w:r>
              <w:rPr>
                <w:b/>
                <w:sz w:val="20"/>
              </w:rPr>
              <w:t>Value</w:t>
            </w:r>
          </w:p>
        </w:tc>
      </w:tr>
      <w:tr>
        <w:tc>
          <w:tcPr>
            <w:tcW w:type="dxa" w:w="3312"/>
          </w:tcPr>
          <w:p>
            <w:pPr>
              <w:spacing w:after="40"/>
            </w:pPr>
            <w:r/>
            <w:r>
              <w:rPr>
                <w:sz w:val="20"/>
              </w:rPr>
              <w:t>Principal Entity (PE) name</w:t>
            </w:r>
          </w:p>
        </w:tc>
        <w:tc>
          <w:tcPr>
            <w:tcW w:type="dxa" w:w="6192"/>
          </w:tcPr>
          <w:p>
            <w:pPr>
              <w:spacing w:after="40"/>
            </w:pPr>
            <w:r/>
            <w:r>
              <w:rPr>
                <w:sz w:val="20"/>
              </w:rPr>
              <w:t>IFQM Skills</w:t>
            </w:r>
          </w:p>
        </w:tc>
      </w:tr>
      <w:tr>
        <w:tc>
          <w:tcPr>
            <w:tcW w:type="dxa" w:w="3312"/>
          </w:tcPr>
          <w:p>
            <w:pPr>
              <w:spacing w:after="40"/>
            </w:pPr>
            <w:r/>
            <w:r>
              <w:rPr>
                <w:sz w:val="20"/>
              </w:rPr>
              <w:t>Principal Entity ID</w:t>
            </w:r>
          </w:p>
        </w:tc>
        <w:tc>
          <w:tcPr>
            <w:tcW w:type="dxa" w:w="6192"/>
          </w:tcPr>
          <w:p>
            <w:pPr>
              <w:spacing w:after="40"/>
            </w:pPr>
            <w:r/>
            <w:r>
              <w:rPr>
                <w:sz w:val="20"/>
              </w:rPr>
              <w:t>1201174858303838784</w:t>
            </w:r>
          </w:p>
        </w:tc>
      </w:tr>
      <w:tr>
        <w:tc>
          <w:tcPr>
            <w:tcW w:type="dxa" w:w="3312"/>
          </w:tcPr>
          <w:p>
            <w:pPr>
              <w:spacing w:after="40"/>
            </w:pPr>
            <w:r/>
            <w:r>
              <w:rPr>
                <w:sz w:val="20"/>
              </w:rPr>
              <w:t>Header / Sender ID</w:t>
            </w:r>
          </w:p>
        </w:tc>
        <w:tc>
          <w:tcPr>
            <w:tcW w:type="dxa" w:w="6192"/>
          </w:tcPr>
          <w:p>
            <w:pPr>
              <w:spacing w:after="40"/>
            </w:pPr>
            <w:r/>
            <w:r>
              <w:rPr>
                <w:sz w:val="20"/>
              </w:rPr>
              <w:t>IFQMSK</w:t>
            </w:r>
          </w:p>
        </w:tc>
      </w:tr>
      <w:tr>
        <w:tc>
          <w:tcPr>
            <w:tcW w:type="dxa" w:w="3312"/>
          </w:tcPr>
          <w:p>
            <w:pPr>
              <w:spacing w:after="40"/>
            </w:pPr>
            <w:r/>
            <w:r>
              <w:rPr>
                <w:sz w:val="20"/>
              </w:rPr>
              <w:t>Telemarketer / gateway</w:t>
            </w:r>
          </w:p>
        </w:tc>
        <w:tc>
          <w:tcPr>
            <w:tcW w:type="dxa" w:w="6192"/>
          </w:tcPr>
          <w:p>
            <w:pPr>
              <w:spacing w:after="40"/>
            </w:pPr>
            <w:r/>
            <w:r>
              <w:rPr>
                <w:sz w:val="20"/>
              </w:rPr>
              <w:t>Kaleyra</w:t>
            </w:r>
          </w:p>
        </w:tc>
      </w:tr>
      <w:tr>
        <w:tc>
          <w:tcPr>
            <w:tcW w:type="dxa" w:w="3312"/>
          </w:tcPr>
          <w:p>
            <w:pPr>
              <w:spacing w:after="40"/>
            </w:pPr>
            <w:r/>
            <w:r>
              <w:rPr>
                <w:sz w:val="20"/>
              </w:rPr>
              <w:t>Kaleyra account SID</w:t>
            </w:r>
          </w:p>
        </w:tc>
        <w:tc>
          <w:tcPr>
            <w:tcW w:type="dxa" w:w="6192"/>
          </w:tcPr>
          <w:p>
            <w:pPr>
              <w:spacing w:after="40"/>
            </w:pPr>
            <w:r/>
            <w:r>
              <w:rPr>
                <w:sz w:val="20"/>
              </w:rPr>
              <w:t>HXAP1678914824IN</w:t>
            </w:r>
          </w:p>
        </w:tc>
      </w:tr>
      <w:tr>
        <w:tc>
          <w:tcPr>
            <w:tcW w:type="dxa" w:w="3312"/>
          </w:tcPr>
          <w:p>
            <w:pPr>
              <w:spacing w:after="40"/>
            </w:pPr>
            <w:r/>
            <w:r>
              <w:rPr>
                <w:sz w:val="20"/>
              </w:rPr>
              <w:t>Templates already registered</w:t>
            </w:r>
          </w:p>
        </w:tc>
        <w:tc>
          <w:tcPr>
            <w:tcW w:type="dxa" w:w="6192"/>
          </w:tcPr>
          <w:p>
            <w:pPr>
              <w:spacing w:after="40"/>
            </w:pPr>
            <w:r/>
            <w:r>
              <w:rPr>
                <w:sz w:val="20"/>
              </w:rPr>
              <w:t>3 (see section 4)</w:t>
            </w:r>
          </w:p>
        </w:tc>
      </w:tr>
      <w:tr>
        <w:tc>
          <w:tcPr>
            <w:tcW w:type="dxa" w:w="3312"/>
          </w:tcPr>
          <w:p>
            <w:pPr>
              <w:spacing w:after="40"/>
            </w:pPr>
            <w:r/>
            <w:r>
              <w:rPr>
                <w:sz w:val="20"/>
              </w:rPr>
              <w:t>Templates requested here</w:t>
            </w:r>
          </w:p>
        </w:tc>
        <w:tc>
          <w:tcPr>
            <w:tcW w:type="dxa" w:w="6192"/>
          </w:tcPr>
          <w:p>
            <w:pPr>
              <w:spacing w:after="40"/>
            </w:pPr>
            <w:r/>
            <w:r>
              <w:rPr>
                <w:sz w:val="20"/>
              </w:rPr>
              <w:t>4 (see section 3)</w:t>
            </w:r>
          </w:p>
        </w:tc>
      </w:tr>
    </w:tbl>
    <w:p/>
    <w:p>
      <w:pPr>
        <w:spacing w:after="140"/>
        <w:jc w:val="both"/>
      </w:pPr>
      <w:r>
        <w:rPr>
          <w:b w:val="0"/>
          <w:color w:val="555555"/>
          <w:sz w:val="21"/>
        </w:rPr>
        <w:t>This document has two purposes. Sections 1 and 2 record exactly where the platform sends an SMS and what it sends, so the request can be checked against the product rather than taken on trust. Section 3 is the request itself, in the form the operator needs.</w:t>
      </w:r>
    </w:p>
    <w:p>
      <w:r>
        <w:br w:type="page"/>
      </w:r>
    </w:p>
    <w:p>
      <w:pPr>
        <w:pStyle w:val="Heading1"/>
        <w:keepNext/>
        <w:spacing w:before="0" w:after="120"/>
      </w:pPr>
      <w:r>
        <w:rPr>
          <w:rFonts w:ascii="Calibri" w:hAnsi="Calibri"/>
          <w:color w:val="111111"/>
        </w:rPr>
        <w:t>1.  What is being asked for, in one page</w:t>
      </w:r>
    </w:p>
    <w:p>
      <w:pPr>
        <w:spacing w:after="140"/>
        <w:jc w:val="both"/>
      </w:pPr>
      <w:r>
        <w:rPr>
          <w:b w:val="0"/>
          <w:color w:val="111111"/>
          <w:sz w:val="21"/>
        </w:rPr>
        <w:t>The platform sends an SMS in six situations. Five of them carry a one-time code; the sixth is a security notice sent to a mobile number that has just been replaced. Four content templates cover all six.</w:t>
      </w:r>
    </w:p>
    <w:p>
      <w:pPr>
        <w:spacing w:after="140"/>
        <w:jc w:val="both"/>
      </w:pPr>
      <w:r>
        <w:rPr>
          <w:b w:val="0"/>
          <w:color w:val="111111"/>
          <w:sz w:val="21"/>
        </w:rPr>
        <w:t>Only one template registration is usable today. Its approved wording is:</w:t>
      </w:r>
    </w:p>
    <w:p>
      <w:pPr>
        <w:spacing w:before="60" w:after="160"/>
        <w:ind w:left="259"/>
        <w:shd w:val="clear" w:fill="F4F4F4"/>
      </w:pPr>
      <w:r>
        <w:rPr>
          <w:rFonts w:ascii="Consolas" w:hAnsi="Consolas"/>
          <w:color w:val="111111"/>
          <w:sz w:val="19"/>
        </w:rPr>
        <w:t>Dear Customer, use OTP {#var#} to complete your activation on IFQM Skills. Do not share this OTP with anyone.</w:t>
      </w:r>
    </w:p>
    <w:p>
      <w:pPr>
        <w:spacing w:after="140"/>
        <w:jc w:val="both"/>
      </w:pPr>
      <w:r>
        <w:rPr>
          <w:b w:val="0"/>
          <w:color w:val="111111"/>
          <w:sz w:val="21"/>
        </w:rPr>
        <w:t>Registered under template ID 1207177450026368470. Every one of the platform's messages currently goes out under that single registration, because it is the only registration whose approved text is known to us.</w:t>
      </w:r>
    </w:p>
    <w:p>
      <w:pPr>
        <w:spacing w:after="140"/>
        <w:jc w:val="both"/>
      </w:pPr>
      <w:r>
        <w:rPr>
          <w:b/>
          <w:color w:val="111111"/>
          <w:sz w:val="21"/>
        </w:rPr>
        <w:t>That has one visible consequence and one hidden one.</w:t>
      </w:r>
    </w:p>
    <w:p>
      <w:pPr>
        <w:pStyle w:val="ListBullet"/>
        <w:spacing w:after="60"/>
        <w:jc w:val="both"/>
      </w:pPr>
      <w:r>
        <w:rPr>
          <w:b/>
          <w:sz w:val="21"/>
        </w:rPr>
        <w:t xml:space="preserve">Visible: </w:t>
      </w:r>
      <w:r>
        <w:rPr>
          <w:sz w:val="21"/>
        </w:rPr>
        <w:t>Somebody signing in, or resetting a forgotten password, reads "complete your activation on IFQM Skills". The message arrives and the code works, but the wording describes a different action from the one they are performing.</w:t>
      </w:r>
    </w:p>
    <w:p>
      <w:pPr>
        <w:pStyle w:val="ListBullet"/>
        <w:spacing w:after="60"/>
        <w:jc w:val="both"/>
      </w:pPr>
      <w:r>
        <w:rPr>
          <w:b/>
          <w:sz w:val="21"/>
        </w:rPr>
        <w:t xml:space="preserve">Hidden: </w:t>
      </w:r>
      <w:r>
        <w:rPr>
          <w:sz w:val="21"/>
        </w:rPr>
        <w:t>The security notice sent to a replaced mobile number (journey 5) has no matching registration at all, so it does not reach anybody. This is the item most worth fixing: it is the only warning the rightful owner of a number gets if somebody else moves an account onto their own handset.</w:t>
      </w:r>
    </w:p>
    <w:p>
      <w:pPr>
        <w:spacing w:after="140"/>
        <w:jc w:val="both"/>
      </w:pPr>
      <w:r>
        <w:rPr>
          <w:b w:val="0"/>
          <w:color w:val="111111"/>
          <w:sz w:val="21"/>
        </w:rPr>
        <w:t>Section 3 asks for four templates that between them describe each journey in its own words, and give the security notice a registration it can be sent under.</w:t>
      </w:r>
    </w:p>
    <w:p>
      <w:pPr>
        <w:pStyle w:val="Heading1"/>
        <w:keepNext/>
        <w:spacing w:before="320" w:after="120"/>
      </w:pPr>
      <w:r>
        <w:rPr>
          <w:rFonts w:ascii="Calibri" w:hAnsi="Calibri"/>
          <w:color w:val="111111"/>
        </w:rPr>
        <w:t>2.  Where the platform sends an SMS</w:t>
      </w:r>
    </w:p>
    <w:p>
      <w:pPr>
        <w:spacing w:after="140"/>
        <w:jc w:val="both"/>
      </w:pPr>
      <w:r>
        <w:rPr>
          <w:b w:val="0"/>
          <w:color w:val="111111"/>
          <w:sz w:val="21"/>
        </w:rPr>
        <w:t>Read out of the code rather than from memory; the source of each row is named so it can be checked.</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c>
          <w:tcPr>
            <w:tcW w:type="dxa" w:w="403"/>
            <w:shd w:val="clear" w:fill="E8E8E8"/>
          </w:tcPr>
          <w:p>
            <w:pPr>
              <w:spacing w:after="40"/>
            </w:pPr>
            <w:r/>
            <w:r>
              <w:rPr>
                <w:b/>
                <w:sz w:val="17"/>
              </w:rPr>
              <w:t>#</w:t>
            </w:r>
          </w:p>
        </w:tc>
        <w:tc>
          <w:tcPr>
            <w:tcW w:type="dxa" w:w="2160"/>
            <w:shd w:val="clear" w:fill="E8E8E8"/>
          </w:tcPr>
          <w:p>
            <w:pPr>
              <w:spacing w:after="40"/>
            </w:pPr>
            <w:r/>
            <w:r>
              <w:rPr>
                <w:b/>
                <w:sz w:val="17"/>
              </w:rPr>
              <w:t>Journey</w:t>
            </w:r>
          </w:p>
        </w:tc>
        <w:tc>
          <w:tcPr>
            <w:tcW w:type="dxa" w:w="1512"/>
            <w:shd w:val="clear" w:fill="E8E8E8"/>
          </w:tcPr>
          <w:p>
            <w:pPr>
              <w:spacing w:after="40"/>
            </w:pPr>
            <w:r/>
            <w:r>
              <w:rPr>
                <w:b/>
                <w:sz w:val="17"/>
              </w:rPr>
              <w:t>Internal purpose</w:t>
            </w:r>
          </w:p>
        </w:tc>
        <w:tc>
          <w:tcPr>
            <w:tcW w:type="dxa" w:w="3096"/>
            <w:shd w:val="clear" w:fill="E8E8E8"/>
          </w:tcPr>
          <w:p>
            <w:pPr>
              <w:spacing w:after="40"/>
            </w:pPr>
            <w:r/>
            <w:r>
              <w:rPr>
                <w:b/>
                <w:sz w:val="17"/>
              </w:rPr>
              <w:t>When it is sent</w:t>
            </w:r>
          </w:p>
        </w:tc>
        <w:tc>
          <w:tcPr>
            <w:tcW w:type="dxa" w:w="1944"/>
            <w:shd w:val="clear" w:fill="E8E8E8"/>
          </w:tcPr>
          <w:p>
            <w:pPr>
              <w:spacing w:after="40"/>
            </w:pPr>
            <w:r/>
            <w:r>
              <w:rPr>
                <w:b/>
                <w:sz w:val="17"/>
              </w:rPr>
              <w:t>Source</w:t>
            </w:r>
          </w:p>
        </w:tc>
        <w:tc>
          <w:tcPr>
            <w:tcW w:type="dxa" w:w="605"/>
            <w:shd w:val="clear" w:fill="E8E8E8"/>
          </w:tcPr>
          <w:p>
            <w:pPr>
              <w:spacing w:after="40"/>
            </w:pPr>
            <w:r/>
            <w:r>
              <w:rPr>
                <w:b/>
                <w:sz w:val="17"/>
              </w:rPr>
              <w:t>OTP?</w:t>
            </w:r>
          </w:p>
        </w:tc>
      </w:tr>
      <w:tr>
        <w:tc>
          <w:tcPr>
            <w:tcW w:type="dxa" w:w="403"/>
          </w:tcPr>
          <w:p>
            <w:pPr>
              <w:spacing w:after="40"/>
            </w:pPr>
            <w:r/>
            <w:r>
              <w:rPr>
                <w:sz w:val="17"/>
              </w:rPr>
              <w:t>1</w:t>
            </w:r>
          </w:p>
        </w:tc>
        <w:tc>
          <w:tcPr>
            <w:tcW w:type="dxa" w:w="2160"/>
          </w:tcPr>
          <w:p>
            <w:pPr>
              <w:spacing w:after="40"/>
            </w:pPr>
            <w:r/>
            <w:r>
              <w:rPr>
                <w:sz w:val="17"/>
              </w:rPr>
              <w:t>Sign-in by one-time code</w:t>
            </w:r>
          </w:p>
        </w:tc>
        <w:tc>
          <w:tcPr>
            <w:tcW w:type="dxa" w:w="1512"/>
          </w:tcPr>
          <w:p>
            <w:pPr>
              <w:spacing w:after="40"/>
            </w:pPr>
            <w:r/>
            <w:r>
              <w:rPr>
                <w:rFonts w:ascii="Consolas" w:hAnsi="Consolas"/>
                <w:sz w:val="17"/>
              </w:rPr>
              <w:t>login</w:t>
            </w:r>
          </w:p>
        </w:tc>
        <w:tc>
          <w:tcPr>
            <w:tcW w:type="dxa" w:w="3096"/>
          </w:tcPr>
          <w:p>
            <w:pPr>
              <w:spacing w:after="40"/>
            </w:pPr>
            <w:r/>
            <w:r>
              <w:rPr>
                <w:sz w:val="17"/>
              </w:rPr>
              <w:t>A person enters their email address or mobile number on the sign-in screen while one-time-code sign-in is switched on.</w:t>
            </w:r>
          </w:p>
        </w:tc>
        <w:tc>
          <w:tcPr>
            <w:tcW w:type="dxa" w:w="1944"/>
          </w:tcPr>
          <w:p>
            <w:pPr>
              <w:spacing w:after="40"/>
            </w:pPr>
            <w:r/>
            <w:r>
              <w:rPr>
                <w:rFonts w:ascii="Consolas" w:hAnsi="Consolas"/>
                <w:sz w:val="17"/>
              </w:rPr>
              <w:t>otpService.requestOtp()</w:t>
            </w:r>
          </w:p>
        </w:tc>
        <w:tc>
          <w:tcPr>
            <w:tcW w:type="dxa" w:w="605"/>
          </w:tcPr>
          <w:p>
            <w:pPr>
              <w:spacing w:after="40"/>
            </w:pPr>
            <w:r/>
            <w:r>
              <w:rPr>
                <w:sz w:val="17"/>
              </w:rPr>
              <w:t>Yes</w:t>
            </w:r>
          </w:p>
        </w:tc>
      </w:tr>
      <w:tr>
        <w:tc>
          <w:tcPr>
            <w:tcW w:type="dxa" w:w="403"/>
          </w:tcPr>
          <w:p>
            <w:pPr>
              <w:spacing w:after="40"/>
            </w:pPr>
            <w:r/>
            <w:r>
              <w:rPr>
                <w:sz w:val="17"/>
              </w:rPr>
              <w:t>2</w:t>
            </w:r>
          </w:p>
        </w:tc>
        <w:tc>
          <w:tcPr>
            <w:tcW w:type="dxa" w:w="2160"/>
          </w:tcPr>
          <w:p>
            <w:pPr>
              <w:spacing w:after="40"/>
            </w:pPr>
            <w:r/>
            <w:r>
              <w:rPr>
                <w:sz w:val="17"/>
              </w:rPr>
              <w:t>Company registration — verify the mobile number</w:t>
            </w:r>
          </w:p>
        </w:tc>
        <w:tc>
          <w:tcPr>
            <w:tcW w:type="dxa" w:w="1512"/>
          </w:tcPr>
          <w:p>
            <w:pPr>
              <w:spacing w:after="40"/>
            </w:pPr>
            <w:r/>
            <w:r>
              <w:rPr>
                <w:rFonts w:ascii="Consolas" w:hAnsi="Consolas"/>
                <w:sz w:val="17"/>
              </w:rPr>
              <w:t>registration_phone</w:t>
            </w:r>
          </w:p>
        </w:tc>
        <w:tc>
          <w:tcPr>
            <w:tcW w:type="dxa" w:w="3096"/>
          </w:tcPr>
          <w:p>
            <w:pPr>
              <w:spacing w:after="40"/>
            </w:pPr>
            <w:r/>
            <w:r>
              <w:rPr>
                <w:sz w:val="17"/>
              </w:rPr>
              <w:t>A company fills in the self-registration form and asks for a code to confirm the mobile number on the application.</w:t>
            </w:r>
          </w:p>
        </w:tc>
        <w:tc>
          <w:tcPr>
            <w:tcW w:type="dxa" w:w="1944"/>
          </w:tcPr>
          <w:p>
            <w:pPr>
              <w:spacing w:after="40"/>
            </w:pPr>
            <w:r/>
            <w:r>
              <w:rPr>
                <w:rFonts w:ascii="Consolas" w:hAnsi="Consolas"/>
                <w:sz w:val="17"/>
              </w:rPr>
              <w:t>registrationService (sendPhoneCode)</w:t>
            </w:r>
          </w:p>
        </w:tc>
        <w:tc>
          <w:tcPr>
            <w:tcW w:type="dxa" w:w="605"/>
          </w:tcPr>
          <w:p>
            <w:pPr>
              <w:spacing w:after="40"/>
            </w:pPr>
            <w:r/>
            <w:r>
              <w:rPr>
                <w:sz w:val="17"/>
              </w:rPr>
              <w:t>Yes</w:t>
            </w:r>
          </w:p>
        </w:tc>
      </w:tr>
      <w:tr>
        <w:tc>
          <w:tcPr>
            <w:tcW w:type="dxa" w:w="403"/>
          </w:tcPr>
          <w:p>
            <w:pPr>
              <w:spacing w:after="40"/>
            </w:pPr>
            <w:r/>
            <w:r>
              <w:rPr>
                <w:sz w:val="17"/>
              </w:rPr>
              <w:t>3</w:t>
            </w:r>
          </w:p>
        </w:tc>
        <w:tc>
          <w:tcPr>
            <w:tcW w:type="dxa" w:w="2160"/>
          </w:tcPr>
          <w:p>
            <w:pPr>
              <w:spacing w:after="40"/>
            </w:pPr>
            <w:r/>
            <w:r>
              <w:rPr>
                <w:sz w:val="17"/>
              </w:rPr>
              <w:t>Password reset</w:t>
            </w:r>
          </w:p>
        </w:tc>
        <w:tc>
          <w:tcPr>
            <w:tcW w:type="dxa" w:w="1512"/>
          </w:tcPr>
          <w:p>
            <w:pPr>
              <w:spacing w:after="40"/>
            </w:pPr>
            <w:r/>
            <w:r>
              <w:rPr>
                <w:rFonts w:ascii="Consolas" w:hAnsi="Consolas"/>
                <w:sz w:val="17"/>
              </w:rPr>
              <w:t>password_reset</w:t>
            </w:r>
          </w:p>
        </w:tc>
        <w:tc>
          <w:tcPr>
            <w:tcW w:type="dxa" w:w="3096"/>
          </w:tcPr>
          <w:p>
            <w:pPr>
              <w:spacing w:after="40"/>
            </w:pPr>
            <w:r/>
            <w:r>
              <w:rPr>
                <w:sz w:val="17"/>
              </w:rPr>
              <w:t>A person uses "Forgot password" and asks for the code by SMS rather than email.</w:t>
            </w:r>
          </w:p>
        </w:tc>
        <w:tc>
          <w:tcPr>
            <w:tcW w:type="dxa" w:w="1944"/>
          </w:tcPr>
          <w:p>
            <w:pPr>
              <w:spacing w:after="40"/>
            </w:pPr>
            <w:r/>
            <w:r>
              <w:rPr>
                <w:rFonts w:ascii="Consolas" w:hAnsi="Consolas"/>
                <w:sz w:val="17"/>
              </w:rPr>
              <w:t>authService (requestPasswordReset)</w:t>
            </w:r>
          </w:p>
        </w:tc>
        <w:tc>
          <w:tcPr>
            <w:tcW w:type="dxa" w:w="605"/>
          </w:tcPr>
          <w:p>
            <w:pPr>
              <w:spacing w:after="40"/>
            </w:pPr>
            <w:r/>
            <w:r>
              <w:rPr>
                <w:sz w:val="17"/>
              </w:rPr>
              <w:t>Yes</w:t>
            </w:r>
          </w:p>
        </w:tc>
      </w:tr>
      <w:tr>
        <w:tc>
          <w:tcPr>
            <w:tcW w:type="dxa" w:w="403"/>
          </w:tcPr>
          <w:p>
            <w:pPr>
              <w:spacing w:after="40"/>
            </w:pPr>
            <w:r/>
            <w:r>
              <w:rPr>
                <w:sz w:val="17"/>
              </w:rPr>
              <w:t>4</w:t>
            </w:r>
          </w:p>
        </w:tc>
        <w:tc>
          <w:tcPr>
            <w:tcW w:type="dxa" w:w="2160"/>
          </w:tcPr>
          <w:p>
            <w:pPr>
              <w:spacing w:after="40"/>
            </w:pPr>
            <w:r/>
            <w:r>
              <w:rPr>
                <w:sz w:val="17"/>
              </w:rPr>
              <w:t>Confirm a change of mobile number</w:t>
            </w:r>
          </w:p>
        </w:tc>
        <w:tc>
          <w:tcPr>
            <w:tcW w:type="dxa" w:w="1512"/>
          </w:tcPr>
          <w:p>
            <w:pPr>
              <w:spacing w:after="40"/>
            </w:pPr>
            <w:r/>
            <w:r>
              <w:rPr>
                <w:rFonts w:ascii="Consolas" w:hAnsi="Consolas"/>
                <w:sz w:val="17"/>
              </w:rPr>
              <w:t>phone_verify</w:t>
            </w:r>
          </w:p>
        </w:tc>
        <w:tc>
          <w:tcPr>
            <w:tcW w:type="dxa" w:w="3096"/>
          </w:tcPr>
          <w:p>
            <w:pPr>
              <w:spacing w:after="40"/>
            </w:pPr>
            <w:r/>
            <w:r>
              <w:rPr>
                <w:sz w:val="17"/>
              </w:rPr>
              <w:t>A signed-in person edits the mobile number on My Profile; the code goes to the NEW number to prove they hold it.</w:t>
            </w:r>
          </w:p>
        </w:tc>
        <w:tc>
          <w:tcPr>
            <w:tcW w:type="dxa" w:w="1944"/>
          </w:tcPr>
          <w:p>
            <w:pPr>
              <w:spacing w:after="40"/>
            </w:pPr>
            <w:r/>
            <w:r>
              <w:rPr>
                <w:rFonts w:ascii="Consolas" w:hAnsi="Consolas"/>
                <w:sz w:val="17"/>
              </w:rPr>
              <w:t>userService.requestPhoneChangeCode()</w:t>
            </w:r>
          </w:p>
        </w:tc>
        <w:tc>
          <w:tcPr>
            <w:tcW w:type="dxa" w:w="605"/>
          </w:tcPr>
          <w:p>
            <w:pPr>
              <w:spacing w:after="40"/>
            </w:pPr>
            <w:r/>
            <w:r>
              <w:rPr>
                <w:sz w:val="17"/>
              </w:rPr>
              <w:t>Yes</w:t>
            </w:r>
          </w:p>
        </w:tc>
      </w:tr>
      <w:tr>
        <w:tc>
          <w:tcPr>
            <w:tcW w:type="dxa" w:w="403"/>
          </w:tcPr>
          <w:p>
            <w:pPr>
              <w:spacing w:after="40"/>
            </w:pPr>
            <w:r/>
            <w:r>
              <w:rPr>
                <w:sz w:val="17"/>
              </w:rPr>
              <w:t>5</w:t>
            </w:r>
          </w:p>
        </w:tc>
        <w:tc>
          <w:tcPr>
            <w:tcW w:type="dxa" w:w="2160"/>
          </w:tcPr>
          <w:p>
            <w:pPr>
              <w:spacing w:after="40"/>
            </w:pPr>
            <w:r/>
            <w:r>
              <w:rPr>
                <w:sz w:val="17"/>
              </w:rPr>
              <w:t>Alert the old number after a change</w:t>
            </w:r>
          </w:p>
        </w:tc>
        <w:tc>
          <w:tcPr>
            <w:tcW w:type="dxa" w:w="1512"/>
          </w:tcPr>
          <w:p>
            <w:pPr>
              <w:spacing w:after="40"/>
            </w:pPr>
            <w:r/>
            <w:r>
              <w:rPr>
                <w:rFonts w:ascii="Consolas" w:hAnsi="Consolas"/>
                <w:sz w:val="17"/>
              </w:rPr>
              <w:t>(none — see 2.2)</w:t>
            </w:r>
          </w:p>
        </w:tc>
        <w:tc>
          <w:tcPr>
            <w:tcW w:type="dxa" w:w="3096"/>
          </w:tcPr>
          <w:p>
            <w:pPr>
              <w:spacing w:after="40"/>
            </w:pPr>
            <w:r/>
            <w:r>
              <w:rPr>
                <w:sz w:val="17"/>
              </w:rPr>
              <w:t>Immediately after a mobile number is changed, the PREVIOUS number is told, so the real owner learns about it if the change was not theirs.</w:t>
            </w:r>
          </w:p>
        </w:tc>
        <w:tc>
          <w:tcPr>
            <w:tcW w:type="dxa" w:w="1944"/>
          </w:tcPr>
          <w:p>
            <w:pPr>
              <w:spacing w:after="40"/>
            </w:pPr>
            <w:r/>
            <w:r>
              <w:rPr>
                <w:rFonts w:ascii="Consolas" w:hAnsi="Consolas"/>
                <w:sz w:val="17"/>
              </w:rPr>
              <w:t>userService.notifyPhoneChanged()</w:t>
            </w:r>
          </w:p>
        </w:tc>
        <w:tc>
          <w:tcPr>
            <w:tcW w:type="dxa" w:w="605"/>
          </w:tcPr>
          <w:p>
            <w:pPr>
              <w:spacing w:after="40"/>
            </w:pPr>
            <w:r/>
            <w:r>
              <w:rPr>
                <w:sz w:val="17"/>
              </w:rPr>
              <w:t>No</w:t>
            </w:r>
          </w:p>
        </w:tc>
      </w:tr>
      <w:tr>
        <w:tc>
          <w:tcPr>
            <w:tcW w:type="dxa" w:w="403"/>
          </w:tcPr>
          <w:p>
            <w:pPr>
              <w:spacing w:after="40"/>
            </w:pPr>
            <w:r/>
            <w:r>
              <w:rPr>
                <w:sz w:val="17"/>
              </w:rPr>
              <w:t>6</w:t>
            </w:r>
          </w:p>
        </w:tc>
        <w:tc>
          <w:tcPr>
            <w:tcW w:type="dxa" w:w="2160"/>
          </w:tcPr>
          <w:p>
            <w:pPr>
              <w:spacing w:after="40"/>
            </w:pPr>
            <w:r/>
            <w:r>
              <w:rPr>
                <w:sz w:val="17"/>
              </w:rPr>
              <w:t>Gateway test message</w:t>
            </w:r>
          </w:p>
        </w:tc>
        <w:tc>
          <w:tcPr>
            <w:tcW w:type="dxa" w:w="1512"/>
          </w:tcPr>
          <w:p>
            <w:pPr>
              <w:spacing w:after="40"/>
            </w:pPr>
            <w:r/>
            <w:r>
              <w:rPr>
                <w:rFonts w:ascii="Consolas" w:hAnsi="Consolas"/>
                <w:sz w:val="17"/>
              </w:rPr>
              <w:t>login</w:t>
            </w:r>
          </w:p>
        </w:tc>
        <w:tc>
          <w:tcPr>
            <w:tcW w:type="dxa" w:w="3096"/>
          </w:tcPr>
          <w:p>
            <w:pPr>
              <w:spacing w:after="40"/>
            </w:pPr>
            <w:r/>
            <w:r>
              <w:rPr>
                <w:sz w:val="17"/>
              </w:rPr>
              <w:t>A platform administrator presses "Test Connection" on the Messaging screen. Sends the registered wording with a dummy code of 000000.</w:t>
            </w:r>
          </w:p>
        </w:tc>
        <w:tc>
          <w:tcPr>
            <w:tcW w:type="dxa" w:w="1944"/>
          </w:tcPr>
          <w:p>
            <w:pPr>
              <w:spacing w:after="40"/>
            </w:pPr>
            <w:r/>
            <w:r>
              <w:rPr>
                <w:rFonts w:ascii="Consolas" w:hAnsi="Consolas"/>
                <w:sz w:val="17"/>
              </w:rPr>
              <w:t>smsService.sendTestSms()</w:t>
            </w:r>
          </w:p>
        </w:tc>
        <w:tc>
          <w:tcPr>
            <w:tcW w:type="dxa" w:w="605"/>
          </w:tcPr>
          <w:p>
            <w:pPr>
              <w:spacing w:after="40"/>
            </w:pPr>
            <w:r/>
            <w:r>
              <w:rPr>
                <w:sz w:val="17"/>
              </w:rPr>
              <w:t>Yes</w:t>
            </w:r>
          </w:p>
        </w:tc>
      </w:tr>
    </w:tbl>
    <w:p/>
    <w:p>
      <w:pPr>
        <w:pStyle w:val="Heading2"/>
        <w:keepNext/>
        <w:spacing w:before="200" w:after="120"/>
      </w:pPr>
      <w:r>
        <w:rPr>
          <w:rFonts w:ascii="Calibri" w:hAnsi="Calibri"/>
          <w:color w:val="111111"/>
        </w:rPr>
        <w:t>2.1  How a code is put into the message</w:t>
      </w:r>
    </w:p>
    <w:p>
      <w:pPr>
        <w:spacing w:after="140"/>
        <w:jc w:val="both"/>
      </w:pPr>
      <w:r>
        <w:rPr>
          <w:b w:val="0"/>
          <w:color w:val="111111"/>
          <w:sz w:val="21"/>
        </w:rPr>
        <w:t>The registered wording is stored with its {#var#} placeholders intact and filled left to right at send time: the first {#var#} receives the code, the second receives the number of minutes the code remains valid. A template registered with only one {#var#} therefore receives just the code, and the validity period is dropped — which is correct, and is why the one-variable form in use today works.</w:t>
      </w:r>
    </w:p>
    <w:p>
      <w:pPr>
        <w:spacing w:after="140"/>
        <w:jc w:val="both"/>
      </w:pPr>
      <w:r>
        <w:rPr>
          <w:b w:val="0"/>
          <w:color w:val="555555"/>
          <w:sz w:val="21"/>
        </w:rPr>
        <w:t>The message text and the template ID are always sent together, because the carrier checks the two against each other. This is the reason the two other registered IDs in section 4 cannot simply be switched on: sending our wording under their ID would be dropped exactly as surely as sending unregistered text.</w:t>
      </w:r>
    </w:p>
    <w:p>
      <w:pPr>
        <w:pStyle w:val="Heading2"/>
        <w:keepNext/>
        <w:spacing w:before="240" w:after="120"/>
      </w:pPr>
      <w:r>
        <w:rPr>
          <w:rFonts w:ascii="Calibri" w:hAnsi="Calibri"/>
          <w:color w:val="111111"/>
        </w:rPr>
        <w:t>2.2  The one message with no template</w:t>
      </w:r>
    </w:p>
    <w:p>
      <w:pPr>
        <w:spacing w:after="140"/>
        <w:jc w:val="both"/>
      </w:pPr>
      <w:r>
        <w:rPr>
          <w:b w:val="0"/>
          <w:color w:val="111111"/>
          <w:sz w:val="21"/>
        </w:rPr>
        <w:t>Journey 5 sends free text — it is a notice, not a code:</w:t>
      </w:r>
    </w:p>
    <w:p>
      <w:pPr>
        <w:spacing w:before="60" w:after="160"/>
        <w:ind w:left="259"/>
        <w:shd w:val="clear" w:fill="F4F4F4"/>
      </w:pPr>
      <w:r>
        <w:rPr>
          <w:rFonts w:ascii="Consolas" w:hAnsi="Consolas"/>
          <w:color w:val="111111"/>
          <w:sz w:val="19"/>
        </w:rPr>
        <w:t>Your IFQM sign-in number was changed to one ending 1234. If this was not you, contact your administrator.</w:t>
      </w:r>
    </w:p>
    <w:p>
      <w:pPr>
        <w:spacing w:after="140"/>
        <w:jc w:val="both"/>
      </w:pPr>
      <w:r>
        <w:rPr>
          <w:b w:val="0"/>
          <w:color w:val="111111"/>
          <w:sz w:val="21"/>
        </w:rPr>
        <w:t>It is currently sent under the activation template ID, whose approved wording is completely different, so the carrier will not deliver it. Template T4 in the next section is the registration it needs. The number shown is the last four digits of the new mobile number, which is why T4 carries one variable.</w:t>
      </w:r>
    </w:p>
    <w:p>
      <w:r>
        <w:br w:type="page"/>
      </w:r>
    </w:p>
    <w:p>
      <w:pPr>
        <w:pStyle w:val="Heading1"/>
        <w:keepNext/>
        <w:spacing w:before="0" w:after="120"/>
      </w:pPr>
      <w:r>
        <w:rPr>
          <w:rFonts w:ascii="Calibri" w:hAnsi="Calibri"/>
          <w:color w:val="111111"/>
        </w:rPr>
        <w:t>3.  Content templates requested</w:t>
      </w:r>
    </w:p>
    <w:p>
      <w:pPr>
        <w:spacing w:after="140"/>
        <w:jc w:val="both"/>
      </w:pPr>
      <w:r>
        <w:rPr>
          <w:b w:val="0"/>
          <w:color w:val="111111"/>
          <w:sz w:val="21"/>
        </w:rPr>
        <w:t>All four are to be registered under PE ID 1201174858303838784 with header IFQMSK, in plain English (not Unicode). Each variable is a {#var#} placeholder; none of them exceeds the 30-character limit — the codes are six digits, the validity is a one- or two-digit number of minutes, and the T4 variable is four digits.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605"/>
            <w:shd w:val="clear" w:fill="E8E8E8"/>
          </w:tcPr>
          <w:p>
            <w:pPr>
              <w:spacing w:after="40"/>
            </w:pPr>
            <w:r/>
            <w:r>
              <w:rPr>
                <w:b/>
                <w:sz w:val="17"/>
              </w:rPr>
              <w:t>Ref</w:t>
            </w:r>
          </w:p>
        </w:tc>
        <w:tc>
          <w:tcPr>
            <w:tcW w:type="dxa" w:w="2232"/>
            <w:shd w:val="clear" w:fill="E8E8E8"/>
          </w:tcPr>
          <w:p>
            <w:pPr>
              <w:spacing w:after="40"/>
            </w:pPr>
            <w:r/>
            <w:r>
              <w:rPr>
                <w:b/>
                <w:sz w:val="17"/>
              </w:rPr>
              <w:t>Purpose</w:t>
            </w:r>
          </w:p>
        </w:tc>
        <w:tc>
          <w:tcPr>
            <w:tcW w:type="dxa" w:w="1440"/>
            <w:shd w:val="clear" w:fill="E8E8E8"/>
          </w:tcPr>
          <w:p>
            <w:pPr>
              <w:spacing w:after="40"/>
            </w:pPr>
            <w:r/>
            <w:r>
              <w:rPr>
                <w:b/>
                <w:sz w:val="17"/>
              </w:rPr>
              <w:t>Category</w:t>
            </w:r>
          </w:p>
        </w:tc>
        <w:tc>
          <w:tcPr>
            <w:tcW w:type="dxa" w:w="576"/>
            <w:shd w:val="clear" w:fill="E8E8E8"/>
          </w:tcPr>
          <w:p>
            <w:pPr>
              <w:spacing w:after="40"/>
            </w:pPr>
            <w:r/>
            <w:r>
              <w:rPr>
                <w:b/>
                <w:sz w:val="17"/>
              </w:rPr>
              <w:t>Vars</w:t>
            </w:r>
          </w:p>
        </w:tc>
        <w:tc>
          <w:tcPr>
            <w:tcW w:type="dxa" w:w="4896"/>
            <w:shd w:val="clear" w:fill="E8E8E8"/>
          </w:tcPr>
          <w:p>
            <w:pPr>
              <w:spacing w:after="40"/>
            </w:pPr>
            <w:r/>
            <w:r>
              <w:rPr>
                <w:b/>
                <w:sz w:val="17"/>
              </w:rPr>
              <w:t>Message text as it should be registered</w:t>
            </w:r>
          </w:p>
        </w:tc>
      </w:tr>
      <w:tr>
        <w:tc>
          <w:tcPr>
            <w:tcW w:type="dxa" w:w="605"/>
          </w:tcPr>
          <w:p>
            <w:pPr>
              <w:spacing w:after="40"/>
            </w:pPr>
            <w:r/>
            <w:r>
              <w:rPr>
                <w:sz w:val="17"/>
              </w:rPr>
              <w:t>T1</w:t>
            </w:r>
          </w:p>
        </w:tc>
        <w:tc>
          <w:tcPr>
            <w:tcW w:type="dxa" w:w="2232"/>
          </w:tcPr>
          <w:p>
            <w:pPr>
              <w:spacing w:after="40"/>
            </w:pPr>
            <w:r/>
            <w:r>
              <w:rPr>
                <w:sz w:val="17"/>
              </w:rPr>
              <w:t>Sign-in OTP</w:t>
            </w:r>
          </w:p>
        </w:tc>
        <w:tc>
          <w:tcPr>
            <w:tcW w:type="dxa" w:w="1440"/>
          </w:tcPr>
          <w:p>
            <w:pPr>
              <w:spacing w:after="40"/>
            </w:pPr>
            <w:r/>
            <w:r>
              <w:rPr>
                <w:sz w:val="17"/>
              </w:rPr>
              <w:t>Service Implicit</w:t>
            </w:r>
          </w:p>
        </w:tc>
        <w:tc>
          <w:tcPr>
            <w:tcW w:type="dxa" w:w="576"/>
          </w:tcPr>
          <w:p>
            <w:pPr>
              <w:spacing w:after="40"/>
            </w:pPr>
            <w:r/>
            <w:r>
              <w:rPr>
                <w:sz w:val="17"/>
              </w:rPr>
              <w:t>2</w:t>
            </w:r>
          </w:p>
        </w:tc>
        <w:tc>
          <w:tcPr>
            <w:tcW w:type="dxa" w:w="4896"/>
          </w:tcPr>
          <w:p>
            <w:pPr>
              <w:spacing w:after="40"/>
            </w:pPr>
            <w:r/>
            <w:r>
              <w:rPr>
                <w:rFonts w:ascii="Consolas" w:hAnsi="Consolas"/>
                <w:sz w:val="17"/>
              </w:rPr>
              <w:t>{#var#} is your IFQM sign-in code. It expires in {#var#} minute(s). Do not share it with anyone.</w:t>
            </w:r>
          </w:p>
        </w:tc>
      </w:tr>
      <w:tr>
        <w:tc>
          <w:tcPr>
            <w:tcW w:type="dxa" w:w="605"/>
          </w:tcPr>
          <w:p>
            <w:pPr>
              <w:spacing w:after="40"/>
            </w:pPr>
            <w:r/>
            <w:r>
              <w:rPr>
                <w:sz w:val="17"/>
              </w:rPr>
              <w:t>T2</w:t>
            </w:r>
          </w:p>
        </w:tc>
        <w:tc>
          <w:tcPr>
            <w:tcW w:type="dxa" w:w="2232"/>
          </w:tcPr>
          <w:p>
            <w:pPr>
              <w:spacing w:after="40"/>
            </w:pPr>
            <w:r/>
            <w:r>
              <w:rPr>
                <w:sz w:val="17"/>
              </w:rPr>
              <w:t>Registration / activation OTP</w:t>
            </w:r>
          </w:p>
        </w:tc>
        <w:tc>
          <w:tcPr>
            <w:tcW w:type="dxa" w:w="1440"/>
          </w:tcPr>
          <w:p>
            <w:pPr>
              <w:spacing w:after="40"/>
            </w:pPr>
            <w:r/>
            <w:r>
              <w:rPr>
                <w:sz w:val="17"/>
              </w:rPr>
              <w:t>Service Implicit</w:t>
            </w:r>
          </w:p>
        </w:tc>
        <w:tc>
          <w:tcPr>
            <w:tcW w:type="dxa" w:w="576"/>
          </w:tcPr>
          <w:p>
            <w:pPr>
              <w:spacing w:after="40"/>
            </w:pPr>
            <w:r/>
            <w:r>
              <w:rPr>
                <w:sz w:val="17"/>
              </w:rPr>
              <w:t>2</w:t>
            </w:r>
          </w:p>
        </w:tc>
        <w:tc>
          <w:tcPr>
            <w:tcW w:type="dxa" w:w="4896"/>
          </w:tcPr>
          <w:p>
            <w:pPr>
              <w:spacing w:after="40"/>
            </w:pPr>
            <w:r/>
            <w:r>
              <w:rPr>
                <w:rFonts w:ascii="Consolas" w:hAnsi="Consolas"/>
                <w:sz w:val="17"/>
              </w:rPr>
              <w:t>{#var#} is your IFQM verification code. It expires in {#var#} minute(s). Do not share it with anyone.</w:t>
            </w:r>
          </w:p>
        </w:tc>
      </w:tr>
      <w:tr>
        <w:tc>
          <w:tcPr>
            <w:tcW w:type="dxa" w:w="605"/>
          </w:tcPr>
          <w:p>
            <w:pPr>
              <w:spacing w:after="40"/>
            </w:pPr>
            <w:r/>
            <w:r>
              <w:rPr>
                <w:sz w:val="17"/>
              </w:rPr>
              <w:t>T3</w:t>
            </w:r>
          </w:p>
        </w:tc>
        <w:tc>
          <w:tcPr>
            <w:tcW w:type="dxa" w:w="2232"/>
          </w:tcPr>
          <w:p>
            <w:pPr>
              <w:spacing w:after="40"/>
            </w:pPr>
            <w:r/>
            <w:r>
              <w:rPr>
                <w:sz w:val="17"/>
              </w:rPr>
              <w:t>Password reset OTP</w:t>
            </w:r>
          </w:p>
        </w:tc>
        <w:tc>
          <w:tcPr>
            <w:tcW w:type="dxa" w:w="1440"/>
          </w:tcPr>
          <w:p>
            <w:pPr>
              <w:spacing w:after="40"/>
            </w:pPr>
            <w:r/>
            <w:r>
              <w:rPr>
                <w:sz w:val="17"/>
              </w:rPr>
              <w:t>Service Implicit</w:t>
            </w:r>
          </w:p>
        </w:tc>
        <w:tc>
          <w:tcPr>
            <w:tcW w:type="dxa" w:w="576"/>
          </w:tcPr>
          <w:p>
            <w:pPr>
              <w:spacing w:after="40"/>
            </w:pPr>
            <w:r/>
            <w:r>
              <w:rPr>
                <w:sz w:val="17"/>
              </w:rPr>
              <w:t>2</w:t>
            </w:r>
          </w:p>
        </w:tc>
        <w:tc>
          <w:tcPr>
            <w:tcW w:type="dxa" w:w="4896"/>
          </w:tcPr>
          <w:p>
            <w:pPr>
              <w:spacing w:after="40"/>
            </w:pPr>
            <w:r/>
            <w:r>
              <w:rPr>
                <w:rFonts w:ascii="Consolas" w:hAnsi="Consolas"/>
                <w:sz w:val="17"/>
              </w:rPr>
              <w:t>{#var#} is your IFQM password reset code. It expires in {#var#} minute(s). Do not share it with anyone.</w:t>
            </w:r>
          </w:p>
        </w:tc>
      </w:tr>
      <w:tr>
        <w:tc>
          <w:tcPr>
            <w:tcW w:type="dxa" w:w="605"/>
          </w:tcPr>
          <w:p>
            <w:pPr>
              <w:spacing w:after="40"/>
            </w:pPr>
            <w:r/>
            <w:r>
              <w:rPr>
                <w:sz w:val="17"/>
              </w:rPr>
              <w:t>T4</w:t>
            </w:r>
          </w:p>
        </w:tc>
        <w:tc>
          <w:tcPr>
            <w:tcW w:type="dxa" w:w="2232"/>
          </w:tcPr>
          <w:p>
            <w:pPr>
              <w:spacing w:after="40"/>
            </w:pPr>
            <w:r/>
            <w:r>
              <w:rPr>
                <w:sz w:val="17"/>
              </w:rPr>
              <w:t>Mobile number changed — security alert</w:t>
            </w:r>
          </w:p>
        </w:tc>
        <w:tc>
          <w:tcPr>
            <w:tcW w:type="dxa" w:w="1440"/>
          </w:tcPr>
          <w:p>
            <w:pPr>
              <w:spacing w:after="40"/>
            </w:pPr>
            <w:r/>
            <w:r>
              <w:rPr>
                <w:sz w:val="17"/>
              </w:rPr>
              <w:t>Service Implicit</w:t>
            </w:r>
          </w:p>
        </w:tc>
        <w:tc>
          <w:tcPr>
            <w:tcW w:type="dxa" w:w="576"/>
          </w:tcPr>
          <w:p>
            <w:pPr>
              <w:spacing w:after="40"/>
            </w:pPr>
            <w:r/>
            <w:r>
              <w:rPr>
                <w:sz w:val="17"/>
              </w:rPr>
              <w:t>1</w:t>
            </w:r>
          </w:p>
        </w:tc>
        <w:tc>
          <w:tcPr>
            <w:tcW w:type="dxa" w:w="4896"/>
          </w:tcPr>
          <w:p>
            <w:pPr>
              <w:spacing w:after="40"/>
            </w:pPr>
            <w:r/>
            <w:r>
              <w:rPr>
                <w:rFonts w:ascii="Consolas" w:hAnsi="Consolas"/>
                <w:sz w:val="17"/>
              </w:rPr>
              <w:t>Your IFQM sign-in number was changed to one ending {#var#}. If this was not you, contact your administrator.</w:t>
            </w:r>
          </w:p>
        </w:tc>
      </w:tr>
    </w:tbl>
    <w:p/>
    <w:p>
      <w:pPr>
        <w:spacing w:after="140"/>
        <w:jc w:val="both"/>
      </w:pPr>
      <w:r>
        <w:rPr>
          <w:b/>
          <w:color w:val="111111"/>
          <w:sz w:val="21"/>
        </w:rPr>
        <w:t>Where each one is used:</w:t>
      </w:r>
    </w:p>
    <w:p>
      <w:pPr>
        <w:pStyle w:val="ListBullet"/>
        <w:spacing w:after="60"/>
        <w:jc w:val="both"/>
      </w:pPr>
      <w:r>
        <w:rPr>
          <w:b/>
          <w:sz w:val="21"/>
        </w:rPr>
        <w:t xml:space="preserve">T1 — Sign-in OTP: </w:t>
      </w:r>
      <w:r>
        <w:rPr>
          <w:sz w:val="21"/>
        </w:rPr>
        <w:t>Journey 1 and the gateway test (6).</w:t>
      </w:r>
    </w:p>
    <w:p>
      <w:pPr>
        <w:pStyle w:val="ListBullet"/>
        <w:spacing w:after="60"/>
        <w:jc w:val="both"/>
      </w:pPr>
      <w:r>
        <w:rPr>
          <w:b/>
          <w:sz w:val="21"/>
        </w:rPr>
        <w:t xml:space="preserve">T2 — Registration / activation OTP: </w:t>
      </w:r>
      <w:r>
        <w:rPr>
          <w:sz w:val="21"/>
        </w:rPr>
        <w:t>Journeys 2 and 4 — confirming a mobile number, at registration and on an existing account.</w:t>
      </w:r>
    </w:p>
    <w:p>
      <w:pPr>
        <w:pStyle w:val="ListBullet"/>
        <w:spacing w:after="60"/>
        <w:jc w:val="both"/>
      </w:pPr>
      <w:r>
        <w:rPr>
          <w:b/>
          <w:sz w:val="21"/>
        </w:rPr>
        <w:t xml:space="preserve">T3 — Password reset OTP: </w:t>
      </w:r>
      <w:r>
        <w:rPr>
          <w:sz w:val="21"/>
        </w:rPr>
        <w:t>Journey 3.</w:t>
      </w:r>
    </w:p>
    <w:p>
      <w:pPr>
        <w:pStyle w:val="ListBullet"/>
        <w:spacing w:after="60"/>
        <w:jc w:val="both"/>
      </w:pPr>
      <w:r>
        <w:rPr>
          <w:b/>
          <w:sz w:val="21"/>
        </w:rPr>
        <w:t xml:space="preserve">T4 — Mobile number changed — security alert: </w:t>
      </w:r>
      <w:r>
        <w:rPr>
          <w:sz w:val="21"/>
        </w:rPr>
        <w:t>Journey 5. Not a one-time code — a security notice to the number that was replaced.</w:t>
      </w:r>
    </w:p>
    <w:p>
      <w:pPr>
        <w:pStyle w:val="Heading2"/>
        <w:keepNext/>
        <w:spacing w:before="280" w:after="120"/>
      </w:pPr>
      <w:r>
        <w:rPr>
          <w:rFonts w:ascii="Calibri" w:hAnsi="Calibri"/>
          <w:color w:val="111111"/>
        </w:rPr>
        <w:t>3.1  The exact wording, one per line</w:t>
      </w:r>
    </w:p>
    <w:p>
      <w:pPr>
        <w:spacing w:after="140"/>
        <w:jc w:val="both"/>
      </w:pPr>
      <w:r>
        <w:rPr>
          <w:b w:val="0"/>
          <w:color w:val="555555"/>
          <w:sz w:val="21"/>
        </w:rPr>
        <w:t>Reproduced separately so the text can be copied into the DLT portal without the table formatting coming with it. Punctuation and spacing matter: the carrier matches the registered text character for character apart from the variables.</w:t>
      </w:r>
    </w:p>
    <w:p>
      <w:pPr>
        <w:keepNext/>
        <w:spacing w:before="180" w:after="40"/>
      </w:pPr>
      <w:r>
        <w:rPr>
          <w:b/>
          <w:sz w:val="20"/>
        </w:rPr>
        <w:t>T1 · Sign-in OTP · 2 variable(s)</w:t>
      </w:r>
    </w:p>
    <w:p>
      <w:pPr>
        <w:spacing w:before="60" w:after="160"/>
        <w:ind w:left="259"/>
        <w:shd w:val="clear" w:fill="F4F4F4"/>
      </w:pPr>
      <w:r>
        <w:rPr>
          <w:rFonts w:ascii="Consolas" w:hAnsi="Consolas"/>
          <w:color w:val="111111"/>
          <w:sz w:val="19"/>
        </w:rPr>
        <w:t>{#var#} is your IFQM sign-in code. It expires in {#var#} minute(s). Do not share it with anyone.</w:t>
      </w:r>
    </w:p>
    <w:p>
      <w:pPr>
        <w:keepNext/>
        <w:spacing w:before="180" w:after="40"/>
      </w:pPr>
      <w:r>
        <w:rPr>
          <w:b/>
          <w:sz w:val="20"/>
        </w:rPr>
        <w:t>T2 · Registration / activation OTP · 2 variable(s)</w:t>
      </w:r>
    </w:p>
    <w:p>
      <w:pPr>
        <w:spacing w:before="60" w:after="160"/>
        <w:ind w:left="259"/>
        <w:shd w:val="clear" w:fill="F4F4F4"/>
      </w:pPr>
      <w:r>
        <w:rPr>
          <w:rFonts w:ascii="Consolas" w:hAnsi="Consolas"/>
          <w:color w:val="111111"/>
          <w:sz w:val="19"/>
        </w:rPr>
        <w:t>{#var#} is your IFQM verification code. It expires in {#var#} minute(s). Do not share it with anyone.</w:t>
      </w:r>
    </w:p>
    <w:p>
      <w:pPr>
        <w:keepNext/>
        <w:spacing w:before="180" w:after="40"/>
      </w:pPr>
      <w:r>
        <w:rPr>
          <w:b/>
          <w:sz w:val="20"/>
        </w:rPr>
        <w:t>T3 · Password reset OTP · 2 variable(s)</w:t>
      </w:r>
    </w:p>
    <w:p>
      <w:pPr>
        <w:spacing w:before="60" w:after="160"/>
        <w:ind w:left="259"/>
        <w:shd w:val="clear" w:fill="F4F4F4"/>
      </w:pPr>
      <w:r>
        <w:rPr>
          <w:rFonts w:ascii="Consolas" w:hAnsi="Consolas"/>
          <w:color w:val="111111"/>
          <w:sz w:val="19"/>
        </w:rPr>
        <w:t>{#var#} is your IFQM password reset code. It expires in {#var#} minute(s). Do not share it with anyone.</w:t>
      </w:r>
    </w:p>
    <w:p>
      <w:pPr>
        <w:keepNext/>
        <w:spacing w:before="180" w:after="40"/>
      </w:pPr>
      <w:r>
        <w:rPr>
          <w:b/>
          <w:sz w:val="20"/>
        </w:rPr>
        <w:t>T4 · Mobile number changed — security alert · 1 variable(s)</w:t>
      </w:r>
    </w:p>
    <w:p>
      <w:pPr>
        <w:spacing w:before="60" w:after="160"/>
        <w:ind w:left="259"/>
        <w:shd w:val="clear" w:fill="F4F4F4"/>
      </w:pPr>
      <w:r>
        <w:rPr>
          <w:rFonts w:ascii="Consolas" w:hAnsi="Consolas"/>
          <w:color w:val="111111"/>
          <w:sz w:val="19"/>
        </w:rPr>
        <w:t>Your IFQM sign-in number was changed to one ending {#var#}. If this was not you, contact your administrator.</w:t>
      </w:r>
    </w:p>
    <w:p>
      <w:pPr>
        <w:pStyle w:val="Heading2"/>
        <w:keepNext/>
        <w:spacing w:before="240" w:after="120"/>
      </w:pPr>
      <w:r>
        <w:rPr>
          <w:rFonts w:ascii="Calibri" w:hAnsi="Calibri"/>
          <w:color w:val="111111"/>
        </w:rPr>
        <w:t>3.2  A note on the category</w:t>
      </w:r>
    </w:p>
    <w:p>
      <w:pPr>
        <w:spacing w:after="140"/>
        <w:jc w:val="both"/>
      </w:pPr>
      <w:r>
        <w:rPr>
          <w:b w:val="0"/>
          <w:color w:val="111111"/>
          <w:sz w:val="21"/>
        </w:rPr>
        <w:t>All four are proposed as Service Implicit: they are sent only in response to something the recipient has just done on the platform — asking to sign in, asking for a code, changing their own number — and none of them is promotional. If the operator's portal classifies authentication codes under a separate OTP or Transactional heading, T1 to T3 should follow that classification and T4 should remain Service Implicit, since it carries no code. This is worth confirming with the operator before submitting, as the available categories differ between DLT portals.</w:t>
      </w:r>
    </w:p>
    <w:p>
      <w:pPr>
        <w:pStyle w:val="Heading1"/>
        <w:keepNext/>
        <w:spacing w:before="320" w:after="120"/>
      </w:pPr>
      <w:r>
        <w:rPr>
          <w:rFonts w:ascii="Calibri" w:hAnsi="Calibri"/>
          <w:color w:val="111111"/>
        </w:rPr>
        <w:t>4.  Registrations we already hold</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2232"/>
            <w:shd w:val="clear" w:fill="E8E8E8"/>
          </w:tcPr>
          <w:p>
            <w:pPr>
              <w:spacing w:after="40"/>
            </w:pPr>
            <w:r/>
            <w:r>
              <w:rPr>
                <w:b/>
                <w:sz w:val="18"/>
              </w:rPr>
              <w:t>Template ID</w:t>
            </w:r>
          </w:p>
        </w:tc>
        <w:tc>
          <w:tcPr>
            <w:tcW w:type="dxa" w:w="1656"/>
            <w:shd w:val="clear" w:fill="E8E8E8"/>
          </w:tcPr>
          <w:p>
            <w:pPr>
              <w:spacing w:after="40"/>
            </w:pPr>
            <w:r/>
            <w:r>
              <w:rPr>
                <w:b/>
                <w:sz w:val="18"/>
              </w:rPr>
              <w:t>Named as</w:t>
            </w:r>
          </w:p>
        </w:tc>
        <w:tc>
          <w:tcPr>
            <w:tcW w:type="dxa" w:w="1944"/>
            <w:shd w:val="clear" w:fill="E8E8E8"/>
          </w:tcPr>
          <w:p>
            <w:pPr>
              <w:spacing w:after="40"/>
            </w:pPr>
            <w:r/>
            <w:r>
              <w:rPr>
                <w:b/>
                <w:sz w:val="18"/>
              </w:rPr>
              <w:t>Approved wording known?</w:t>
            </w:r>
          </w:p>
        </w:tc>
        <w:tc>
          <w:tcPr>
            <w:tcW w:type="dxa" w:w="3888"/>
            <w:shd w:val="clear" w:fill="E8E8E8"/>
          </w:tcPr>
          <w:p>
            <w:pPr>
              <w:spacing w:after="40"/>
            </w:pPr>
            <w:r/>
            <w:r>
              <w:rPr>
                <w:b/>
                <w:sz w:val="18"/>
              </w:rPr>
              <w:t>Status</w:t>
            </w:r>
          </w:p>
        </w:tc>
      </w:tr>
      <w:tr>
        <w:tc>
          <w:tcPr>
            <w:tcW w:type="dxa" w:w="2232"/>
          </w:tcPr>
          <w:p>
            <w:pPr>
              <w:spacing w:after="40"/>
            </w:pPr>
            <w:r/>
            <w:r>
              <w:rPr>
                <w:rFonts w:ascii="Consolas" w:hAnsi="Consolas"/>
                <w:sz w:val="17"/>
              </w:rPr>
              <w:t>1207177450026368470</w:t>
            </w:r>
          </w:p>
        </w:tc>
        <w:tc>
          <w:tcPr>
            <w:tcW w:type="dxa" w:w="1656"/>
          </w:tcPr>
          <w:p>
            <w:pPr>
              <w:spacing w:after="40"/>
            </w:pPr>
            <w:r/>
            <w:r>
              <w:rPr>
                <w:sz w:val="18"/>
              </w:rPr>
              <w:t>Activation OTP</w:t>
            </w:r>
          </w:p>
        </w:tc>
        <w:tc>
          <w:tcPr>
            <w:tcW w:type="dxa" w:w="1944"/>
          </w:tcPr>
          <w:p>
            <w:pPr>
              <w:spacing w:after="40"/>
            </w:pPr>
            <w:r/>
            <w:r>
              <w:rPr>
                <w:sz w:val="18"/>
              </w:rPr>
              <w:t>Yes</w:t>
            </w:r>
          </w:p>
        </w:tc>
        <w:tc>
          <w:tcPr>
            <w:tcW w:type="dxa" w:w="3888"/>
          </w:tcPr>
          <w:p>
            <w:pPr>
              <w:spacing w:after="40"/>
            </w:pPr>
            <w:r/>
            <w:r>
              <w:rPr>
                <w:sz w:val="18"/>
              </w:rPr>
              <w:t>In use — currently carries every message the platform sends</w:t>
            </w:r>
          </w:p>
        </w:tc>
      </w:tr>
      <w:tr>
        <w:tc>
          <w:tcPr>
            <w:tcW w:type="dxa" w:w="2232"/>
          </w:tcPr>
          <w:p>
            <w:pPr>
              <w:spacing w:after="40"/>
            </w:pPr>
            <w:r/>
            <w:r>
              <w:rPr>
                <w:rFonts w:ascii="Consolas" w:hAnsi="Consolas"/>
                <w:sz w:val="17"/>
              </w:rPr>
              <w:t>1207177450582613311</w:t>
            </w:r>
          </w:p>
        </w:tc>
        <w:tc>
          <w:tcPr>
            <w:tcW w:type="dxa" w:w="1656"/>
          </w:tcPr>
          <w:p>
            <w:pPr>
              <w:spacing w:after="40"/>
            </w:pPr>
            <w:r/>
            <w:r>
              <w:rPr>
                <w:sz w:val="18"/>
              </w:rPr>
              <w:t>Login OTP</w:t>
            </w:r>
          </w:p>
        </w:tc>
        <w:tc>
          <w:tcPr>
            <w:tcW w:type="dxa" w:w="1944"/>
          </w:tcPr>
          <w:p>
            <w:pPr>
              <w:spacing w:after="40"/>
            </w:pPr>
            <w:r/>
            <w:r>
              <w:rPr>
                <w:sz w:val="18"/>
              </w:rPr>
              <w:t>No</w:t>
            </w:r>
          </w:p>
        </w:tc>
        <w:tc>
          <w:tcPr>
            <w:tcW w:type="dxa" w:w="3888"/>
          </w:tcPr>
          <w:p>
            <w:pPr>
              <w:spacing w:after="40"/>
            </w:pPr>
            <w:r/>
            <w:r>
              <w:rPr>
                <w:sz w:val="18"/>
              </w:rPr>
              <w:t>Valid but unusable — see below</w:t>
            </w:r>
          </w:p>
        </w:tc>
      </w:tr>
      <w:tr>
        <w:tc>
          <w:tcPr>
            <w:tcW w:type="dxa" w:w="2232"/>
          </w:tcPr>
          <w:p>
            <w:pPr>
              <w:spacing w:after="40"/>
            </w:pPr>
            <w:r/>
            <w:r>
              <w:rPr>
                <w:rFonts w:ascii="Consolas" w:hAnsi="Consolas"/>
                <w:sz w:val="17"/>
              </w:rPr>
              <w:t>1207177450911544422</w:t>
            </w:r>
          </w:p>
        </w:tc>
        <w:tc>
          <w:tcPr>
            <w:tcW w:type="dxa" w:w="1656"/>
          </w:tcPr>
          <w:p>
            <w:pPr>
              <w:spacing w:after="40"/>
            </w:pPr>
            <w:r/>
            <w:r>
              <w:rPr>
                <w:sz w:val="18"/>
              </w:rPr>
              <w:t>Reset OTP</w:t>
            </w:r>
          </w:p>
        </w:tc>
        <w:tc>
          <w:tcPr>
            <w:tcW w:type="dxa" w:w="1944"/>
          </w:tcPr>
          <w:p>
            <w:pPr>
              <w:spacing w:after="40"/>
            </w:pPr>
            <w:r/>
            <w:r>
              <w:rPr>
                <w:sz w:val="18"/>
              </w:rPr>
              <w:t>No</w:t>
            </w:r>
          </w:p>
        </w:tc>
        <w:tc>
          <w:tcPr>
            <w:tcW w:type="dxa" w:w="3888"/>
          </w:tcPr>
          <w:p>
            <w:pPr>
              <w:spacing w:after="40"/>
            </w:pPr>
            <w:r/>
            <w:r>
              <w:rPr>
                <w:sz w:val="18"/>
              </w:rPr>
              <w:t>Valid but unusable — see below</w:t>
            </w:r>
          </w:p>
        </w:tc>
      </w:tr>
    </w:tbl>
    <w:p/>
    <w:p>
      <w:pPr>
        <w:spacing w:after="140"/>
        <w:jc w:val="both"/>
      </w:pPr>
      <w:r>
        <w:rPr>
          <w:b w:val="0"/>
          <w:color w:val="111111"/>
          <w:sz w:val="21"/>
        </w:rPr>
        <w:t>The two unusable registrations are not a problem with the registrations themselves. They exist and are valid; what is missing is the approved text that was registered against them. Because the carrier checks the ID and the text as a pair, we cannot send anything under an ID whose registered wording we cannot reproduce exactly.</w:t>
      </w:r>
    </w:p>
    <w:p>
      <w:pPr>
        <w:spacing w:after="140"/>
        <w:jc w:val="both"/>
      </w:pPr>
      <w:r>
        <w:rPr>
          <w:b/>
          <w:color w:val="111111"/>
          <w:sz w:val="21"/>
        </w:rPr>
        <w:t>There are therefore two ways to close this, and either is acceptable:</w:t>
      </w:r>
    </w:p>
    <w:p>
      <w:pPr>
        <w:pStyle w:val="ListBullet"/>
        <w:spacing w:after="60"/>
        <w:jc w:val="both"/>
      </w:pPr>
      <w:r>
        <w:rPr>
          <w:b/>
          <w:sz w:val="21"/>
        </w:rPr>
        <w:t xml:space="preserve">Option A — recover the wording: </w:t>
      </w:r>
      <w:r>
        <w:rPr>
          <w:sz w:val="21"/>
        </w:rPr>
        <w:t>Ask the operator for the approved wording already registered against 1207177450582613311 and 1207177450911544422. If it is suitable, we adopt it as-is and only T2 and T4 need to be newly registered.</w:t>
      </w:r>
    </w:p>
    <w:p>
      <w:pPr>
        <w:pStyle w:val="ListBullet"/>
        <w:spacing w:after="60"/>
        <w:jc w:val="both"/>
      </w:pPr>
      <w:r>
        <w:rPr>
          <w:b/>
          <w:sz w:val="21"/>
        </w:rPr>
        <w:t xml:space="preserve">Option B — register afresh: </w:t>
      </w:r>
      <w:r>
        <w:rPr>
          <w:sz w:val="21"/>
        </w:rPr>
        <w:t>Register all four templates in section 3 with the wording given there, and retire the two older IDs. This is the cleaner outcome: the wording then matches what each journey actually does, in language the recipient can act on.</w:t>
      </w:r>
    </w:p>
    <w:p>
      <w:pPr>
        <w:pStyle w:val="Heading1"/>
        <w:keepNext/>
        <w:spacing w:before="320" w:after="120"/>
      </w:pPr>
      <w:r>
        <w:rPr>
          <w:rFonts w:ascii="Calibri" w:hAnsi="Calibri"/>
          <w:color w:val="111111"/>
        </w:rPr>
        <w:t>5.  What changes on our side once the templates are approved</w:t>
      </w:r>
    </w:p>
    <w:p>
      <w:pPr>
        <w:spacing w:after="140"/>
        <w:jc w:val="both"/>
      </w:pPr>
      <w:r>
        <w:rPr>
          <w:b w:val="0"/>
          <w:color w:val="111111"/>
          <w:sz w:val="21"/>
        </w:rPr>
        <w:t>T1 to T3 need no change to the application at all. The template IDs and their wording are configuration, held in the deployment environment and read at start-up:</w:t>
      </w:r>
    </w:p>
    <w:tbl>
      <w:tblPr>
        <w:tblStyle w:val="TableGrid"/>
        <w:tblW w:type="auto" w:w="0"/>
        <w:jc w:val="center"/>
        <w:tblLayout w:type="fixed"/>
        <w:tblLook w:firstColumn="1" w:firstRow="1" w:lastColumn="0" w:lastRow="0" w:noHBand="0" w:noVBand="1" w:val="04A0"/>
      </w:tblPr>
      <w:tblGrid>
        <w:gridCol w:w="4896"/>
        <w:gridCol w:w="4896"/>
      </w:tblGrid>
      <w:tr>
        <w:tc>
          <w:tcPr>
            <w:tcW w:type="dxa" w:w="4320"/>
            <w:shd w:val="clear" w:fill="E8E8E8"/>
          </w:tcPr>
          <w:p>
            <w:pPr>
              <w:spacing w:after="40"/>
            </w:pPr>
            <w:r/>
            <w:r>
              <w:rPr>
                <w:b/>
                <w:sz w:val="18"/>
              </w:rPr>
              <w:t>Setting</w:t>
            </w:r>
          </w:p>
        </w:tc>
        <w:tc>
          <w:tcPr>
            <w:tcW w:type="dxa" w:w="5184"/>
            <w:shd w:val="clear" w:fill="E8E8E8"/>
          </w:tcPr>
          <w:p>
            <w:pPr>
              <w:spacing w:after="40"/>
            </w:pPr>
            <w:r/>
            <w:r>
              <w:rPr>
                <w:b/>
                <w:sz w:val="18"/>
              </w:rPr>
              <w:t>Receives</w:t>
            </w:r>
          </w:p>
        </w:tc>
      </w:tr>
      <w:tr>
        <w:tc>
          <w:tcPr>
            <w:tcW w:type="dxa" w:w="4320"/>
          </w:tcPr>
          <w:p>
            <w:pPr>
              <w:spacing w:after="40"/>
            </w:pPr>
            <w:r/>
            <w:r>
              <w:rPr>
                <w:rFonts w:ascii="Consolas" w:hAnsi="Consolas"/>
                <w:sz w:val="17"/>
              </w:rPr>
              <w:t>SMS_TEMPLATE_LOGIN / SMS_TEXT_LOGIN</w:t>
            </w:r>
          </w:p>
        </w:tc>
        <w:tc>
          <w:tcPr>
            <w:tcW w:type="dxa" w:w="5184"/>
          </w:tcPr>
          <w:p>
            <w:pPr>
              <w:spacing w:after="40"/>
            </w:pPr>
            <w:r/>
            <w:r>
              <w:rPr>
                <w:sz w:val="18"/>
              </w:rPr>
              <w:t>T1 — ID and text</w:t>
            </w:r>
          </w:p>
        </w:tc>
      </w:tr>
      <w:tr>
        <w:tc>
          <w:tcPr>
            <w:tcW w:type="dxa" w:w="4320"/>
          </w:tcPr>
          <w:p>
            <w:pPr>
              <w:spacing w:after="40"/>
            </w:pPr>
            <w:r/>
            <w:r>
              <w:rPr>
                <w:rFonts w:ascii="Consolas" w:hAnsi="Consolas"/>
                <w:sz w:val="17"/>
              </w:rPr>
              <w:t>SMS_TEMPLATE_ACTIVATION / SMS_TEXT_ACTIVATION</w:t>
            </w:r>
          </w:p>
        </w:tc>
        <w:tc>
          <w:tcPr>
            <w:tcW w:type="dxa" w:w="5184"/>
          </w:tcPr>
          <w:p>
            <w:pPr>
              <w:spacing w:after="40"/>
            </w:pPr>
            <w:r/>
            <w:r>
              <w:rPr>
                <w:sz w:val="18"/>
              </w:rPr>
              <w:t>T2 — ID and text</w:t>
            </w:r>
          </w:p>
        </w:tc>
      </w:tr>
      <w:tr>
        <w:tc>
          <w:tcPr>
            <w:tcW w:type="dxa" w:w="4320"/>
          </w:tcPr>
          <w:p>
            <w:pPr>
              <w:spacing w:after="40"/>
            </w:pPr>
            <w:r/>
            <w:r>
              <w:rPr>
                <w:rFonts w:ascii="Consolas" w:hAnsi="Consolas"/>
                <w:sz w:val="17"/>
              </w:rPr>
              <w:t>SMS_TEMPLATE_RESET / SMS_TEXT_RESET</w:t>
            </w:r>
          </w:p>
        </w:tc>
        <w:tc>
          <w:tcPr>
            <w:tcW w:type="dxa" w:w="5184"/>
          </w:tcPr>
          <w:p>
            <w:pPr>
              <w:spacing w:after="40"/>
            </w:pPr>
            <w:r/>
            <w:r>
              <w:rPr>
                <w:sz w:val="18"/>
              </w:rPr>
              <w:t>T3 — ID and text</w:t>
            </w:r>
          </w:p>
        </w:tc>
      </w:tr>
      <w:tr>
        <w:tc>
          <w:tcPr>
            <w:tcW w:type="dxa" w:w="4320"/>
          </w:tcPr>
          <w:p>
            <w:pPr>
              <w:spacing w:after="40"/>
            </w:pPr>
            <w:r/>
            <w:r>
              <w:rPr>
                <w:rFonts w:ascii="Consolas" w:hAnsi="Consolas"/>
                <w:sz w:val="17"/>
              </w:rPr>
              <w:t>(new) the number-change alert</w:t>
            </w:r>
          </w:p>
        </w:tc>
        <w:tc>
          <w:tcPr>
            <w:tcW w:type="dxa" w:w="5184"/>
          </w:tcPr>
          <w:p>
            <w:pPr>
              <w:spacing w:after="40"/>
            </w:pPr>
            <w:r/>
            <w:r>
              <w:rPr>
                <w:sz w:val="18"/>
              </w:rPr>
              <w:t>T4 — ID and text</w:t>
            </w:r>
          </w:p>
        </w:tc>
      </w:tr>
    </w:tbl>
    <w:p/>
    <w:p>
      <w:pPr>
        <w:spacing w:after="140"/>
        <w:jc w:val="both"/>
      </w:pPr>
      <w:r>
        <w:rPr>
          <w:b w:val="0"/>
          <w:color w:val="555555"/>
          <w:sz w:val="21"/>
        </w:rPr>
        <w:t>Each pair must be updated together — the ID and the text that was approved for it — because they are checked against each other. Updating one without the other produces messages that the gateway accepts and the carrier silently drops, which is the failure mode hardest to notice: nothing appears wrong at either end, and only the recipient knows the code never came.</w:t>
      </w:r>
    </w:p>
    <w:p>
      <w:pPr>
        <w:spacing w:after="140"/>
        <w:jc w:val="both"/>
      </w:pPr>
      <w:r>
        <w:rPr>
          <w:b w:val="0"/>
          <w:color w:val="111111"/>
          <w:sz w:val="21"/>
        </w:rPr>
        <w:t>T4 is the one exception, and it is a small one. The number-change alert is currently sent under the phone-verification purpose, so once T4 exists it needs a purpose of its own — a single new setting and the one line that names it. That is a change we make here, not something the operator needs to know about; it is recorded so the work is not forgotten when the approvals come back.</w:t>
      </w:r>
    </w:p>
    <w:p>
      <w:pPr>
        <w:spacing w:after="140"/>
        <w:jc w:val="both"/>
      </w:pPr>
      <w:r>
        <w:rPr>
          <w:b w:val="0"/>
          <w:color w:val="111111"/>
          <w:sz w:val="21"/>
        </w:rPr>
        <w:t>Once T1 to T3 are in place, the platform can come off the shared activation registration one purpose at a time, and each journey will describe itself correctly. T4 makes the number-change alert deliverable for the first time.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