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IFQM Employee Ideation Tool</w:t>
      </w:r>
    </w:p>
    <w:p>
      <w:pPr>
        <w:spacing w:after="80"/>
        <w:jc w:val="center"/>
      </w:pPr>
      <w:r>
        <w:rPr>
          <w:b/>
          <w:sz w:val="40"/>
        </w:rPr>
        <w:t>SMS Usage and DLT Content Template Request</w:t>
      </w:r>
    </w:p>
    <w:p>
      <w:pPr>
        <w:spacing w:after="360"/>
        <w:jc w:val="center"/>
      </w:pPr>
      <w:r>
        <w:rPr>
          <w:color w:val="555555"/>
          <w:sz w:val="22"/>
        </w:rPr>
        <w:t>Prepared for registration with Jio TrueConnect (DLT)</w:t>
      </w:r>
    </w:p>
    <w:tbl>
      <w:tblPr>
        <w:tblStyle w:val="TableGrid"/>
        <w:tblW w:type="auto" w:w="0"/>
        <w:jc w:val="center"/>
        <w:tblLayout w:type="fixed"/>
        <w:tblLook w:firstColumn="1" w:firstRow="1" w:lastColumn="0" w:lastRow="0" w:noHBand="0" w:noVBand="1" w:val="04A0"/>
      </w:tblPr>
      <w:tblGrid>
        <w:gridCol w:w="4896"/>
        <w:gridCol w:w="4896"/>
      </w:tblGrid>
      <w:tr>
        <w:tc>
          <w:tcPr>
            <w:tcW w:type="dxa" w:w="3312"/>
            <w:shd w:val="clear" w:fill="E8E8E8"/>
          </w:tcPr>
          <w:p>
            <w:pPr>
              <w:spacing w:after="40"/>
            </w:pPr>
            <w:r/>
            <w:r>
              <w:rPr>
                <w:b/>
                <w:sz w:val="20"/>
              </w:rPr>
              <w:t>Field</w:t>
            </w:r>
          </w:p>
        </w:tc>
        <w:tc>
          <w:tcPr>
            <w:tcW w:type="dxa" w:w="6192"/>
            <w:shd w:val="clear" w:fill="E8E8E8"/>
          </w:tcPr>
          <w:p>
            <w:pPr>
              <w:spacing w:after="40"/>
            </w:pPr>
            <w:r/>
            <w:r>
              <w:rPr>
                <w:b/>
                <w:sz w:val="20"/>
              </w:rPr>
              <w:t>Value</w:t>
            </w:r>
          </w:p>
        </w:tc>
      </w:tr>
      <w:tr>
        <w:tc>
          <w:tcPr>
            <w:tcW w:type="dxa" w:w="3312"/>
          </w:tcPr>
          <w:p>
            <w:pPr>
              <w:spacing w:after="40"/>
            </w:pPr>
            <w:r/>
            <w:r>
              <w:rPr>
                <w:sz w:val="20"/>
              </w:rPr>
              <w:t>Principal Entity (PE) name</w:t>
            </w:r>
          </w:p>
        </w:tc>
        <w:tc>
          <w:tcPr>
            <w:tcW w:type="dxa" w:w="6192"/>
          </w:tcPr>
          <w:p>
            <w:pPr>
              <w:spacing w:after="40"/>
            </w:pPr>
            <w:r/>
            <w:r>
              <w:rPr>
                <w:sz w:val="20"/>
              </w:rPr>
              <w:t>IFQM Ideation</w:t>
            </w:r>
          </w:p>
        </w:tc>
      </w:tr>
      <w:tr>
        <w:tc>
          <w:tcPr>
            <w:tcW w:type="dxa" w:w="3312"/>
          </w:tcPr>
          <w:p>
            <w:pPr>
              <w:spacing w:after="40"/>
            </w:pPr>
            <w:r/>
            <w:r>
              <w:rPr>
                <w:sz w:val="20"/>
              </w:rPr>
              <w:t>Principal Entity ID</w:t>
            </w:r>
          </w:p>
        </w:tc>
        <w:tc>
          <w:tcPr>
            <w:tcW w:type="dxa" w:w="6192"/>
          </w:tcPr>
          <w:p>
            <w:pPr>
              <w:spacing w:after="40"/>
            </w:pPr>
            <w:r/>
            <w:r>
              <w:rPr>
                <w:sz w:val="20"/>
              </w:rPr>
              <w:t>1201174858303838784</w:t>
            </w:r>
          </w:p>
        </w:tc>
      </w:tr>
      <w:tr>
        <w:tc>
          <w:tcPr>
            <w:tcW w:type="dxa" w:w="3312"/>
          </w:tcPr>
          <w:p>
            <w:pPr>
              <w:spacing w:after="40"/>
            </w:pPr>
            <w:r/>
            <w:r>
              <w:rPr>
                <w:sz w:val="20"/>
              </w:rPr>
              <w:t>Header / Sender ID</w:t>
            </w:r>
          </w:p>
        </w:tc>
        <w:tc>
          <w:tcPr>
            <w:tcW w:type="dxa" w:w="6192"/>
          </w:tcPr>
          <w:p>
            <w:pPr>
              <w:spacing w:after="40"/>
            </w:pPr>
            <w:r/>
            <w:r>
              <w:rPr>
                <w:sz w:val="20"/>
              </w:rPr>
              <w:t>IFQMID-T</w:t>
            </w:r>
          </w:p>
        </w:tc>
      </w:tr>
      <w:tr>
        <w:tc>
          <w:tcPr>
            <w:tcW w:type="dxa" w:w="3312"/>
          </w:tcPr>
          <w:p>
            <w:pPr>
              <w:spacing w:after="40"/>
            </w:pPr>
            <w:r/>
            <w:r>
              <w:rPr>
                <w:sz w:val="20"/>
              </w:rPr>
              <w:t>Telemarketer / gateway</w:t>
            </w:r>
          </w:p>
        </w:tc>
        <w:tc>
          <w:tcPr>
            <w:tcW w:type="dxa" w:w="6192"/>
          </w:tcPr>
          <w:p>
            <w:pPr>
              <w:spacing w:after="40"/>
            </w:pPr>
            <w:r/>
            <w:r>
              <w:rPr>
                <w:sz w:val="20"/>
              </w:rPr>
              <w:t>Kaleyra</w:t>
            </w:r>
          </w:p>
        </w:tc>
      </w:tr>
      <w:tr>
        <w:tc>
          <w:tcPr>
            <w:tcW w:type="dxa" w:w="3312"/>
          </w:tcPr>
          <w:p>
            <w:pPr>
              <w:spacing w:after="40"/>
            </w:pPr>
            <w:r/>
            <w:r>
              <w:rPr>
                <w:sz w:val="20"/>
              </w:rPr>
              <w:t>Kaleyra account SID</w:t>
            </w:r>
          </w:p>
        </w:tc>
        <w:tc>
          <w:tcPr>
            <w:tcW w:type="dxa" w:w="6192"/>
          </w:tcPr>
          <w:p>
            <w:pPr>
              <w:spacing w:after="40"/>
            </w:pPr>
            <w:r/>
            <w:r>
              <w:rPr>
                <w:sz w:val="20"/>
              </w:rPr>
              <w:t>HXAP1678914824IN</w:t>
            </w:r>
          </w:p>
        </w:tc>
      </w:tr>
      <w:tr>
        <w:tc>
          <w:tcPr>
            <w:tcW w:type="dxa" w:w="3312"/>
          </w:tcPr>
          <w:p>
            <w:pPr>
              <w:spacing w:after="40"/>
            </w:pPr>
            <w:r/>
            <w:r>
              <w:rPr>
                <w:sz w:val="20"/>
              </w:rPr>
              <w:t>Templates already registered</w:t>
            </w:r>
          </w:p>
        </w:tc>
        <w:tc>
          <w:tcPr>
            <w:tcW w:type="dxa" w:w="6192"/>
          </w:tcPr>
          <w:p>
            <w:pPr>
              <w:spacing w:after="40"/>
            </w:pPr>
            <w:r/>
            <w:r>
              <w:rPr>
                <w:sz w:val="20"/>
              </w:rPr>
              <w:t>3 (see section 4)</w:t>
            </w:r>
          </w:p>
        </w:tc>
      </w:tr>
      <w:tr>
        <w:tc>
          <w:tcPr>
            <w:tcW w:type="dxa" w:w="3312"/>
          </w:tcPr>
          <w:p>
            <w:pPr>
              <w:spacing w:after="40"/>
            </w:pPr>
            <w:r/>
            <w:r>
              <w:rPr>
                <w:sz w:val="20"/>
              </w:rPr>
              <w:t>Templates requested here</w:t>
            </w:r>
          </w:p>
        </w:tc>
        <w:tc>
          <w:tcPr>
            <w:tcW w:type="dxa" w:w="6192"/>
          </w:tcPr>
          <w:p>
            <w:pPr>
              <w:spacing w:after="40"/>
            </w:pPr>
            <w:r/>
            <w:r>
              <w:rPr>
                <w:sz w:val="20"/>
              </w:rPr>
              <w:t>4 (see section 3)</w:t>
            </w:r>
          </w:p>
        </w:tc>
      </w:tr>
    </w:tbl>
    <w:p/>
    <w:p>
      <w:pPr>
        <w:spacing w:after="140"/>
        <w:jc w:val="both"/>
      </w:pPr>
      <w:r>
        <w:rPr>
          <w:b w:val="0"/>
          <w:color w:val="555555"/>
          <w:sz w:val="21"/>
        </w:rPr>
        <w:t>This document has two purposes. Sections 1 and 2 record exactly where the platform sends an SMS and what it sends, so the request can be checked against the product rather than taken on trust. Section 3 is the request itself, in the form the operator needs.</w:t>
      </w:r>
    </w:p>
    <w:p>
      <w:r>
        <w:br w:type="page"/>
      </w:r>
    </w:p>
    <w:p>
      <w:pPr>
        <w:pStyle w:val="Heading1"/>
        <w:keepNext/>
        <w:spacing w:before="0" w:after="120"/>
      </w:pPr>
      <w:r>
        <w:rPr>
          <w:rFonts w:ascii="Calibri" w:hAnsi="Calibri"/>
          <w:color w:val="111111"/>
        </w:rPr>
        <w:t>1.  What is being asked for, in one page</w:t>
      </w:r>
    </w:p>
    <w:p>
      <w:pPr>
        <w:spacing w:after="140"/>
        <w:jc w:val="both"/>
      </w:pPr>
      <w:r>
        <w:rPr>
          <w:b w:val="0"/>
          <w:color w:val="111111"/>
          <w:sz w:val="21"/>
        </w:rPr>
        <w:t>The platform sends an SMS in six situations. Five of them carry a one-time code; the sixth is a security notice sent to a mobile number that has just been replaced. Four content templates cover all six.</w:t>
      </w:r>
    </w:p>
    <w:p>
      <w:pPr>
        <w:spacing w:after="140"/>
        <w:jc w:val="both"/>
      </w:pPr>
      <w:r>
        <w:rPr>
          <w:b w:val="0"/>
          <w:color w:val="111111"/>
          <w:sz w:val="21"/>
        </w:rPr>
        <w:t>Three of those four are registered and in use. The fourth is submitted and not yet granted.</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312"/>
            <w:shd w:val="clear" w:fill="E8E8E8"/>
          </w:tcPr>
          <w:p>
            <w:pPr>
              <w:spacing w:after="40"/>
            </w:pPr>
            <w:r/>
            <w:r>
              <w:rPr>
                <w:b/>
                <w:sz w:val="18"/>
              </w:rPr>
              <w:t>Journey</w:t>
            </w:r>
          </w:p>
        </w:tc>
        <w:tc>
          <w:tcPr>
            <w:tcW w:type="dxa" w:w="2736"/>
            <w:shd w:val="clear" w:fill="E8E8E8"/>
          </w:tcPr>
          <w:p>
            <w:pPr>
              <w:spacing w:after="40"/>
            </w:pPr>
            <w:r/>
            <w:r>
              <w:rPr>
                <w:b/>
                <w:sz w:val="18"/>
              </w:rPr>
              <w:t>Template ID</w:t>
            </w:r>
          </w:p>
        </w:tc>
        <w:tc>
          <w:tcPr>
            <w:tcW w:type="dxa" w:w="2304"/>
            <w:shd w:val="clear" w:fill="E8E8E8"/>
          </w:tcPr>
          <w:p>
            <w:pPr>
              <w:spacing w:after="40"/>
            </w:pPr>
            <w:r/>
            <w:r>
              <w:rPr>
                <w:b/>
                <w:sz w:val="18"/>
              </w:rPr>
              <w:t>Status</w:t>
            </w:r>
          </w:p>
        </w:tc>
      </w:tr>
      <w:tr>
        <w:tc>
          <w:tcPr>
            <w:tcW w:type="dxa" w:w="3312"/>
          </w:tcPr>
          <w:p>
            <w:pPr>
              <w:spacing w:after="40"/>
            </w:pPr>
            <w:r/>
            <w:r>
              <w:rPr>
                <w:sz w:val="18"/>
              </w:rPr>
              <w:t>Registration OTP</w:t>
            </w:r>
          </w:p>
        </w:tc>
        <w:tc>
          <w:tcPr>
            <w:tcW w:type="dxa" w:w="2736"/>
          </w:tcPr>
          <w:p>
            <w:pPr>
              <w:spacing w:after="40"/>
            </w:pPr>
            <w:r/>
            <w:r>
              <w:rPr>
                <w:rFonts w:ascii="Consolas" w:hAnsi="Consolas"/>
                <w:sz w:val="17"/>
              </w:rPr>
              <w:t>1277178671564743852</w:t>
            </w:r>
          </w:p>
        </w:tc>
        <w:tc>
          <w:tcPr>
            <w:tcW w:type="dxa" w:w="2304"/>
          </w:tcPr>
          <w:p>
            <w:pPr>
              <w:spacing w:after="40"/>
            </w:pPr>
            <w:r/>
            <w:r>
              <w:rPr>
                <w:sz w:val="18"/>
              </w:rPr>
              <w:t>Registered</w:t>
            </w:r>
          </w:p>
        </w:tc>
      </w:tr>
      <w:tr>
        <w:tc>
          <w:tcPr>
            <w:tcW w:type="dxa" w:w="3312"/>
          </w:tcPr>
          <w:p>
            <w:pPr>
              <w:spacing w:after="40"/>
            </w:pPr>
            <w:r/>
            <w:r>
              <w:rPr>
                <w:sz w:val="18"/>
              </w:rPr>
              <w:t>Sign-in OTP</w:t>
            </w:r>
          </w:p>
        </w:tc>
        <w:tc>
          <w:tcPr>
            <w:tcW w:type="dxa" w:w="2736"/>
          </w:tcPr>
          <w:p>
            <w:pPr>
              <w:spacing w:after="40"/>
            </w:pPr>
            <w:r/>
            <w:r>
              <w:rPr>
                <w:rFonts w:ascii="Consolas" w:hAnsi="Consolas"/>
                <w:sz w:val="17"/>
              </w:rPr>
              <w:t>1277178730169418603</w:t>
            </w:r>
          </w:p>
        </w:tc>
        <w:tc>
          <w:tcPr>
            <w:tcW w:type="dxa" w:w="2304"/>
          </w:tcPr>
          <w:p>
            <w:pPr>
              <w:spacing w:after="40"/>
            </w:pPr>
            <w:r/>
            <w:r>
              <w:rPr>
                <w:sz w:val="18"/>
              </w:rPr>
              <w:t>Registered</w:t>
            </w:r>
          </w:p>
        </w:tc>
      </w:tr>
      <w:tr>
        <w:tc>
          <w:tcPr>
            <w:tcW w:type="dxa" w:w="3312"/>
          </w:tcPr>
          <w:p>
            <w:pPr>
              <w:spacing w:after="40"/>
            </w:pPr>
            <w:r/>
            <w:r>
              <w:rPr>
                <w:sz w:val="18"/>
              </w:rPr>
              <w:t>Password Reset OTP</w:t>
            </w:r>
          </w:p>
        </w:tc>
        <w:tc>
          <w:tcPr>
            <w:tcW w:type="dxa" w:w="2736"/>
          </w:tcPr>
          <w:p>
            <w:pPr>
              <w:spacing w:after="40"/>
            </w:pPr>
            <w:r/>
            <w:r>
              <w:rPr>
                <w:rFonts w:ascii="Consolas" w:hAnsi="Consolas"/>
                <w:sz w:val="17"/>
              </w:rPr>
              <w:t>1277178730612100625</w:t>
            </w:r>
          </w:p>
        </w:tc>
        <w:tc>
          <w:tcPr>
            <w:tcW w:type="dxa" w:w="2304"/>
          </w:tcPr>
          <w:p>
            <w:pPr>
              <w:spacing w:after="40"/>
            </w:pPr>
            <w:r/>
            <w:r>
              <w:rPr>
                <w:sz w:val="18"/>
              </w:rPr>
              <w:t>Registered</w:t>
            </w:r>
          </w:p>
        </w:tc>
      </w:tr>
      <w:tr>
        <w:tc>
          <w:tcPr>
            <w:tcW w:type="dxa" w:w="3312"/>
          </w:tcPr>
          <w:p>
            <w:pPr>
              <w:spacing w:after="40"/>
            </w:pPr>
            <w:r/>
            <w:r>
              <w:rPr>
                <w:sz w:val="18"/>
              </w:rPr>
              <w:t>Mobile Number Changed — Security Alert</w:t>
            </w:r>
          </w:p>
        </w:tc>
        <w:tc>
          <w:tcPr>
            <w:tcW w:type="dxa" w:w="2736"/>
          </w:tcPr>
          <w:p>
            <w:pPr>
              <w:spacing w:after="40"/>
            </w:pPr>
            <w:r/>
            <w:r>
              <w:rPr>
                <w:rFonts w:ascii="Consolas" w:hAnsi="Consolas"/>
                <w:sz w:val="17"/>
              </w:rPr>
              <w:t>—</w:t>
            </w:r>
          </w:p>
        </w:tc>
        <w:tc>
          <w:tcPr>
            <w:tcW w:type="dxa" w:w="2304"/>
          </w:tcPr>
          <w:p>
            <w:pPr>
              <w:spacing w:after="40"/>
            </w:pPr>
            <w:r/>
            <w:r>
              <w:rPr>
                <w:sz w:val="18"/>
              </w:rPr>
              <w:t>Pending</w:t>
            </w:r>
          </w:p>
        </w:tc>
      </w:tr>
    </w:tbl>
    <w:p/>
    <w:p>
      <w:pPr>
        <w:spacing w:after="140"/>
        <w:jc w:val="both"/>
      </w:pPr>
      <w:r>
        <w:rPr>
          <w:b/>
          <w:color w:val="111111"/>
          <w:sz w:val="21"/>
        </w:rPr>
        <w:t>What the pending one costs, until it is granted.</w:t>
      </w:r>
    </w:p>
    <w:p>
      <w:pPr>
        <w:pStyle w:val="ListBullet"/>
        <w:spacing w:after="60"/>
        <w:jc w:val="both"/>
      </w:pPr>
      <w:r>
        <w:rPr>
          <w:b/>
          <w:sz w:val="21"/>
        </w:rPr>
        <w:t xml:space="preserve">Effect: </w:t>
      </w:r>
      <w:r>
        <w:rPr>
          <w:sz w:val="21"/>
        </w:rPr>
        <w:t>The security notice sent to a mobile number that has just been replaced (journey 5) is the only warning the rightful owner of a number gets if somebody else moves an account onto their own handset. It is not sent while it has no registration.</w:t>
      </w:r>
    </w:p>
    <w:p>
      <w:pPr>
        <w:pStyle w:val="ListBullet"/>
        <w:spacing w:after="60"/>
        <w:jc w:val="both"/>
      </w:pPr>
      <w:r>
        <w:rPr>
          <w:b/>
          <w:sz w:val="21"/>
        </w:rPr>
        <w:t xml:space="preserve">Handling: </w:t>
      </w:r>
      <w:r>
        <w:rPr>
          <w:sz w:val="21"/>
        </w:rPr>
        <w:t>It is not sent rather than sent-and-dropped. A message with no registration is accepted by the gateway and discarded by the carrier, with no error at either end — so sending it anyway would have the platform record a delivery that never happened. For a security alert that is worse than silence, because it reads as success. The e-mail alert still goes out.</w:t>
      </w:r>
    </w:p>
    <w:p>
      <w:pPr>
        <w:pStyle w:val="ListBullet"/>
        <w:spacing w:after="60"/>
        <w:jc w:val="both"/>
      </w:pPr>
      <w:r>
        <w:rPr>
          <w:b/>
          <w:sz w:val="21"/>
        </w:rPr>
        <w:t xml:space="preserve">When granted: </w:t>
      </w:r>
      <w:r>
        <w:rPr>
          <w:sz w:val="21"/>
        </w:rPr>
        <w:t>Paste the ID into backend/src/config/smsTemplates.js and set registered to true. Nothing else changes.</w:t>
      </w:r>
    </w:p>
    <w:p>
      <w:pPr>
        <w:pStyle w:val="Heading1"/>
        <w:keepNext/>
        <w:spacing w:before="320" w:after="120"/>
      </w:pPr>
      <w:r>
        <w:rPr>
          <w:rFonts w:ascii="Calibri" w:hAnsi="Calibri"/>
          <w:color w:val="111111"/>
        </w:rPr>
        <w:t>2.  Where the platform sends an SMS</w:t>
      </w:r>
    </w:p>
    <w:p>
      <w:pPr>
        <w:spacing w:after="140"/>
        <w:jc w:val="both"/>
      </w:pPr>
      <w:r>
        <w:rPr>
          <w:b w:val="0"/>
          <w:color w:val="111111"/>
          <w:sz w:val="21"/>
        </w:rPr>
        <w:t>Read out of the code rather than from memory; the source of each row is named so it can be checked.</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403"/>
            <w:shd w:val="clear" w:fill="E8E8E8"/>
          </w:tcPr>
          <w:p>
            <w:pPr>
              <w:spacing w:after="40"/>
            </w:pPr>
            <w:r/>
            <w:r>
              <w:rPr>
                <w:b/>
                <w:sz w:val="17"/>
              </w:rPr>
              <w:t>#</w:t>
            </w:r>
          </w:p>
        </w:tc>
        <w:tc>
          <w:tcPr>
            <w:tcW w:type="dxa" w:w="2160"/>
            <w:shd w:val="clear" w:fill="E8E8E8"/>
          </w:tcPr>
          <w:p>
            <w:pPr>
              <w:spacing w:after="40"/>
            </w:pPr>
            <w:r/>
            <w:r>
              <w:rPr>
                <w:b/>
                <w:sz w:val="17"/>
              </w:rPr>
              <w:t>Journey</w:t>
            </w:r>
          </w:p>
        </w:tc>
        <w:tc>
          <w:tcPr>
            <w:tcW w:type="dxa" w:w="1512"/>
            <w:shd w:val="clear" w:fill="E8E8E8"/>
          </w:tcPr>
          <w:p>
            <w:pPr>
              <w:spacing w:after="40"/>
            </w:pPr>
            <w:r/>
            <w:r>
              <w:rPr>
                <w:b/>
                <w:sz w:val="17"/>
              </w:rPr>
              <w:t>Internal purpose</w:t>
            </w:r>
          </w:p>
        </w:tc>
        <w:tc>
          <w:tcPr>
            <w:tcW w:type="dxa" w:w="3096"/>
            <w:shd w:val="clear" w:fill="E8E8E8"/>
          </w:tcPr>
          <w:p>
            <w:pPr>
              <w:spacing w:after="40"/>
            </w:pPr>
            <w:r/>
            <w:r>
              <w:rPr>
                <w:b/>
                <w:sz w:val="17"/>
              </w:rPr>
              <w:t>When it is sent</w:t>
            </w:r>
          </w:p>
        </w:tc>
        <w:tc>
          <w:tcPr>
            <w:tcW w:type="dxa" w:w="1944"/>
            <w:shd w:val="clear" w:fill="E8E8E8"/>
          </w:tcPr>
          <w:p>
            <w:pPr>
              <w:spacing w:after="40"/>
            </w:pPr>
            <w:r/>
            <w:r>
              <w:rPr>
                <w:b/>
                <w:sz w:val="17"/>
              </w:rPr>
              <w:t>Source</w:t>
            </w:r>
          </w:p>
        </w:tc>
        <w:tc>
          <w:tcPr>
            <w:tcW w:type="dxa" w:w="605"/>
            <w:shd w:val="clear" w:fill="E8E8E8"/>
          </w:tcPr>
          <w:p>
            <w:pPr>
              <w:spacing w:after="40"/>
            </w:pPr>
            <w:r/>
            <w:r>
              <w:rPr>
                <w:b/>
                <w:sz w:val="17"/>
              </w:rPr>
              <w:t>OTP?</w:t>
            </w:r>
          </w:p>
        </w:tc>
      </w:tr>
      <w:tr>
        <w:tc>
          <w:tcPr>
            <w:tcW w:type="dxa" w:w="403"/>
          </w:tcPr>
          <w:p>
            <w:pPr>
              <w:spacing w:after="40"/>
            </w:pPr>
            <w:r/>
            <w:r>
              <w:rPr>
                <w:sz w:val="17"/>
              </w:rPr>
              <w:t>1</w:t>
            </w:r>
          </w:p>
        </w:tc>
        <w:tc>
          <w:tcPr>
            <w:tcW w:type="dxa" w:w="2160"/>
          </w:tcPr>
          <w:p>
            <w:pPr>
              <w:spacing w:after="40"/>
            </w:pPr>
            <w:r/>
            <w:r>
              <w:rPr>
                <w:sz w:val="17"/>
              </w:rPr>
              <w:t>Sign-in by one-time code</w:t>
            </w:r>
          </w:p>
        </w:tc>
        <w:tc>
          <w:tcPr>
            <w:tcW w:type="dxa" w:w="1512"/>
          </w:tcPr>
          <w:p>
            <w:pPr>
              <w:spacing w:after="40"/>
            </w:pPr>
            <w:r/>
            <w:r>
              <w:rPr>
                <w:rFonts w:ascii="Consolas" w:hAnsi="Consolas"/>
                <w:sz w:val="17"/>
              </w:rPr>
              <w:t>login</w:t>
            </w:r>
          </w:p>
        </w:tc>
        <w:tc>
          <w:tcPr>
            <w:tcW w:type="dxa" w:w="3096"/>
          </w:tcPr>
          <w:p>
            <w:pPr>
              <w:spacing w:after="40"/>
            </w:pPr>
            <w:r/>
            <w:r>
              <w:rPr>
                <w:sz w:val="17"/>
              </w:rPr>
              <w:t>A person enters their email address or mobile number on the sign-in screen while one-time-code sign-in is switched on.</w:t>
            </w:r>
          </w:p>
        </w:tc>
        <w:tc>
          <w:tcPr>
            <w:tcW w:type="dxa" w:w="1944"/>
          </w:tcPr>
          <w:p>
            <w:pPr>
              <w:spacing w:after="40"/>
            </w:pPr>
            <w:r/>
            <w:r>
              <w:rPr>
                <w:rFonts w:ascii="Consolas" w:hAnsi="Consolas"/>
                <w:sz w:val="17"/>
              </w:rPr>
              <w:t>otpService.requestOtp()</w:t>
            </w:r>
          </w:p>
        </w:tc>
        <w:tc>
          <w:tcPr>
            <w:tcW w:type="dxa" w:w="605"/>
          </w:tcPr>
          <w:p>
            <w:pPr>
              <w:spacing w:after="40"/>
            </w:pPr>
            <w:r/>
            <w:r>
              <w:rPr>
                <w:sz w:val="17"/>
              </w:rPr>
              <w:t>Yes</w:t>
            </w:r>
          </w:p>
        </w:tc>
      </w:tr>
      <w:tr>
        <w:tc>
          <w:tcPr>
            <w:tcW w:type="dxa" w:w="403"/>
          </w:tcPr>
          <w:p>
            <w:pPr>
              <w:spacing w:after="40"/>
            </w:pPr>
            <w:r/>
            <w:r>
              <w:rPr>
                <w:sz w:val="17"/>
              </w:rPr>
              <w:t>2</w:t>
            </w:r>
          </w:p>
        </w:tc>
        <w:tc>
          <w:tcPr>
            <w:tcW w:type="dxa" w:w="2160"/>
          </w:tcPr>
          <w:p>
            <w:pPr>
              <w:spacing w:after="40"/>
            </w:pPr>
            <w:r/>
            <w:r>
              <w:rPr>
                <w:sz w:val="17"/>
              </w:rPr>
              <w:t>Company registration — verify the mobile number</w:t>
            </w:r>
          </w:p>
        </w:tc>
        <w:tc>
          <w:tcPr>
            <w:tcW w:type="dxa" w:w="1512"/>
          </w:tcPr>
          <w:p>
            <w:pPr>
              <w:spacing w:after="40"/>
            </w:pPr>
            <w:r/>
            <w:r>
              <w:rPr>
                <w:rFonts w:ascii="Consolas" w:hAnsi="Consolas"/>
                <w:sz w:val="17"/>
              </w:rPr>
              <w:t>registration_phone</w:t>
            </w:r>
          </w:p>
        </w:tc>
        <w:tc>
          <w:tcPr>
            <w:tcW w:type="dxa" w:w="3096"/>
          </w:tcPr>
          <w:p>
            <w:pPr>
              <w:spacing w:after="40"/>
            </w:pPr>
            <w:r/>
            <w:r>
              <w:rPr>
                <w:sz w:val="17"/>
              </w:rPr>
              <w:t>A company fills in the self-registration form and asks for a code to confirm the mobile number on the application.</w:t>
            </w:r>
          </w:p>
        </w:tc>
        <w:tc>
          <w:tcPr>
            <w:tcW w:type="dxa" w:w="1944"/>
          </w:tcPr>
          <w:p>
            <w:pPr>
              <w:spacing w:after="40"/>
            </w:pPr>
            <w:r/>
            <w:r>
              <w:rPr>
                <w:rFonts w:ascii="Consolas" w:hAnsi="Consolas"/>
                <w:sz w:val="17"/>
              </w:rPr>
              <w:t>registrationService (sendPhoneCode)</w:t>
            </w:r>
          </w:p>
        </w:tc>
        <w:tc>
          <w:tcPr>
            <w:tcW w:type="dxa" w:w="605"/>
          </w:tcPr>
          <w:p>
            <w:pPr>
              <w:spacing w:after="40"/>
            </w:pPr>
            <w:r/>
            <w:r>
              <w:rPr>
                <w:sz w:val="17"/>
              </w:rPr>
              <w:t>Yes</w:t>
            </w:r>
          </w:p>
        </w:tc>
      </w:tr>
      <w:tr>
        <w:tc>
          <w:tcPr>
            <w:tcW w:type="dxa" w:w="403"/>
          </w:tcPr>
          <w:p>
            <w:pPr>
              <w:spacing w:after="40"/>
            </w:pPr>
            <w:r/>
            <w:r>
              <w:rPr>
                <w:sz w:val="17"/>
              </w:rPr>
              <w:t>3</w:t>
            </w:r>
          </w:p>
        </w:tc>
        <w:tc>
          <w:tcPr>
            <w:tcW w:type="dxa" w:w="2160"/>
          </w:tcPr>
          <w:p>
            <w:pPr>
              <w:spacing w:after="40"/>
            </w:pPr>
            <w:r/>
            <w:r>
              <w:rPr>
                <w:sz w:val="17"/>
              </w:rPr>
              <w:t>Password reset</w:t>
            </w:r>
          </w:p>
        </w:tc>
        <w:tc>
          <w:tcPr>
            <w:tcW w:type="dxa" w:w="1512"/>
          </w:tcPr>
          <w:p>
            <w:pPr>
              <w:spacing w:after="40"/>
            </w:pPr>
            <w:r/>
            <w:r>
              <w:rPr>
                <w:rFonts w:ascii="Consolas" w:hAnsi="Consolas"/>
                <w:sz w:val="17"/>
              </w:rPr>
              <w:t>password_reset</w:t>
            </w:r>
          </w:p>
        </w:tc>
        <w:tc>
          <w:tcPr>
            <w:tcW w:type="dxa" w:w="3096"/>
          </w:tcPr>
          <w:p>
            <w:pPr>
              <w:spacing w:after="40"/>
            </w:pPr>
            <w:r/>
            <w:r>
              <w:rPr>
                <w:sz w:val="17"/>
              </w:rPr>
              <w:t>A person uses "Forgot password" and asks for the code by SMS rather than email.</w:t>
            </w:r>
          </w:p>
        </w:tc>
        <w:tc>
          <w:tcPr>
            <w:tcW w:type="dxa" w:w="1944"/>
          </w:tcPr>
          <w:p>
            <w:pPr>
              <w:spacing w:after="40"/>
            </w:pPr>
            <w:r/>
            <w:r>
              <w:rPr>
                <w:rFonts w:ascii="Consolas" w:hAnsi="Consolas"/>
                <w:sz w:val="17"/>
              </w:rPr>
              <w:t>authService (requestPasswordReset)</w:t>
            </w:r>
          </w:p>
        </w:tc>
        <w:tc>
          <w:tcPr>
            <w:tcW w:type="dxa" w:w="605"/>
          </w:tcPr>
          <w:p>
            <w:pPr>
              <w:spacing w:after="40"/>
            </w:pPr>
            <w:r/>
            <w:r>
              <w:rPr>
                <w:sz w:val="17"/>
              </w:rPr>
              <w:t>Yes</w:t>
            </w:r>
          </w:p>
        </w:tc>
      </w:tr>
      <w:tr>
        <w:tc>
          <w:tcPr>
            <w:tcW w:type="dxa" w:w="403"/>
          </w:tcPr>
          <w:p>
            <w:pPr>
              <w:spacing w:after="40"/>
            </w:pPr>
            <w:r/>
            <w:r>
              <w:rPr>
                <w:sz w:val="17"/>
              </w:rPr>
              <w:t>4</w:t>
            </w:r>
          </w:p>
        </w:tc>
        <w:tc>
          <w:tcPr>
            <w:tcW w:type="dxa" w:w="2160"/>
          </w:tcPr>
          <w:p>
            <w:pPr>
              <w:spacing w:after="40"/>
            </w:pPr>
            <w:r/>
            <w:r>
              <w:rPr>
                <w:sz w:val="17"/>
              </w:rPr>
              <w:t>Confirm a change of mobile number</w:t>
            </w:r>
          </w:p>
        </w:tc>
        <w:tc>
          <w:tcPr>
            <w:tcW w:type="dxa" w:w="1512"/>
          </w:tcPr>
          <w:p>
            <w:pPr>
              <w:spacing w:after="40"/>
            </w:pPr>
            <w:r/>
            <w:r>
              <w:rPr>
                <w:rFonts w:ascii="Consolas" w:hAnsi="Consolas"/>
                <w:sz w:val="17"/>
              </w:rPr>
              <w:t>phone_verify</w:t>
            </w:r>
          </w:p>
        </w:tc>
        <w:tc>
          <w:tcPr>
            <w:tcW w:type="dxa" w:w="3096"/>
          </w:tcPr>
          <w:p>
            <w:pPr>
              <w:spacing w:after="40"/>
            </w:pPr>
            <w:r/>
            <w:r>
              <w:rPr>
                <w:sz w:val="17"/>
              </w:rPr>
              <w:t>A signed-in person edits the mobile number on My Profile; the code goes to the NEW number to prove they hold it.</w:t>
            </w:r>
          </w:p>
        </w:tc>
        <w:tc>
          <w:tcPr>
            <w:tcW w:type="dxa" w:w="1944"/>
          </w:tcPr>
          <w:p>
            <w:pPr>
              <w:spacing w:after="40"/>
            </w:pPr>
            <w:r/>
            <w:r>
              <w:rPr>
                <w:rFonts w:ascii="Consolas" w:hAnsi="Consolas"/>
                <w:sz w:val="17"/>
              </w:rPr>
              <w:t>userService.requestPhoneChangeCode()</w:t>
            </w:r>
          </w:p>
        </w:tc>
        <w:tc>
          <w:tcPr>
            <w:tcW w:type="dxa" w:w="605"/>
          </w:tcPr>
          <w:p>
            <w:pPr>
              <w:spacing w:after="40"/>
            </w:pPr>
            <w:r/>
            <w:r>
              <w:rPr>
                <w:sz w:val="17"/>
              </w:rPr>
              <w:t>Yes</w:t>
            </w:r>
          </w:p>
        </w:tc>
      </w:tr>
      <w:tr>
        <w:tc>
          <w:tcPr>
            <w:tcW w:type="dxa" w:w="403"/>
          </w:tcPr>
          <w:p>
            <w:pPr>
              <w:spacing w:after="40"/>
            </w:pPr>
            <w:r/>
            <w:r>
              <w:rPr>
                <w:sz w:val="17"/>
              </w:rPr>
              <w:t>5</w:t>
            </w:r>
          </w:p>
        </w:tc>
        <w:tc>
          <w:tcPr>
            <w:tcW w:type="dxa" w:w="2160"/>
          </w:tcPr>
          <w:p>
            <w:pPr>
              <w:spacing w:after="40"/>
            </w:pPr>
            <w:r/>
            <w:r>
              <w:rPr>
                <w:sz w:val="17"/>
              </w:rPr>
              <w:t>Alert the old number after a change</w:t>
            </w:r>
          </w:p>
        </w:tc>
        <w:tc>
          <w:tcPr>
            <w:tcW w:type="dxa" w:w="1512"/>
          </w:tcPr>
          <w:p>
            <w:pPr>
              <w:spacing w:after="40"/>
            </w:pPr>
            <w:r/>
            <w:r>
              <w:rPr>
                <w:rFonts w:ascii="Consolas" w:hAnsi="Consolas"/>
                <w:sz w:val="17"/>
              </w:rPr>
              <w:t>(none — see 2.2)</w:t>
            </w:r>
          </w:p>
        </w:tc>
        <w:tc>
          <w:tcPr>
            <w:tcW w:type="dxa" w:w="3096"/>
          </w:tcPr>
          <w:p>
            <w:pPr>
              <w:spacing w:after="40"/>
            </w:pPr>
            <w:r/>
            <w:r>
              <w:rPr>
                <w:sz w:val="17"/>
              </w:rPr>
              <w:t>Immediately after a mobile number is changed, the PREVIOUS number is told, so the real owner learns about it if the change was not theirs.</w:t>
            </w:r>
          </w:p>
        </w:tc>
        <w:tc>
          <w:tcPr>
            <w:tcW w:type="dxa" w:w="1944"/>
          </w:tcPr>
          <w:p>
            <w:pPr>
              <w:spacing w:after="40"/>
            </w:pPr>
            <w:r/>
            <w:r>
              <w:rPr>
                <w:rFonts w:ascii="Consolas" w:hAnsi="Consolas"/>
                <w:sz w:val="17"/>
              </w:rPr>
              <w:t>userService.notifyPhoneChanged()</w:t>
            </w:r>
          </w:p>
        </w:tc>
        <w:tc>
          <w:tcPr>
            <w:tcW w:type="dxa" w:w="605"/>
          </w:tcPr>
          <w:p>
            <w:pPr>
              <w:spacing w:after="40"/>
            </w:pPr>
            <w:r/>
            <w:r>
              <w:rPr>
                <w:sz w:val="17"/>
              </w:rPr>
              <w:t>No</w:t>
            </w:r>
          </w:p>
        </w:tc>
      </w:tr>
      <w:tr>
        <w:tc>
          <w:tcPr>
            <w:tcW w:type="dxa" w:w="403"/>
          </w:tcPr>
          <w:p>
            <w:pPr>
              <w:spacing w:after="40"/>
            </w:pPr>
            <w:r/>
            <w:r>
              <w:rPr>
                <w:sz w:val="17"/>
              </w:rPr>
              <w:t>6</w:t>
            </w:r>
          </w:p>
        </w:tc>
        <w:tc>
          <w:tcPr>
            <w:tcW w:type="dxa" w:w="2160"/>
          </w:tcPr>
          <w:p>
            <w:pPr>
              <w:spacing w:after="40"/>
            </w:pPr>
            <w:r/>
            <w:r>
              <w:rPr>
                <w:sz w:val="17"/>
              </w:rPr>
              <w:t>Gateway test message</w:t>
            </w:r>
          </w:p>
        </w:tc>
        <w:tc>
          <w:tcPr>
            <w:tcW w:type="dxa" w:w="1512"/>
          </w:tcPr>
          <w:p>
            <w:pPr>
              <w:spacing w:after="40"/>
            </w:pPr>
            <w:r/>
            <w:r>
              <w:rPr>
                <w:rFonts w:ascii="Consolas" w:hAnsi="Consolas"/>
                <w:sz w:val="17"/>
              </w:rPr>
              <w:t>login</w:t>
            </w:r>
          </w:p>
        </w:tc>
        <w:tc>
          <w:tcPr>
            <w:tcW w:type="dxa" w:w="3096"/>
          </w:tcPr>
          <w:p>
            <w:pPr>
              <w:spacing w:after="40"/>
            </w:pPr>
            <w:r/>
            <w:r>
              <w:rPr>
                <w:sz w:val="17"/>
              </w:rPr>
              <w:t>A platform administrator presses "Test Connection" on the Messaging screen. Sends the registered wording with a dummy code of 000000.</w:t>
            </w:r>
          </w:p>
        </w:tc>
        <w:tc>
          <w:tcPr>
            <w:tcW w:type="dxa" w:w="1944"/>
          </w:tcPr>
          <w:p>
            <w:pPr>
              <w:spacing w:after="40"/>
            </w:pPr>
            <w:r/>
            <w:r>
              <w:rPr>
                <w:rFonts w:ascii="Consolas" w:hAnsi="Consolas"/>
                <w:sz w:val="17"/>
              </w:rPr>
              <w:t>smsService.sendTestSms()</w:t>
            </w:r>
          </w:p>
        </w:tc>
        <w:tc>
          <w:tcPr>
            <w:tcW w:type="dxa" w:w="605"/>
          </w:tcPr>
          <w:p>
            <w:pPr>
              <w:spacing w:after="40"/>
            </w:pPr>
            <w:r/>
            <w:r>
              <w:rPr>
                <w:sz w:val="17"/>
              </w:rPr>
              <w:t>Yes</w:t>
            </w:r>
          </w:p>
        </w:tc>
      </w:tr>
    </w:tbl>
    <w:p/>
    <w:p>
      <w:pPr>
        <w:pStyle w:val="Heading2"/>
        <w:keepNext/>
        <w:spacing w:before="200" w:after="120"/>
      </w:pPr>
      <w:r>
        <w:rPr>
          <w:rFonts w:ascii="Calibri" w:hAnsi="Calibri"/>
          <w:color w:val="111111"/>
        </w:rPr>
        <w:t>2.1  How a code is put into the message</w:t>
      </w:r>
    </w:p>
    <w:p>
      <w:pPr>
        <w:spacing w:after="140"/>
        <w:jc w:val="both"/>
      </w:pPr>
      <w:r>
        <w:rPr>
          <w:b w:val="0"/>
          <w:color w:val="111111"/>
          <w:sz w:val="21"/>
        </w:rPr>
        <w:t>The registered wording is stored with its placeholder intact and filled at send time. All four registrations take a single variable — the code, or for the security notice the last four digits of the new number. Jio's portal writes the placeholder as {#number#}; the code writes it as {#var#}. They denote the same thing, and the text that reaches the carrier — with the value already substituted — is identical either way.</w:t>
      </w:r>
    </w:p>
    <w:p>
      <w:pPr>
        <w:spacing w:after="140"/>
        <w:jc w:val="both"/>
      </w:pPr>
      <w:r>
        <w:rPr>
          <w:b w:val="0"/>
          <w:color w:val="111111"/>
          <w:sz w:val="21"/>
        </w:rPr>
        <w:t>None of the approved wordings mention an expiry period, so none is sent. The validity of a code is shown on screen instead, where no carrier has an opinion about it.</w:t>
      </w:r>
    </w:p>
    <w:p>
      <w:pPr>
        <w:spacing w:after="140"/>
        <w:jc w:val="both"/>
      </w:pPr>
      <w:r>
        <w:rPr>
          <w:b w:val="0"/>
          <w:color w:val="555555"/>
          <w:sz w:val="21"/>
        </w:rPr>
        <w:t>The message text and the template ID are always sent together, because the carrier checks the two against each other. This is the reason the two other registered IDs in section 4 cannot simply be switched on: sending our wording under their ID would be dropped exactly as surely as sending unregistered text.</w:t>
      </w:r>
    </w:p>
    <w:p>
      <w:pPr>
        <w:pStyle w:val="Heading2"/>
        <w:keepNext/>
        <w:spacing w:before="240" w:after="120"/>
      </w:pPr>
      <w:r>
        <w:rPr>
          <w:rFonts w:ascii="Calibri" w:hAnsi="Calibri"/>
          <w:color w:val="111111"/>
        </w:rPr>
        <w:t>2.2  The one message with no template</w:t>
      </w:r>
    </w:p>
    <w:p>
      <w:pPr>
        <w:spacing w:after="140"/>
        <w:jc w:val="both"/>
      </w:pPr>
      <w:r>
        <w:rPr>
          <w:b w:val="0"/>
          <w:color w:val="111111"/>
          <w:sz w:val="21"/>
        </w:rPr>
        <w:t>Journey 5 sends free text — it is a notice, not a code:</w:t>
      </w:r>
    </w:p>
    <w:p>
      <w:pPr>
        <w:spacing w:before="60" w:after="160"/>
        <w:ind w:left="259"/>
        <w:shd w:val="clear" w:fill="F4F4F4"/>
      </w:pPr>
      <w:r>
        <w:rPr>
          <w:rFonts w:ascii="Consolas" w:hAnsi="Consolas"/>
          <w:color w:val="111111"/>
          <w:sz w:val="19"/>
        </w:rPr>
        <w:t>Your IFQM sign-in number was changed to one ending 1234. If this was not you, contact your administrator.</w:t>
      </w:r>
    </w:p>
    <w:p>
      <w:pPr>
        <w:spacing w:after="140"/>
        <w:jc w:val="both"/>
      </w:pPr>
      <w:r>
        <w:rPr>
          <w:b w:val="0"/>
          <w:color w:val="111111"/>
          <w:sz w:val="21"/>
        </w:rPr>
        <w:t>It is currently sent under the activation template ID, whose approved wording is completely different, so the carrier will not deliver it. Template T4 in the next section is the registration it needs. The number shown is the last four digits of the new mobile number, which is why T4 carries one variable.</w:t>
      </w:r>
    </w:p>
    <w:p>
      <w:r>
        <w:br w:type="page"/>
      </w:r>
    </w:p>
    <w:p>
      <w:pPr>
        <w:pStyle w:val="Heading1"/>
        <w:keepNext/>
        <w:spacing w:before="0" w:after="120"/>
      </w:pPr>
      <w:r>
        <w:rPr>
          <w:rFonts w:ascii="Calibri" w:hAnsi="Calibri"/>
          <w:color w:val="111111"/>
        </w:rPr>
        <w:t>3.  Content templates requested</w:t>
      </w:r>
    </w:p>
    <w:p>
      <w:pPr>
        <w:spacing w:after="140"/>
        <w:jc w:val="both"/>
      </w:pPr>
      <w:r>
        <w:rPr>
          <w:b w:val="0"/>
          <w:color w:val="111111"/>
          <w:sz w:val="21"/>
        </w:rPr>
        <w:t>All four are to be registered under PE ID 1201174858303838784 with header IFQMID-T, in plain English (not Unicode). Each variable is a {#var#} placeholder; none of them exceeds the 30-character limit — the codes are six digits, the validity is a one- or two-digit number of minutes, and the T4 variable is four digits.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605"/>
            <w:shd w:val="clear" w:fill="E8E8E8"/>
          </w:tcPr>
          <w:p>
            <w:pPr>
              <w:spacing w:after="40"/>
            </w:pPr>
            <w:r/>
            <w:r>
              <w:rPr>
                <w:b/>
                <w:sz w:val="17"/>
              </w:rPr>
              <w:t>Ref</w:t>
            </w:r>
          </w:p>
        </w:tc>
        <w:tc>
          <w:tcPr>
            <w:tcW w:type="dxa" w:w="2232"/>
            <w:shd w:val="clear" w:fill="E8E8E8"/>
          </w:tcPr>
          <w:p>
            <w:pPr>
              <w:spacing w:after="40"/>
            </w:pPr>
            <w:r/>
            <w:r>
              <w:rPr>
                <w:b/>
                <w:sz w:val="17"/>
              </w:rPr>
              <w:t>Purpose</w:t>
            </w:r>
          </w:p>
        </w:tc>
        <w:tc>
          <w:tcPr>
            <w:tcW w:type="dxa" w:w="1440"/>
            <w:shd w:val="clear" w:fill="E8E8E8"/>
          </w:tcPr>
          <w:p>
            <w:pPr>
              <w:spacing w:after="40"/>
            </w:pPr>
            <w:r/>
            <w:r>
              <w:rPr>
                <w:b/>
                <w:sz w:val="17"/>
              </w:rPr>
              <w:t>Category</w:t>
            </w:r>
          </w:p>
        </w:tc>
        <w:tc>
          <w:tcPr>
            <w:tcW w:type="dxa" w:w="576"/>
            <w:shd w:val="clear" w:fill="E8E8E8"/>
          </w:tcPr>
          <w:p>
            <w:pPr>
              <w:spacing w:after="40"/>
            </w:pPr>
            <w:r/>
            <w:r>
              <w:rPr>
                <w:b/>
                <w:sz w:val="17"/>
              </w:rPr>
              <w:t>Vars</w:t>
            </w:r>
          </w:p>
        </w:tc>
        <w:tc>
          <w:tcPr>
            <w:tcW w:type="dxa" w:w="4896"/>
            <w:shd w:val="clear" w:fill="E8E8E8"/>
          </w:tcPr>
          <w:p>
            <w:pPr>
              <w:spacing w:after="40"/>
            </w:pPr>
            <w:r/>
            <w:r>
              <w:rPr>
                <w:b/>
                <w:sz w:val="17"/>
              </w:rPr>
              <w:t>Message text as it should be registered</w:t>
            </w:r>
          </w:p>
        </w:tc>
      </w:tr>
      <w:tr>
        <w:tc>
          <w:tcPr>
            <w:tcW w:type="dxa" w:w="605"/>
          </w:tcPr>
          <w:p>
            <w:pPr>
              <w:spacing w:after="40"/>
            </w:pPr>
            <w:r/>
            <w:r>
              <w:rPr>
                <w:sz w:val="17"/>
              </w:rPr>
              <w:t>T1</w:t>
            </w:r>
          </w:p>
        </w:tc>
        <w:tc>
          <w:tcPr>
            <w:tcW w:type="dxa" w:w="2232"/>
          </w:tcPr>
          <w:p>
            <w:pPr>
              <w:spacing w:after="40"/>
            </w:pPr>
            <w:r/>
            <w:r>
              <w:rPr>
                <w:sz w:val="17"/>
              </w:rPr>
              <w:t>Sign-in OTP</w:t>
            </w:r>
          </w:p>
        </w:tc>
        <w:tc>
          <w:tcPr>
            <w:tcW w:type="dxa" w:w="1440"/>
          </w:tcPr>
          <w:p>
            <w:pPr>
              <w:spacing w:after="40"/>
            </w:pPr>
            <w:r/>
            <w:r>
              <w:rPr>
                <w:sz w:val="17"/>
              </w:rPr>
              <w:t>Service Implicit</w:t>
            </w:r>
          </w:p>
        </w:tc>
        <w:tc>
          <w:tcPr>
            <w:tcW w:type="dxa" w:w="576"/>
          </w:tcPr>
          <w:p>
            <w:pPr>
              <w:spacing w:after="40"/>
            </w:pPr>
            <w:r/>
            <w:r>
              <w:rPr>
                <w:sz w:val="17"/>
              </w:rPr>
              <w:t>2</w:t>
            </w:r>
          </w:p>
        </w:tc>
        <w:tc>
          <w:tcPr>
            <w:tcW w:type="dxa" w:w="4896"/>
          </w:tcPr>
          <w:p>
            <w:pPr>
              <w:spacing w:after="40"/>
            </w:pPr>
            <w:r/>
            <w:r>
              <w:rPr>
                <w:rFonts w:ascii="Consolas" w:hAnsi="Consolas"/>
                <w:sz w:val="17"/>
              </w:rPr>
              <w:t>{#var#} is your IFQM sign-in code. It expires in {#var#} minute(s). Do not share it with anyone.</w:t>
            </w:r>
          </w:p>
        </w:tc>
      </w:tr>
      <w:tr>
        <w:tc>
          <w:tcPr>
            <w:tcW w:type="dxa" w:w="605"/>
          </w:tcPr>
          <w:p>
            <w:pPr>
              <w:spacing w:after="40"/>
            </w:pPr>
            <w:r/>
            <w:r>
              <w:rPr>
                <w:sz w:val="17"/>
              </w:rPr>
              <w:t>T2</w:t>
            </w:r>
          </w:p>
        </w:tc>
        <w:tc>
          <w:tcPr>
            <w:tcW w:type="dxa" w:w="2232"/>
          </w:tcPr>
          <w:p>
            <w:pPr>
              <w:spacing w:after="40"/>
            </w:pPr>
            <w:r/>
            <w:r>
              <w:rPr>
                <w:sz w:val="17"/>
              </w:rPr>
              <w:t>Registration / activation OTP</w:t>
            </w:r>
          </w:p>
        </w:tc>
        <w:tc>
          <w:tcPr>
            <w:tcW w:type="dxa" w:w="1440"/>
          </w:tcPr>
          <w:p>
            <w:pPr>
              <w:spacing w:after="40"/>
            </w:pPr>
            <w:r/>
            <w:r>
              <w:rPr>
                <w:sz w:val="17"/>
              </w:rPr>
              <w:t>Service Implicit</w:t>
            </w:r>
          </w:p>
        </w:tc>
        <w:tc>
          <w:tcPr>
            <w:tcW w:type="dxa" w:w="576"/>
          </w:tcPr>
          <w:p>
            <w:pPr>
              <w:spacing w:after="40"/>
            </w:pPr>
            <w:r/>
            <w:r>
              <w:rPr>
                <w:sz w:val="17"/>
              </w:rPr>
              <w:t>2</w:t>
            </w:r>
          </w:p>
        </w:tc>
        <w:tc>
          <w:tcPr>
            <w:tcW w:type="dxa" w:w="4896"/>
          </w:tcPr>
          <w:p>
            <w:pPr>
              <w:spacing w:after="40"/>
            </w:pPr>
            <w:r/>
            <w:r>
              <w:rPr>
                <w:rFonts w:ascii="Consolas" w:hAnsi="Consolas"/>
                <w:sz w:val="17"/>
              </w:rPr>
              <w:t>{#var#} is your IFQM verification code. It expires in {#var#} minute(s). Do not share it with anyone.</w:t>
            </w:r>
          </w:p>
        </w:tc>
      </w:tr>
      <w:tr>
        <w:tc>
          <w:tcPr>
            <w:tcW w:type="dxa" w:w="605"/>
          </w:tcPr>
          <w:p>
            <w:pPr>
              <w:spacing w:after="40"/>
            </w:pPr>
            <w:r/>
            <w:r>
              <w:rPr>
                <w:sz w:val="17"/>
              </w:rPr>
              <w:t>T3</w:t>
            </w:r>
          </w:p>
        </w:tc>
        <w:tc>
          <w:tcPr>
            <w:tcW w:type="dxa" w:w="2232"/>
          </w:tcPr>
          <w:p>
            <w:pPr>
              <w:spacing w:after="40"/>
            </w:pPr>
            <w:r/>
            <w:r>
              <w:rPr>
                <w:sz w:val="17"/>
              </w:rPr>
              <w:t>Password reset OTP</w:t>
            </w:r>
          </w:p>
        </w:tc>
        <w:tc>
          <w:tcPr>
            <w:tcW w:type="dxa" w:w="1440"/>
          </w:tcPr>
          <w:p>
            <w:pPr>
              <w:spacing w:after="40"/>
            </w:pPr>
            <w:r/>
            <w:r>
              <w:rPr>
                <w:sz w:val="17"/>
              </w:rPr>
              <w:t>Service Implicit</w:t>
            </w:r>
          </w:p>
        </w:tc>
        <w:tc>
          <w:tcPr>
            <w:tcW w:type="dxa" w:w="576"/>
          </w:tcPr>
          <w:p>
            <w:pPr>
              <w:spacing w:after="40"/>
            </w:pPr>
            <w:r/>
            <w:r>
              <w:rPr>
                <w:sz w:val="17"/>
              </w:rPr>
              <w:t>2</w:t>
            </w:r>
          </w:p>
        </w:tc>
        <w:tc>
          <w:tcPr>
            <w:tcW w:type="dxa" w:w="4896"/>
          </w:tcPr>
          <w:p>
            <w:pPr>
              <w:spacing w:after="40"/>
            </w:pPr>
            <w:r/>
            <w:r>
              <w:rPr>
                <w:rFonts w:ascii="Consolas" w:hAnsi="Consolas"/>
                <w:sz w:val="17"/>
              </w:rPr>
              <w:t>{#var#} is your IFQM password reset code. It expires in {#var#} minute(s). Do not share it with anyone.</w:t>
            </w:r>
          </w:p>
        </w:tc>
      </w:tr>
      <w:tr>
        <w:tc>
          <w:tcPr>
            <w:tcW w:type="dxa" w:w="605"/>
          </w:tcPr>
          <w:p>
            <w:pPr>
              <w:spacing w:after="40"/>
            </w:pPr>
            <w:r/>
            <w:r>
              <w:rPr>
                <w:sz w:val="17"/>
              </w:rPr>
              <w:t>T4</w:t>
            </w:r>
          </w:p>
        </w:tc>
        <w:tc>
          <w:tcPr>
            <w:tcW w:type="dxa" w:w="2232"/>
          </w:tcPr>
          <w:p>
            <w:pPr>
              <w:spacing w:after="40"/>
            </w:pPr>
            <w:r/>
            <w:r>
              <w:rPr>
                <w:sz w:val="17"/>
              </w:rPr>
              <w:t>Mobile number changed — security alert</w:t>
            </w:r>
          </w:p>
        </w:tc>
        <w:tc>
          <w:tcPr>
            <w:tcW w:type="dxa" w:w="1440"/>
          </w:tcPr>
          <w:p>
            <w:pPr>
              <w:spacing w:after="40"/>
            </w:pPr>
            <w:r/>
            <w:r>
              <w:rPr>
                <w:sz w:val="17"/>
              </w:rPr>
              <w:t>Service Implicit</w:t>
            </w:r>
          </w:p>
        </w:tc>
        <w:tc>
          <w:tcPr>
            <w:tcW w:type="dxa" w:w="576"/>
          </w:tcPr>
          <w:p>
            <w:pPr>
              <w:spacing w:after="40"/>
            </w:pPr>
            <w:r/>
            <w:r>
              <w:rPr>
                <w:sz w:val="17"/>
              </w:rPr>
              <w:t>1</w:t>
            </w:r>
          </w:p>
        </w:tc>
        <w:tc>
          <w:tcPr>
            <w:tcW w:type="dxa" w:w="4896"/>
          </w:tcPr>
          <w:p>
            <w:pPr>
              <w:spacing w:after="40"/>
            </w:pPr>
            <w:r/>
            <w:r>
              <w:rPr>
                <w:rFonts w:ascii="Consolas" w:hAnsi="Consolas"/>
                <w:sz w:val="17"/>
              </w:rPr>
              <w:t>Your IFQM sign-in number was changed to one ending {#var#}. If this was not you, contact your administrator.</w:t>
            </w:r>
          </w:p>
        </w:tc>
      </w:tr>
    </w:tbl>
    <w:p/>
    <w:p>
      <w:pPr>
        <w:spacing w:after="140"/>
        <w:jc w:val="both"/>
      </w:pPr>
      <w:r>
        <w:rPr>
          <w:b/>
          <w:color w:val="111111"/>
          <w:sz w:val="21"/>
        </w:rPr>
        <w:t>Where each one is used:</w:t>
      </w:r>
    </w:p>
    <w:p>
      <w:pPr>
        <w:pStyle w:val="ListBullet"/>
        <w:spacing w:after="60"/>
        <w:jc w:val="both"/>
      </w:pPr>
      <w:r>
        <w:rPr>
          <w:b/>
          <w:sz w:val="21"/>
        </w:rPr>
        <w:t xml:space="preserve">T1 — Sign-in OTP: </w:t>
      </w:r>
      <w:r>
        <w:rPr>
          <w:sz w:val="21"/>
        </w:rPr>
        <w:t>Journey 1 and the gateway test (6).</w:t>
      </w:r>
    </w:p>
    <w:p>
      <w:pPr>
        <w:pStyle w:val="ListBullet"/>
        <w:spacing w:after="60"/>
        <w:jc w:val="both"/>
      </w:pPr>
      <w:r>
        <w:rPr>
          <w:b/>
          <w:sz w:val="21"/>
        </w:rPr>
        <w:t xml:space="preserve">T2 — Registration / activation OTP: </w:t>
      </w:r>
      <w:r>
        <w:rPr>
          <w:sz w:val="21"/>
        </w:rPr>
        <w:t>Journeys 2 and 4 — confirming a mobile number, at registration and on an existing account.</w:t>
      </w:r>
    </w:p>
    <w:p>
      <w:pPr>
        <w:pStyle w:val="ListBullet"/>
        <w:spacing w:after="60"/>
        <w:jc w:val="both"/>
      </w:pPr>
      <w:r>
        <w:rPr>
          <w:b/>
          <w:sz w:val="21"/>
        </w:rPr>
        <w:t xml:space="preserve">T3 — Password reset OTP: </w:t>
      </w:r>
      <w:r>
        <w:rPr>
          <w:sz w:val="21"/>
        </w:rPr>
        <w:t>Journey 3.</w:t>
      </w:r>
    </w:p>
    <w:p>
      <w:pPr>
        <w:pStyle w:val="ListBullet"/>
        <w:spacing w:after="60"/>
        <w:jc w:val="both"/>
      </w:pPr>
      <w:r>
        <w:rPr>
          <w:b/>
          <w:sz w:val="21"/>
        </w:rPr>
        <w:t xml:space="preserve">T4 — Mobile number changed — security alert: </w:t>
      </w:r>
      <w:r>
        <w:rPr>
          <w:sz w:val="21"/>
        </w:rPr>
        <w:t>Journey 5. Not a one-time code — a security notice to the number that was replaced.</w:t>
      </w:r>
    </w:p>
    <w:p>
      <w:pPr>
        <w:pStyle w:val="Heading2"/>
        <w:keepNext/>
        <w:spacing w:before="280" w:after="120"/>
      </w:pPr>
      <w:r>
        <w:rPr>
          <w:rFonts w:ascii="Calibri" w:hAnsi="Calibri"/>
          <w:color w:val="111111"/>
        </w:rPr>
        <w:t>3.1  The exact wording, one per line</w:t>
      </w:r>
    </w:p>
    <w:p>
      <w:pPr>
        <w:spacing w:after="140"/>
        <w:jc w:val="both"/>
      </w:pPr>
      <w:r>
        <w:rPr>
          <w:b w:val="0"/>
          <w:color w:val="555555"/>
          <w:sz w:val="21"/>
        </w:rPr>
        <w:t>Reproduced separately so the text can be copied into the DLT portal without the table formatting coming with it. Punctuation and spacing matter: the carrier matches the registered text character for character apart from the variables.</w:t>
      </w:r>
    </w:p>
    <w:p>
      <w:pPr>
        <w:keepNext/>
        <w:spacing w:before="180" w:after="40"/>
      </w:pPr>
      <w:r>
        <w:rPr>
          <w:b/>
          <w:sz w:val="20"/>
        </w:rPr>
        <w:t>T1 · Sign-in OTP · 2 variable(s)</w:t>
      </w:r>
    </w:p>
    <w:p>
      <w:pPr>
        <w:spacing w:before="60" w:after="160"/>
        <w:ind w:left="259"/>
        <w:shd w:val="clear" w:fill="F4F4F4"/>
      </w:pPr>
      <w:r>
        <w:rPr>
          <w:rFonts w:ascii="Consolas" w:hAnsi="Consolas"/>
          <w:color w:val="111111"/>
          <w:sz w:val="19"/>
        </w:rPr>
        <w:t>{#var#} is your IFQM sign-in code. It expires in {#var#} minute(s). Do not share it with anyone.</w:t>
      </w:r>
    </w:p>
    <w:p>
      <w:pPr>
        <w:keepNext/>
        <w:spacing w:before="180" w:after="40"/>
      </w:pPr>
      <w:r>
        <w:rPr>
          <w:b/>
          <w:sz w:val="20"/>
        </w:rPr>
        <w:t>T2 · Registration / activation OTP · 2 variable(s)</w:t>
      </w:r>
    </w:p>
    <w:p>
      <w:pPr>
        <w:spacing w:before="60" w:after="160"/>
        <w:ind w:left="259"/>
        <w:shd w:val="clear" w:fill="F4F4F4"/>
      </w:pPr>
      <w:r>
        <w:rPr>
          <w:rFonts w:ascii="Consolas" w:hAnsi="Consolas"/>
          <w:color w:val="111111"/>
          <w:sz w:val="19"/>
        </w:rPr>
        <w:t>{#var#} is your IFQM verification code. It expires in {#var#} minute(s). Do not share it with anyone.</w:t>
      </w:r>
    </w:p>
    <w:p>
      <w:pPr>
        <w:keepNext/>
        <w:spacing w:before="180" w:after="40"/>
      </w:pPr>
      <w:r>
        <w:rPr>
          <w:b/>
          <w:sz w:val="20"/>
        </w:rPr>
        <w:t>T3 · Password reset OTP · 2 variable(s)</w:t>
      </w:r>
    </w:p>
    <w:p>
      <w:pPr>
        <w:spacing w:before="60" w:after="160"/>
        <w:ind w:left="259"/>
        <w:shd w:val="clear" w:fill="F4F4F4"/>
      </w:pPr>
      <w:r>
        <w:rPr>
          <w:rFonts w:ascii="Consolas" w:hAnsi="Consolas"/>
          <w:color w:val="111111"/>
          <w:sz w:val="19"/>
        </w:rPr>
        <w:t>{#var#} is your IFQM password reset code. It expires in {#var#} minute(s). Do not share it with anyone.</w:t>
      </w:r>
    </w:p>
    <w:p>
      <w:pPr>
        <w:keepNext/>
        <w:spacing w:before="180" w:after="40"/>
      </w:pPr>
      <w:r>
        <w:rPr>
          <w:b/>
          <w:sz w:val="20"/>
        </w:rPr>
        <w:t>T4 · Mobile number changed — security alert · 1 variable(s)</w:t>
      </w:r>
    </w:p>
    <w:p>
      <w:pPr>
        <w:spacing w:before="60" w:after="160"/>
        <w:ind w:left="259"/>
        <w:shd w:val="clear" w:fill="F4F4F4"/>
      </w:pPr>
      <w:r>
        <w:rPr>
          <w:rFonts w:ascii="Consolas" w:hAnsi="Consolas"/>
          <w:color w:val="111111"/>
          <w:sz w:val="19"/>
        </w:rPr>
        <w:t>Your IFQM sign-in number was changed to one ending {#var#}. If this was not you, contact your administrator.</w:t>
      </w:r>
    </w:p>
    <w:p>
      <w:pPr>
        <w:pStyle w:val="Heading2"/>
        <w:keepNext/>
        <w:spacing w:before="240" w:after="120"/>
      </w:pPr>
      <w:r>
        <w:rPr>
          <w:rFonts w:ascii="Calibri" w:hAnsi="Calibri"/>
          <w:color w:val="111111"/>
        </w:rPr>
        <w:t>3.2  A note on the category</w:t>
      </w:r>
    </w:p>
    <w:p>
      <w:pPr>
        <w:spacing w:after="140"/>
        <w:jc w:val="both"/>
      </w:pPr>
      <w:r>
        <w:rPr>
          <w:b w:val="0"/>
          <w:color w:val="111111"/>
          <w:sz w:val="21"/>
        </w:rPr>
        <w:t>All four are proposed as Service Implicit: they are sent only in response to something the recipient has just done on the platform — asking to sign in, asking for a code, changing their own number — and none of them is promotional. If the operator's portal classifies authentication codes under a separate OTP or Transactional heading, T1 to T3 should follow that classification and T4 should remain Service Implicit, since it carries no code. This is worth confirming with the operator before submitting, as the available categories differ between DLT portals.</w:t>
      </w:r>
    </w:p>
    <w:p>
      <w:pPr>
        <w:pStyle w:val="Heading1"/>
        <w:keepNext/>
        <w:spacing w:before="320" w:after="120"/>
      </w:pPr>
      <w:r>
        <w:rPr>
          <w:rFonts w:ascii="Calibri" w:hAnsi="Calibri"/>
          <w:color w:val="111111"/>
        </w:rPr>
        <w:t>4.  Registrations we already hold</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2232"/>
            <w:shd w:val="clear" w:fill="E8E8E8"/>
          </w:tcPr>
          <w:p>
            <w:pPr>
              <w:spacing w:after="40"/>
            </w:pPr>
            <w:r/>
            <w:r>
              <w:rPr>
                <w:b/>
                <w:sz w:val="18"/>
              </w:rPr>
              <w:t>Template ID</w:t>
            </w:r>
          </w:p>
        </w:tc>
        <w:tc>
          <w:tcPr>
            <w:tcW w:type="dxa" w:w="1656"/>
            <w:shd w:val="clear" w:fill="E8E8E8"/>
          </w:tcPr>
          <w:p>
            <w:pPr>
              <w:spacing w:after="40"/>
            </w:pPr>
            <w:r/>
            <w:r>
              <w:rPr>
                <w:b/>
                <w:sz w:val="18"/>
              </w:rPr>
              <w:t>Named as</w:t>
            </w:r>
          </w:p>
        </w:tc>
        <w:tc>
          <w:tcPr>
            <w:tcW w:type="dxa" w:w="1944"/>
            <w:shd w:val="clear" w:fill="E8E8E8"/>
          </w:tcPr>
          <w:p>
            <w:pPr>
              <w:spacing w:after="40"/>
            </w:pPr>
            <w:r/>
            <w:r>
              <w:rPr>
                <w:b/>
                <w:sz w:val="18"/>
              </w:rPr>
              <w:t>Approved wording known?</w:t>
            </w:r>
          </w:p>
        </w:tc>
        <w:tc>
          <w:tcPr>
            <w:tcW w:type="dxa" w:w="3888"/>
            <w:shd w:val="clear" w:fill="E8E8E8"/>
          </w:tcPr>
          <w:p>
            <w:pPr>
              <w:spacing w:after="40"/>
            </w:pPr>
            <w:r/>
            <w:r>
              <w:rPr>
                <w:b/>
                <w:sz w:val="18"/>
              </w:rPr>
              <w:t>Status</w:t>
            </w:r>
          </w:p>
        </w:tc>
      </w:tr>
      <w:tr>
        <w:tc>
          <w:tcPr>
            <w:tcW w:type="dxa" w:w="2232"/>
          </w:tcPr>
          <w:p>
            <w:pPr>
              <w:spacing w:after="40"/>
            </w:pPr>
            <w:r/>
            <w:r>
              <w:rPr>
                <w:rFonts w:ascii="Consolas" w:hAnsi="Consolas"/>
                <w:sz w:val="17"/>
              </w:rPr>
              <w:t>1277178671564743852</w:t>
            </w:r>
          </w:p>
        </w:tc>
        <w:tc>
          <w:tcPr>
            <w:tcW w:type="dxa" w:w="1656"/>
          </w:tcPr>
          <w:p>
            <w:pPr>
              <w:spacing w:after="40"/>
            </w:pPr>
            <w:r/>
            <w:r>
              <w:rPr>
                <w:sz w:val="18"/>
              </w:rPr>
              <w:t>Registration OTP</w:t>
            </w:r>
          </w:p>
        </w:tc>
        <w:tc>
          <w:tcPr>
            <w:tcW w:type="dxa" w:w="1944"/>
          </w:tcPr>
          <w:p>
            <w:pPr>
              <w:spacing w:after="40"/>
            </w:pPr>
            <w:r/>
            <w:r>
              <w:rPr>
                <w:sz w:val="18"/>
              </w:rPr>
              <w:t>Yes</w:t>
            </w:r>
          </w:p>
        </w:tc>
        <w:tc>
          <w:tcPr>
            <w:tcW w:type="dxa" w:w="3888"/>
          </w:tcPr>
          <w:p>
            <w:pPr>
              <w:spacing w:after="40"/>
            </w:pPr>
            <w:r/>
            <w:r>
              <w:rPr>
                <w:sz w:val="18"/>
              </w:rPr>
              <w:t>Registered and in use</w:t>
            </w:r>
          </w:p>
        </w:tc>
      </w:tr>
      <w:tr>
        <w:tc>
          <w:tcPr>
            <w:tcW w:type="dxa" w:w="2232"/>
          </w:tcPr>
          <w:p>
            <w:pPr>
              <w:spacing w:after="40"/>
            </w:pPr>
            <w:r/>
            <w:r>
              <w:rPr>
                <w:rFonts w:ascii="Consolas" w:hAnsi="Consolas"/>
                <w:sz w:val="17"/>
              </w:rPr>
              <w:t>1277178730169418603</w:t>
            </w:r>
          </w:p>
        </w:tc>
        <w:tc>
          <w:tcPr>
            <w:tcW w:type="dxa" w:w="1656"/>
          </w:tcPr>
          <w:p>
            <w:pPr>
              <w:spacing w:after="40"/>
            </w:pPr>
            <w:r/>
            <w:r>
              <w:rPr>
                <w:sz w:val="18"/>
              </w:rPr>
              <w:t>Sign-in OTP</w:t>
            </w:r>
          </w:p>
        </w:tc>
        <w:tc>
          <w:tcPr>
            <w:tcW w:type="dxa" w:w="1944"/>
          </w:tcPr>
          <w:p>
            <w:pPr>
              <w:spacing w:after="40"/>
            </w:pPr>
            <w:r/>
            <w:r>
              <w:rPr>
                <w:sz w:val="18"/>
              </w:rPr>
              <w:t>Yes</w:t>
            </w:r>
          </w:p>
        </w:tc>
        <w:tc>
          <w:tcPr>
            <w:tcW w:type="dxa" w:w="3888"/>
          </w:tcPr>
          <w:p>
            <w:pPr>
              <w:spacing w:after="40"/>
            </w:pPr>
            <w:r/>
            <w:r>
              <w:rPr>
                <w:sz w:val="18"/>
              </w:rPr>
              <w:t>Registered and in use</w:t>
            </w:r>
          </w:p>
        </w:tc>
      </w:tr>
      <w:tr>
        <w:tc>
          <w:tcPr>
            <w:tcW w:type="dxa" w:w="2232"/>
          </w:tcPr>
          <w:p>
            <w:pPr>
              <w:spacing w:after="40"/>
            </w:pPr>
            <w:r/>
            <w:r>
              <w:rPr>
                <w:rFonts w:ascii="Consolas" w:hAnsi="Consolas"/>
                <w:sz w:val="17"/>
              </w:rPr>
              <w:t>1277178730612100625</w:t>
            </w:r>
          </w:p>
        </w:tc>
        <w:tc>
          <w:tcPr>
            <w:tcW w:type="dxa" w:w="1656"/>
          </w:tcPr>
          <w:p>
            <w:pPr>
              <w:spacing w:after="40"/>
            </w:pPr>
            <w:r/>
            <w:r>
              <w:rPr>
                <w:sz w:val="18"/>
              </w:rPr>
              <w:t>Password Reset OTP</w:t>
            </w:r>
          </w:p>
        </w:tc>
        <w:tc>
          <w:tcPr>
            <w:tcW w:type="dxa" w:w="1944"/>
          </w:tcPr>
          <w:p>
            <w:pPr>
              <w:spacing w:after="40"/>
            </w:pPr>
            <w:r/>
            <w:r>
              <w:rPr>
                <w:sz w:val="18"/>
              </w:rPr>
              <w:t>Yes</w:t>
            </w:r>
          </w:p>
        </w:tc>
        <w:tc>
          <w:tcPr>
            <w:tcW w:type="dxa" w:w="3888"/>
          </w:tcPr>
          <w:p>
            <w:pPr>
              <w:spacing w:after="40"/>
            </w:pPr>
            <w:r/>
            <w:r>
              <w:rPr>
                <w:sz w:val="18"/>
              </w:rPr>
              <w:t>Registered and in use</w:t>
            </w:r>
          </w:p>
        </w:tc>
      </w:tr>
      <w:tr>
        <w:tc>
          <w:tcPr>
            <w:tcW w:type="dxa" w:w="2232"/>
          </w:tcPr>
          <w:p>
            <w:pPr>
              <w:spacing w:after="40"/>
            </w:pPr>
            <w:r/>
            <w:r>
              <w:rPr>
                <w:rFonts w:ascii="Consolas" w:hAnsi="Consolas"/>
                <w:sz w:val="17"/>
              </w:rPr>
              <w:t>—</w:t>
            </w:r>
          </w:p>
        </w:tc>
        <w:tc>
          <w:tcPr>
            <w:tcW w:type="dxa" w:w="1656"/>
          </w:tcPr>
          <w:p>
            <w:pPr>
              <w:spacing w:after="40"/>
            </w:pPr>
            <w:r/>
            <w:r>
              <w:rPr>
                <w:sz w:val="18"/>
              </w:rPr>
              <w:t>Mobile Number Changed — Security Alert</w:t>
            </w:r>
          </w:p>
        </w:tc>
        <w:tc>
          <w:tcPr>
            <w:tcW w:type="dxa" w:w="1944"/>
          </w:tcPr>
          <w:p>
            <w:pPr>
              <w:spacing w:after="40"/>
            </w:pPr>
            <w:r/>
            <w:r>
              <w:rPr>
                <w:sz w:val="18"/>
              </w:rPr>
              <w:t>Yes (submitted)</w:t>
            </w:r>
          </w:p>
        </w:tc>
        <w:tc>
          <w:tcPr>
            <w:tcW w:type="dxa" w:w="3888"/>
          </w:tcPr>
          <w:p>
            <w:pPr>
              <w:spacing w:after="40"/>
            </w:pPr>
            <w:r/>
            <w:r>
              <w:rPr>
                <w:sz w:val="18"/>
              </w:rPr>
              <w:t>Classified Service Implicit rather than Transactional. Awaiting re-submission for Transactional approval.</w:t>
            </w:r>
          </w:p>
        </w:tc>
      </w:tr>
    </w:tbl>
    <w:p/>
    <w:p>
      <w:pPr>
        <w:spacing w:after="140"/>
        <w:jc w:val="both"/>
      </w:pPr>
      <w:r>
        <w:rPr>
          <w:b w:val="0"/>
          <w:color w:val="111111"/>
          <w:sz w:val="21"/>
        </w:rPr>
        <w:t>The two unusable registrations are not a problem with the registrations themselves. They exist and are valid; what is missing is the approved text that was registered against them. Because the carrier checks the ID and the text as a pair, we cannot send anything under an ID whose registered wording we cannot reproduce exactly.</w:t>
      </w:r>
    </w:p>
    <w:p>
      <w:pPr>
        <w:spacing w:after="140"/>
        <w:jc w:val="both"/>
      </w:pPr>
      <w:r>
        <w:rPr>
          <w:b/>
          <w:color w:val="111111"/>
          <w:sz w:val="21"/>
        </w:rPr>
        <w:t>There are therefore two ways to close this, and either is acceptable:</w:t>
      </w:r>
    </w:p>
    <w:p>
      <w:pPr>
        <w:pStyle w:val="ListBullet"/>
        <w:spacing w:after="60"/>
        <w:jc w:val="both"/>
      </w:pPr>
      <w:r>
        <w:rPr>
          <w:b/>
          <w:sz w:val="21"/>
        </w:rPr>
        <w:t xml:space="preserve">Option A — recover the wording: </w:t>
      </w:r>
      <w:r>
        <w:rPr>
          <w:sz w:val="21"/>
        </w:rPr>
        <w:t>Ask the operator for the approved wording already registered against 1207177450582613311 and 1207177450911544422. If it is suitable, we adopt it as-is and only T2 and T4 need to be newly registered.</w:t>
      </w:r>
    </w:p>
    <w:p>
      <w:pPr>
        <w:pStyle w:val="ListBullet"/>
        <w:spacing w:after="60"/>
        <w:jc w:val="both"/>
      </w:pPr>
      <w:r>
        <w:rPr>
          <w:b/>
          <w:sz w:val="21"/>
        </w:rPr>
        <w:t xml:space="preserve">Option B — register afresh: </w:t>
      </w:r>
      <w:r>
        <w:rPr>
          <w:sz w:val="21"/>
        </w:rPr>
        <w:t>Register all four templates in section 3 with the wording given there, and retire the two older IDs. This is the cleaner outcome: the wording then matches what each journey actually does, in language the recipient can act on.</w:t>
      </w:r>
    </w:p>
    <w:p>
      <w:pPr>
        <w:pStyle w:val="Heading1"/>
        <w:keepNext/>
        <w:spacing w:before="320" w:after="120"/>
      </w:pPr>
      <w:r>
        <w:rPr>
          <w:rFonts w:ascii="Calibri" w:hAnsi="Calibri"/>
          <w:color w:val="111111"/>
        </w:rPr>
        <w:t>5.  What changes on our side once the templates are approved</w:t>
      </w:r>
    </w:p>
    <w:p>
      <w:pPr>
        <w:spacing w:after="140"/>
        <w:jc w:val="both"/>
      </w:pPr>
      <w:r>
        <w:rPr>
          <w:b w:val="0"/>
          <w:color w:val="111111"/>
          <w:sz w:val="21"/>
        </w:rPr>
        <w:t>T1 to T3 need no change to the application at all. The template IDs and their wording are configuration, held in the deployment environment and read at start-up:</w:t>
      </w:r>
    </w:p>
    <w:tbl>
      <w:tblPr>
        <w:tblStyle w:val="TableGrid"/>
        <w:tblW w:type="auto" w:w="0"/>
        <w:jc w:val="center"/>
        <w:tblLayout w:type="fixed"/>
        <w:tblLook w:firstColumn="1" w:firstRow="1" w:lastColumn="0" w:lastRow="0" w:noHBand="0" w:noVBand="1" w:val="04A0"/>
      </w:tblPr>
      <w:tblGrid>
        <w:gridCol w:w="4896"/>
        <w:gridCol w:w="4896"/>
      </w:tblGrid>
      <w:tr>
        <w:tc>
          <w:tcPr>
            <w:tcW w:type="dxa" w:w="4320"/>
            <w:shd w:val="clear" w:fill="E8E8E8"/>
          </w:tcPr>
          <w:p>
            <w:pPr>
              <w:spacing w:after="40"/>
            </w:pPr>
            <w:r/>
            <w:r>
              <w:rPr>
                <w:b/>
                <w:sz w:val="18"/>
              </w:rPr>
              <w:t>Setting</w:t>
            </w:r>
          </w:p>
        </w:tc>
        <w:tc>
          <w:tcPr>
            <w:tcW w:type="dxa" w:w="5184"/>
            <w:shd w:val="clear" w:fill="E8E8E8"/>
          </w:tcPr>
          <w:p>
            <w:pPr>
              <w:spacing w:after="40"/>
            </w:pPr>
            <w:r/>
            <w:r>
              <w:rPr>
                <w:b/>
                <w:sz w:val="18"/>
              </w:rPr>
              <w:t>Receives</w:t>
            </w:r>
          </w:p>
        </w:tc>
      </w:tr>
      <w:tr>
        <w:tc>
          <w:tcPr>
            <w:tcW w:type="dxa" w:w="4320"/>
          </w:tcPr>
          <w:p>
            <w:pPr>
              <w:spacing w:after="40"/>
            </w:pPr>
            <w:r/>
            <w:r>
              <w:rPr>
                <w:rFonts w:ascii="Consolas" w:hAnsi="Consolas"/>
                <w:sz w:val="17"/>
              </w:rPr>
              <w:t>SMS_TEMPLATE_LOGIN / SMS_TEXT_LOGIN</w:t>
            </w:r>
          </w:p>
        </w:tc>
        <w:tc>
          <w:tcPr>
            <w:tcW w:type="dxa" w:w="5184"/>
          </w:tcPr>
          <w:p>
            <w:pPr>
              <w:spacing w:after="40"/>
            </w:pPr>
            <w:r/>
            <w:r>
              <w:rPr>
                <w:sz w:val="18"/>
              </w:rPr>
              <w:t>T1 — ID and text</w:t>
            </w:r>
          </w:p>
        </w:tc>
      </w:tr>
      <w:tr>
        <w:tc>
          <w:tcPr>
            <w:tcW w:type="dxa" w:w="4320"/>
          </w:tcPr>
          <w:p>
            <w:pPr>
              <w:spacing w:after="40"/>
            </w:pPr>
            <w:r/>
            <w:r>
              <w:rPr>
                <w:rFonts w:ascii="Consolas" w:hAnsi="Consolas"/>
                <w:sz w:val="17"/>
              </w:rPr>
              <w:t>SMS_TEMPLATE_ACTIVATION / SMS_TEXT_ACTIVATION</w:t>
            </w:r>
          </w:p>
        </w:tc>
        <w:tc>
          <w:tcPr>
            <w:tcW w:type="dxa" w:w="5184"/>
          </w:tcPr>
          <w:p>
            <w:pPr>
              <w:spacing w:after="40"/>
            </w:pPr>
            <w:r/>
            <w:r>
              <w:rPr>
                <w:sz w:val="18"/>
              </w:rPr>
              <w:t>T2 — ID and text</w:t>
            </w:r>
          </w:p>
        </w:tc>
      </w:tr>
      <w:tr>
        <w:tc>
          <w:tcPr>
            <w:tcW w:type="dxa" w:w="4320"/>
          </w:tcPr>
          <w:p>
            <w:pPr>
              <w:spacing w:after="40"/>
            </w:pPr>
            <w:r/>
            <w:r>
              <w:rPr>
                <w:rFonts w:ascii="Consolas" w:hAnsi="Consolas"/>
                <w:sz w:val="17"/>
              </w:rPr>
              <w:t>SMS_TEMPLATE_RESET / SMS_TEXT_RESET</w:t>
            </w:r>
          </w:p>
        </w:tc>
        <w:tc>
          <w:tcPr>
            <w:tcW w:type="dxa" w:w="5184"/>
          </w:tcPr>
          <w:p>
            <w:pPr>
              <w:spacing w:after="40"/>
            </w:pPr>
            <w:r/>
            <w:r>
              <w:rPr>
                <w:sz w:val="18"/>
              </w:rPr>
              <w:t>T3 — ID and text</w:t>
            </w:r>
          </w:p>
        </w:tc>
      </w:tr>
      <w:tr>
        <w:tc>
          <w:tcPr>
            <w:tcW w:type="dxa" w:w="4320"/>
          </w:tcPr>
          <w:p>
            <w:pPr>
              <w:spacing w:after="40"/>
            </w:pPr>
            <w:r/>
            <w:r>
              <w:rPr>
                <w:rFonts w:ascii="Consolas" w:hAnsi="Consolas"/>
                <w:sz w:val="17"/>
              </w:rPr>
              <w:t>(new) the number-change alert</w:t>
            </w:r>
          </w:p>
        </w:tc>
        <w:tc>
          <w:tcPr>
            <w:tcW w:type="dxa" w:w="5184"/>
          </w:tcPr>
          <w:p>
            <w:pPr>
              <w:spacing w:after="40"/>
            </w:pPr>
            <w:r/>
            <w:r>
              <w:rPr>
                <w:sz w:val="18"/>
              </w:rPr>
              <w:t>T4 — ID and text</w:t>
            </w:r>
          </w:p>
        </w:tc>
      </w:tr>
    </w:tbl>
    <w:p/>
    <w:p>
      <w:pPr>
        <w:spacing w:after="140"/>
        <w:jc w:val="both"/>
      </w:pPr>
      <w:r>
        <w:rPr>
          <w:b w:val="0"/>
          <w:color w:val="555555"/>
          <w:sz w:val="21"/>
        </w:rPr>
        <w:t>Each pair must be updated together — the ID and the text that was approved for it — because they are checked against each other. Updating one without the other produces messages that the gateway accepts and the carrier silently drops, which is the failure mode hardest to notice: nothing appears wrong at either end, and only the recipient knows the code never came.</w:t>
      </w:r>
    </w:p>
    <w:p>
      <w:pPr>
        <w:spacing w:after="140"/>
        <w:jc w:val="both"/>
      </w:pPr>
      <w:r>
        <w:rPr>
          <w:b w:val="0"/>
          <w:color w:val="111111"/>
          <w:sz w:val="21"/>
        </w:rPr>
        <w:t>T4 is the one exception, and it is a small one. The number-change alert is currently sent under the phone-verification purpose, so once T4 exists it needs a purpose of its own — a single new setting and the one line that names it. That is a change we make here, not something the operator needs to know about; it is recorded so the work is not forgotten when the approvals come back.</w:t>
      </w:r>
    </w:p>
    <w:p>
      <w:pPr>
        <w:spacing w:after="140"/>
        <w:jc w:val="both"/>
      </w:pPr>
      <w:r>
        <w:rPr>
          <w:b w:val="0"/>
          <w:color w:val="111111"/>
          <w:sz w:val="21"/>
        </w:rPr>
        <w:t>Once T1 to T3 are in place, the platform can come off the shared activation registration one purpose at a time, and each journey will describe itself correctly. T4 makes the number-change alert deliverable for the first time.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