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595959"/>
          <w:spacing w:val="80"/>
          <w:sz w:val="22"/>
          <w:szCs w:val="22"/>
        </w:rPr>
        <w:t xml:space="preserve">SIMPLE SUMMARY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IFSS Non-Profit Venture Plan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Setting up SAIF — Solidarity Agri-Intelligence Foundation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2E7D5B"/>
          <w:sz w:val="24"/>
          <w:szCs w:val="24"/>
        </w:rPr>
        <w:t xml:space="preserve">A plain-language overview of the recommended structure</w:t>
      </w:r>
    </w:p>
    <w:p>
      <w:pPr>
        <w:spacing w:before="40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IFSS · McGill · RCID · SEKU   ·   May 2026</w:t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The basic idea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Create a new non-profit called SAIF (Solidarity Agri-Intelligence Foundation) that sits above IFSS Inc.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IFSS Inc. becomes the "business arm" below it; SAIF becomes the "mission arm" above it.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This is the same shape used by Mozilla Foundation (non-profit) and Mozilla Corporation (its for-profit product company).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Why do it this way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Most big funders (Gates, Mastercard Foundation, Global Affairs Canada, IDRC, EU, Rockefeller) only give money to registered charities.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IFSS Inc. by itself cannot receive these grants.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 charity can issue Canadian donation receipts and access those funds; a normal non-profit or a hybrid "C3" cannot.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The charity must be the parent, not a subsidiary of IFSS — otherwise the Canada Revenue Agency (CRA) will refuse or revoke charity status.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What SAIF will do (the charity, on top)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Hold the GIAH brand, code, data, and tools.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Raise grants and manage donor relationships.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Run the programs — training, BDS, cooperatives, policy work.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Own the rules: data privacy, AI ethics, gender/disability inclusion (GEDSI), conflict sensitivity, safeguarding (PSEAH).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Own the measurement — MEAL, impact reports, external evaluations.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Register as a foreign NGO in Rwanda and Kenya.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What IFSS Inc. will do (the business arm, below)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Sell the paid/enterprise version of GIAH tools to big buyers (exporters, banks, governments).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Do consulting and implementation work for hire.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Take impact-investor money (charities can’t).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Handle commercial contracts with input suppliers, telcos, insurers.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Pay a royalty back to SAIF from its revenue.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How they stay separate and legal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Grant money cannot subsidise commercial work — each entity keeps its own accounts, staff, and bank accounts.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Formal contracts between the two: asset transfer, IP licence, services agreement, trademark licence.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Majority independent board at SAIF (only up to 2 IFSS-linked directors allowed).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All fundraising happens in SAIF’s name only.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Governance setup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SAIF board of 7–9 directors: Chair, Vice-Chair, Treasurer, Secretary, 1 IFSS seat, McGill seat, Rwanda seat, Kenya seat, at-large.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Five committees: Audit &amp; Risk, Programs &amp; Impact, Data/AI/Ethics, GEDSI &amp; Safeguarding, Nominating.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Starting executive team (~4 roles): Executive Director, Director of Programs, Director of MEAL, Head of Data/AI/Ethics.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Main benefits for IFSS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Unlocks grant funding IFSS cannot currently reach.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Keeps IFSS Inc. free to do commercial work and take investment.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Protects the GIAH tools — even if IFSS is ever sold, the tools stay with the charity.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Donor-level governance built in from day one — exactly what the GIAH gap analysis flagged as missing.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Easier to attract senior talent with a clear social mission.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Smoother foreign-NGO registration in Rwanda and Kenya.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Tax-exempt on mission revenue, plus donors get receipts.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Timeline (9 months)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 1</w:t>
      </w:r>
      <w:r>
        <w:rPr>
          <w:rFonts w:ascii="Calibri" w:cs="Calibri" w:eastAsia="Calibri" w:hAnsi="Calibri"/>
          <w:sz w:val="22"/>
          <w:szCs w:val="22"/>
        </w:rPr>
        <w:t xml:space="preserve"> — agree name, reserve trademarks, hire charity lawyer.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 2</w:t>
      </w:r>
      <w:r>
        <w:rPr>
          <w:rFonts w:ascii="Calibri" w:cs="Calibri" w:eastAsia="Calibri" w:hAnsi="Calibri"/>
          <w:sz w:val="22"/>
          <w:szCs w:val="22"/>
        </w:rPr>
        <w:t xml:space="preserve"> — incorporate federally, seat initial board.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 3</w:t>
      </w:r>
      <w:r>
        <w:rPr>
          <w:rFonts w:ascii="Calibri" w:cs="Calibri" w:eastAsia="Calibri" w:hAnsi="Calibri"/>
          <w:sz w:val="22"/>
          <w:szCs w:val="22"/>
        </w:rPr>
        <w:t xml:space="preserve"> — file CRA charity application; open bank account.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 4</w:t>
      </w:r>
      <w:r>
        <w:rPr>
          <w:rFonts w:ascii="Calibri" w:cs="Calibri" w:eastAsia="Calibri" w:hAnsi="Calibri"/>
          <w:sz w:val="22"/>
          <w:szCs w:val="22"/>
        </w:rPr>
        <w:t xml:space="preserve"> — sign asset-transfer, IP, and services agreements with IFSS Inc.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 5</w:t>
      </w:r>
      <w:r>
        <w:rPr>
          <w:rFonts w:ascii="Calibri" w:cs="Calibri" w:eastAsia="Calibri" w:hAnsi="Calibri"/>
          <w:sz w:val="22"/>
          <w:szCs w:val="22"/>
        </w:rPr>
        <w:t xml:space="preserve"> — start Rwanda and Kenya registration; hire first 4 executives.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 6</w:t>
      </w:r>
      <w:r>
        <w:rPr>
          <w:rFonts w:ascii="Calibri" w:cs="Calibri" w:eastAsia="Calibri" w:hAnsi="Calibri"/>
          <w:sz w:val="22"/>
          <w:szCs w:val="22"/>
        </w:rPr>
        <w:t xml:space="preserve"> — CRA approval (typical 3–6 months); committees stand up.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 7</w:t>
      </w:r>
      <w:r>
        <w:rPr>
          <w:rFonts w:ascii="Calibri" w:cs="Calibri" w:eastAsia="Calibri" w:hAnsi="Calibri"/>
          <w:sz w:val="22"/>
          <w:szCs w:val="22"/>
        </w:rPr>
        <w:t xml:space="preserve"> — public launch and first big grant application (GAC or IDRC).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 9</w:t>
      </w:r>
      <w:r>
        <w:rPr>
          <w:rFonts w:ascii="Calibri" w:cs="Calibri" w:eastAsia="Calibri" w:hAnsi="Calibri"/>
          <w:sz w:val="22"/>
          <w:szCs w:val="22"/>
        </w:rPr>
        <w:t xml:space="preserve"> — first country office live in Rwanda; second grant proposal out.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Set-up cost (year 1, before programs)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Roughly CAD 465,000–686,000 — covers lawyer, incorporation, trademarks, foreign NGO registration, audit, insurance, website, first 4 hires.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alibri" w:cs="Calibri" w:eastAsia="Calibri" w:hAnsi="Calibri"/>
          <w:sz w:val="22"/>
          <w:szCs w:val="22"/>
        </w:rPr>
        <w:t xml:space="preserve">Can be funded by a GAC or Mastercard Foundation institutional-strengthening grant, or carved out of the first GIAH grant (8–12%).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Bottom line in one sentence</w:t>
      </w:r>
    </w:p>
    <w:p>
      <w:pPr>
        <w:spacing w:after="8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SAIF is the mission-owning parent that holds the tools and gets the grants; IFSS Inc. is the commercial arm below it that sells services and keeps the lights on — together they do what neither could do alone.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b/>
        <w:bCs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IFSS Non-Profit Plan — Simple Summary   · 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2026-05-07T21:03:54.858Z</dcterms:created>
  <dcterms:modified xsi:type="dcterms:W3CDTF">2026-05-07T21:03:54.859Z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