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595959"/>
          <w:spacing w:val="80"/>
          <w:sz w:val="22"/>
          <w:szCs w:val="22"/>
        </w:rPr>
        <w:t xml:space="preserve">IMPACT PAGE CONTENT</w:t>
      </w:r>
    </w:p>
    <w:p>
      <w:pPr>
        <w:spacing w:after="200" w:before="100"/>
        <w:jc w:val="center"/>
      </w:pPr>
      <w:r>
        <w:rPr>
          <w:rFonts w:ascii="Calibri" w:cs="Calibri" w:eastAsia="Calibri" w:hAnsi="Calibri"/>
          <w:b/>
          <w:bCs/>
          <w:color w:val="1F4E79"/>
          <w:sz w:val="44"/>
          <w:szCs w:val="44"/>
        </w:rPr>
        <w:t xml:space="preserve">ifssgoal.org — Impact</w:t>
      </w:r>
    </w:p>
    <w:p>
      <w:pPr>
        <w:spacing w:after="200" w:before="0"/>
        <w:jc w:val="center"/>
      </w:pPr>
      <w:r>
        <w:rPr>
          <w:rFonts w:ascii="Calibri" w:cs="Calibri" w:eastAsia="Calibri" w:hAnsi="Calibri"/>
          <w:b/>
          <w:bCs/>
          <w:color w:val="1F4E79"/>
          <w:sz w:val="26"/>
          <w:szCs w:val="26"/>
        </w:rPr>
        <w:t xml:space="preserve">SAICE · IFSS Inc.</w:t>
      </w:r>
    </w:p>
    <w:p>
      <w:pPr>
        <w:spacing w:after="200" w:before="0"/>
        <w:jc w:val="center"/>
      </w:pPr>
      <w:r>
        <w:rPr>
          <w:rFonts w:ascii="Calibri" w:cs="Calibri" w:eastAsia="Calibri" w:hAnsi="Calibri"/>
          <w:i/>
          <w:iCs/>
          <w:color w:val="2E7D5B"/>
          <w:sz w:val="24"/>
          <w:szCs w:val="24"/>
        </w:rPr>
        <w:t xml:space="preserve">Ready-to-set copy for the new Impact hub</w:t>
      </w:r>
    </w:p>
    <w:p>
      <w:pPr>
        <w:spacing w:before="4200"/>
        <w:jc w:val="center"/>
      </w:pPr>
      <w:r>
        <w:rPr>
          <w:rFonts w:ascii="Calibri" w:cs="Calibri" w:eastAsia="Calibri" w:hAnsi="Calibri"/>
          <w:color w:val="595959"/>
          <w:sz w:val="20"/>
          <w:szCs w:val="20"/>
        </w:rPr>
        <w:t xml:space="preserve">SAICE · IFSS Inc.   ·   May 2026</w:t>
      </w:r>
    </w:p>
    <w:p>
      <w:r>
        <w:br w:type="page"/>
      </w:r>
    </w:p>
    <w:p>
      <w:pPr>
        <w:spacing w:after="140" w:before="360"/>
      </w:pPr>
      <w:r>
        <w:rPr>
          <w:rFonts w:ascii="Calibri" w:cs="Calibri" w:eastAsia="Calibri" w:hAnsi="Calibri"/>
          <w:b/>
          <w:bCs/>
          <w:color w:val="1F4E79"/>
          <w:sz w:val="30"/>
          <w:szCs w:val="30"/>
        </w:rPr>
        <w:t xml:space="preserve">1. Page metadata</w:t>
      </w:r>
    </w:p>
    <w:p>
      <w:pPr>
        <w:pStyle w:val="ListParagraph"/>
        <w:numPr>
          <w:ilvl w:val="0"/>
          <w:numId w:val="2"/>
        </w:numPr>
        <w:spacing w:after="60" w:before="40" w:line="290"/>
      </w:pPr>
      <w:r>
        <w:rPr>
          <w:rFonts w:ascii="Calibri" w:cs="Calibri" w:eastAsia="Calibri" w:hAnsi="Calibri"/>
          <w:b/>
          <w:bCs/>
          <w:sz w:val="22"/>
          <w:szCs w:val="22"/>
        </w:rPr>
        <w:t xml:space="preserve">URL</w:t>
      </w:r>
      <w:r>
        <w:rPr>
          <w:rFonts w:ascii="Calibri" w:cs="Calibri" w:eastAsia="Calibri" w:hAnsi="Calibri"/>
          <w:sz w:val="22"/>
          <w:szCs w:val="22"/>
        </w:rPr>
        <w:t xml:space="preserve"> — /impact  (redirect from any existing /our-work summary anchor)</w:t>
      </w:r>
    </w:p>
    <w:p>
      <w:pPr>
        <w:pStyle w:val="ListParagraph"/>
        <w:numPr>
          <w:ilvl w:val="0"/>
          <w:numId w:val="2"/>
        </w:numPr>
        <w:spacing w:after="60" w:before="40" w:line="290"/>
      </w:pPr>
      <w:r>
        <w:rPr>
          <w:rFonts w:ascii="Calibri" w:cs="Calibri" w:eastAsia="Calibri" w:hAnsi="Calibri"/>
          <w:b/>
          <w:bCs/>
          <w:sz w:val="22"/>
          <w:szCs w:val="22"/>
        </w:rPr>
        <w:t xml:space="preserve">Title tag</w:t>
      </w:r>
      <w:r>
        <w:rPr>
          <w:rFonts w:ascii="Calibri" w:cs="Calibri" w:eastAsia="Calibri" w:hAnsi="Calibri"/>
          <w:sz w:val="22"/>
          <w:szCs w:val="22"/>
        </w:rPr>
        <w:t xml:space="preserve"> — Impact — Indicators, Evaluations, Stories · SAICE &amp; IFSS</w:t>
      </w:r>
    </w:p>
    <w:p>
      <w:pPr>
        <w:pStyle w:val="ListParagraph"/>
        <w:numPr>
          <w:ilvl w:val="0"/>
          <w:numId w:val="2"/>
        </w:numPr>
        <w:spacing w:after="60" w:before="40" w:line="290"/>
      </w:pPr>
      <w:r>
        <w:rPr>
          <w:rFonts w:ascii="Calibri" w:cs="Calibri" w:eastAsia="Calibri" w:hAnsi="Calibri"/>
          <w:b/>
          <w:bCs/>
          <w:sz w:val="22"/>
          <w:szCs w:val="22"/>
        </w:rPr>
        <w:t xml:space="preserve">Meta description</w:t>
      </w:r>
      <w:r>
        <w:rPr>
          <w:rFonts w:ascii="Calibri" w:cs="Calibri" w:eastAsia="Calibri" w:hAnsi="Calibri"/>
          <w:sz w:val="22"/>
          <w:szCs w:val="22"/>
        </w:rPr>
        <w:t xml:space="preserve"> — Donor-grade transparency from SAICE and IFSS Inc. Live indicators across PAGES and ICES, annual reports, audited financials, independent evaluations, and stories from cooperatives, municipalities, and field teams in Rwanda, Kenya, Burundi, DRC, Togo and Canada.</w:t>
      </w:r>
    </w:p>
    <w:p>
      <w:pPr>
        <w:pStyle w:val="ListParagraph"/>
        <w:numPr>
          <w:ilvl w:val="0"/>
          <w:numId w:val="2"/>
        </w:numPr>
        <w:spacing w:after="60" w:before="40" w:line="290"/>
      </w:pPr>
      <w:r>
        <w:rPr>
          <w:rFonts w:ascii="Calibri" w:cs="Calibri" w:eastAsia="Calibri" w:hAnsi="Calibri"/>
          <w:b/>
          <w:bCs/>
          <w:sz w:val="22"/>
          <w:szCs w:val="22"/>
        </w:rPr>
        <w:t xml:space="preserve">OG image</w:t>
      </w:r>
      <w:r>
        <w:rPr>
          <w:rFonts w:ascii="Calibri" w:cs="Calibri" w:eastAsia="Calibri" w:hAnsi="Calibri"/>
          <w:sz w:val="22"/>
          <w:szCs w:val="22"/>
        </w:rPr>
        <w:t xml:space="preserve"> — single photograph — a Rwandan cooperative manager and an IFSS field officer reviewing a tablet dashboard outdoors. SAICE wordmark.</w:t>
      </w:r>
    </w:p>
    <w:p>
      <w:pPr>
        <w:pStyle w:val="ListParagraph"/>
        <w:numPr>
          <w:ilvl w:val="0"/>
          <w:numId w:val="2"/>
        </w:numPr>
        <w:spacing w:after="60" w:before="40" w:line="290"/>
      </w:pPr>
      <w:r>
        <w:rPr>
          <w:rFonts w:ascii="Calibri" w:cs="Calibri" w:eastAsia="Calibri" w:hAnsi="Calibri"/>
          <w:b/>
          <w:bCs/>
          <w:sz w:val="22"/>
          <w:szCs w:val="22"/>
        </w:rPr>
        <w:t xml:space="preserve">Canonical</w:t>
      </w:r>
      <w:r>
        <w:rPr>
          <w:rFonts w:ascii="Calibri" w:cs="Calibri" w:eastAsia="Calibri" w:hAnsi="Calibri"/>
          <w:sz w:val="22"/>
          <w:szCs w:val="22"/>
        </w:rPr>
        <w:t xml:space="preserve"> — https://ifssgoal.org/impact</w:t>
      </w:r>
    </w:p>
    <w:p>
      <w:pPr>
        <w:pStyle w:val="ListParagraph"/>
        <w:numPr>
          <w:ilvl w:val="0"/>
          <w:numId w:val="2"/>
        </w:numPr>
        <w:spacing w:after="60" w:before="40" w:line="290"/>
      </w:pPr>
      <w:r>
        <w:rPr>
          <w:rFonts w:ascii="Calibri" w:cs="Calibri" w:eastAsia="Calibri" w:hAnsi="Calibri"/>
          <w:b/>
          <w:bCs/>
          <w:sz w:val="22"/>
          <w:szCs w:val="22"/>
        </w:rPr>
        <w:t xml:space="preserve">Robots</w:t>
      </w:r>
      <w:r>
        <w:rPr>
          <w:rFonts w:ascii="Calibri" w:cs="Calibri" w:eastAsia="Calibri" w:hAnsi="Calibri"/>
          <w:sz w:val="22"/>
          <w:szCs w:val="22"/>
        </w:rPr>
        <w:t xml:space="preserve"> — index, follow</w:t>
      </w:r>
    </w:p>
    <w:p>
      <w:pPr>
        <w:spacing w:after="140" w:before="360"/>
      </w:pPr>
      <w:r>
        <w:rPr>
          <w:rFonts w:ascii="Calibri" w:cs="Calibri" w:eastAsia="Calibri" w:hAnsi="Calibri"/>
          <w:b/>
          <w:bCs/>
          <w:color w:val="1F4E79"/>
          <w:sz w:val="30"/>
          <w:szCs w:val="30"/>
        </w:rPr>
        <w:t xml:space="preserve">2. Hero</w:t>
      </w:r>
    </w:p>
    <w:p>
      <w:pPr>
        <w:spacing w:after="40" w:before="200"/>
      </w:pPr>
      <w:r>
        <w:rPr>
          <w:rFonts w:ascii="Calibri" w:cs="Calibri" w:eastAsia="Calibri" w:hAnsi="Calibri"/>
          <w:b/>
          <w:bCs/>
          <w:color w:val="2E7D5B"/>
          <w:spacing w:val="60"/>
          <w:sz w:val="18"/>
          <w:szCs w:val="18"/>
        </w:rPr>
        <w:t xml:space="preserve">EYEBROW</w:t>
      </w:r>
    </w:p>
    <w:p>
      <w:pPr>
        <w:spacing w:after="80" w:before="60" w:line="300"/>
      </w:pPr>
      <w:r>
        <w:rPr>
          <w:rFonts w:ascii="Calibri" w:cs="Calibri" w:eastAsia="Calibri" w:hAnsi="Calibri"/>
          <w:sz w:val="22"/>
          <w:szCs w:val="22"/>
        </w:rPr>
        <w:t xml:space="preserve">OUR IMPACT</w:t>
      </w:r>
    </w:p>
    <w:p>
      <w:pPr>
        <w:spacing w:after="20" w:before="100"/>
      </w:pPr>
      <w:r>
        <w:rPr>
          <w:rFonts w:ascii="Calibri" w:cs="Calibri" w:eastAsia="Calibri" w:hAnsi="Calibri"/>
          <w:b/>
          <w:bCs/>
          <w:color w:val="595959"/>
          <w:spacing w:val="30"/>
          <w:sz w:val="19"/>
          <w:szCs w:val="19"/>
        </w:rPr>
        <w:t xml:space="preserve">Headline (H1)</w:t>
      </w:r>
    </w:p>
    <w:p>
      <w:pPr>
        <w:spacing w:after="80" w:before="60" w:line="300"/>
      </w:pPr>
      <w:r>
        <w:rPr>
          <w:rFonts w:ascii="Calibri" w:cs="Calibri" w:eastAsia="Calibri" w:hAnsi="Calibri"/>
          <w:b/>
          <w:bCs/>
          <w:color w:val="1F4E79"/>
          <w:sz w:val="28"/>
          <w:szCs w:val="28"/>
        </w:rPr>
        <w:t xml:space="preserve">Numbers we will publish whether the news is good or bad.</w:t>
      </w:r>
    </w:p>
    <w:p>
      <w:pPr>
        <w:spacing w:after="20" w:before="100"/>
      </w:pPr>
      <w:r>
        <w:rPr>
          <w:rFonts w:ascii="Calibri" w:cs="Calibri" w:eastAsia="Calibri" w:hAnsi="Calibri"/>
          <w:b/>
          <w:bCs/>
          <w:color w:val="595959"/>
          <w:spacing w:val="30"/>
          <w:sz w:val="19"/>
          <w:szCs w:val="19"/>
        </w:rPr>
        <w:t xml:space="preserve">Sub-headline</w:t>
      </w:r>
    </w:p>
    <w:p>
      <w:pPr>
        <w:spacing w:after="80" w:before="60" w:line="300"/>
      </w:pPr>
      <w:r>
        <w:rPr>
          <w:rFonts w:ascii="Calibri" w:cs="Calibri" w:eastAsia="Calibri" w:hAnsi="Calibri"/>
          <w:sz w:val="22"/>
          <w:szCs w:val="22"/>
        </w:rPr>
        <w:t xml:space="preserve">Every quarter we update this page with live indicators from PAGES and ICES. Every year we publish an audited impact report. Every grant cycle we commission an independent external evaluation. If a number moves the wrong way, we say so — and we explain what we are doing about it.</w:t>
      </w:r>
    </w:p>
    <w:p>
      <w:pPr>
        <w:spacing w:after="20" w:before="100"/>
      </w:pPr>
      <w:r>
        <w:rPr>
          <w:rFonts w:ascii="Calibri" w:cs="Calibri" w:eastAsia="Calibri" w:hAnsi="Calibri"/>
          <w:b/>
          <w:bCs/>
          <w:color w:val="595959"/>
          <w:spacing w:val="30"/>
          <w:sz w:val="19"/>
          <w:szCs w:val="19"/>
        </w:rPr>
        <w:t xml:space="preserve">Primary CTAs</w:t>
      </w:r>
    </w:p>
    <w:p>
      <w:pPr>
        <w:spacing w:after="80" w:before="60" w:line="300"/>
      </w:pPr>
      <w:r>
        <w:rPr>
          <w:rFonts w:ascii="Calibri" w:cs="Calibri" w:eastAsia="Calibri" w:hAnsi="Calibri"/>
          <w:sz w:val="22"/>
          <w:szCs w:val="22"/>
        </w:rPr>
        <w:t xml:space="preserve">Download the latest impact report (PDF)  ·  Open the live dashboard  ·  See our methodology</w:t>
      </w:r>
    </w:p>
    <w:p>
      <w:pPr>
        <w:spacing w:after="20" w:before="100"/>
      </w:pPr>
      <w:r>
        <w:rPr>
          <w:rFonts w:ascii="Calibri" w:cs="Calibri" w:eastAsia="Calibri" w:hAnsi="Calibri"/>
          <w:b/>
          <w:bCs/>
          <w:color w:val="595959"/>
          <w:spacing w:val="30"/>
          <w:sz w:val="19"/>
          <w:szCs w:val="19"/>
        </w:rPr>
        <w:t xml:space="preserve">Quick-link strip</w:t>
      </w:r>
    </w:p>
    <w:p>
      <w:pPr>
        <w:spacing w:after="80" w:before="60" w:line="300"/>
      </w:pPr>
      <w:r>
        <w:rPr>
          <w:rFonts w:ascii="Calibri" w:cs="Calibri" w:eastAsia="Calibri" w:hAnsi="Calibri"/>
          <w:sz w:val="22"/>
          <w:szCs w:val="22"/>
        </w:rPr>
        <w:t xml:space="preserve">Top-line numbers · How we count · By programme · By inclusion · Climate &amp; circular · Financial inclusion · By country · SDGs · Reports &amp; audits · Evaluations · Stories · What we got wrong · Open data</w:t>
      </w:r>
    </w:p>
    <w:p>
      <w:pPr>
        <w:spacing w:after="140" w:before="360"/>
      </w:pPr>
      <w:r>
        <w:rPr>
          <w:rFonts w:ascii="Calibri" w:cs="Calibri" w:eastAsia="Calibri" w:hAnsi="Calibri"/>
          <w:b/>
          <w:bCs/>
          <w:color w:val="1F4E79"/>
          <w:sz w:val="30"/>
          <w:szCs w:val="30"/>
        </w:rPr>
        <w:t xml:space="preserve">3. Top-line indicators band (trust strip)</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Six tiles at the top of the page. Large numbers, last-updated stamp.</w:t>
      </w:r>
    </w:p>
    <w:p>
      <w:pPr>
        <w:pStyle w:val="ListParagraph"/>
        <w:numPr>
          <w:ilvl w:val="0"/>
          <w:numId w:val="2"/>
        </w:numPr>
        <w:spacing w:after="60" w:before="40" w:line="290"/>
      </w:pPr>
      <w:r>
        <w:rPr>
          <w:rFonts w:ascii="Calibri" w:cs="Calibri" w:eastAsia="Calibri" w:hAnsi="Calibri"/>
          <w:b/>
          <w:bCs/>
          <w:sz w:val="22"/>
          <w:szCs w:val="22"/>
        </w:rPr>
        <w:t xml:space="preserve">5,000</w:t>
      </w:r>
      <w:r>
        <w:rPr>
          <w:rFonts w:ascii="Calibri" w:cs="Calibri" w:eastAsia="Calibri" w:hAnsi="Calibri"/>
          <w:sz w:val="22"/>
          <w:szCs w:val="22"/>
        </w:rPr>
        <w:t xml:space="preserve"> — agri-SMEs targeted for onboarding by 2029.</w:t>
      </w:r>
    </w:p>
    <w:p>
      <w:pPr>
        <w:pStyle w:val="ListParagraph"/>
        <w:numPr>
          <w:ilvl w:val="0"/>
          <w:numId w:val="2"/>
        </w:numPr>
        <w:spacing w:after="60" w:before="40" w:line="290"/>
      </w:pPr>
      <w:r>
        <w:rPr>
          <w:rFonts w:ascii="Calibri" w:cs="Calibri" w:eastAsia="Calibri" w:hAnsi="Calibri"/>
          <w:b/>
          <w:bCs/>
          <w:sz w:val="22"/>
          <w:szCs w:val="22"/>
        </w:rPr>
        <w:t xml:space="preserve">~100,000</w:t>
      </w:r>
      <w:r>
        <w:rPr>
          <w:rFonts w:ascii="Calibri" w:cs="Calibri" w:eastAsia="Calibri" w:hAnsi="Calibri"/>
          <w:sz w:val="22"/>
          <w:szCs w:val="22"/>
        </w:rPr>
        <w:t xml:space="preserve"> — farmers reached through their cooperatives.</w:t>
      </w:r>
    </w:p>
    <w:p>
      <w:pPr>
        <w:pStyle w:val="ListParagraph"/>
        <w:numPr>
          <w:ilvl w:val="0"/>
          <w:numId w:val="2"/>
        </w:numPr>
        <w:spacing w:after="60" w:before="40" w:line="290"/>
      </w:pPr>
      <w:r>
        <w:rPr>
          <w:rFonts w:ascii="Calibri" w:cs="Calibri" w:eastAsia="Calibri" w:hAnsi="Calibri"/>
          <w:b/>
          <w:bCs/>
          <w:sz w:val="22"/>
          <w:szCs w:val="22"/>
        </w:rPr>
        <w:t xml:space="preserve">60% / 40% / 15% / 5%</w:t>
      </w:r>
      <w:r>
        <w:rPr>
          <w:rFonts w:ascii="Calibri" w:cs="Calibri" w:eastAsia="Calibri" w:hAnsi="Calibri"/>
          <w:sz w:val="22"/>
          <w:szCs w:val="22"/>
        </w:rPr>
        <w:t xml:space="preserve"> — women / youth / ex-combatants / people with disabilities.</w:t>
      </w:r>
    </w:p>
    <w:p>
      <w:pPr>
        <w:pStyle w:val="ListParagraph"/>
        <w:numPr>
          <w:ilvl w:val="0"/>
          <w:numId w:val="2"/>
        </w:numPr>
        <w:spacing w:after="60" w:before="40" w:line="290"/>
      </w:pPr>
      <w:r>
        <w:rPr>
          <w:rFonts w:ascii="Calibri" w:cs="Calibri" w:eastAsia="Calibri" w:hAnsi="Calibri"/>
          <w:b/>
          <w:bCs/>
          <w:sz w:val="22"/>
          <w:szCs w:val="22"/>
        </w:rPr>
        <w:t xml:space="preserve">6</w:t>
      </w:r>
      <w:r>
        <w:rPr>
          <w:rFonts w:ascii="Calibri" w:cs="Calibri" w:eastAsia="Calibri" w:hAnsi="Calibri"/>
          <w:sz w:val="22"/>
          <w:szCs w:val="22"/>
        </w:rPr>
        <w:t xml:space="preserve"> — countries: Canada, Rwanda, Kenya, Burundi, DRC, Togo.</w:t>
      </w:r>
    </w:p>
    <w:p>
      <w:pPr>
        <w:pStyle w:val="ListParagraph"/>
        <w:numPr>
          <w:ilvl w:val="0"/>
          <w:numId w:val="2"/>
        </w:numPr>
        <w:spacing w:after="60" w:before="40" w:line="290"/>
      </w:pPr>
      <w:r>
        <w:rPr>
          <w:rFonts w:ascii="Calibri" w:cs="Calibri" w:eastAsia="Calibri" w:hAnsi="Calibri"/>
          <w:b/>
          <w:bCs/>
          <w:sz w:val="22"/>
          <w:szCs w:val="22"/>
        </w:rPr>
        <w:t xml:space="preserve">CAD 759,000</w:t>
      </w:r>
      <w:r>
        <w:rPr>
          <w:rFonts w:ascii="Calibri" w:cs="Calibri" w:eastAsia="Calibri" w:hAnsi="Calibri"/>
          <w:sz w:val="22"/>
          <w:szCs w:val="22"/>
        </w:rPr>
        <w:t xml:space="preserve"> — programme budget for the 2027–2029 cycle.</w:t>
      </w:r>
    </w:p>
    <w:p>
      <w:pPr>
        <w:pStyle w:val="ListParagraph"/>
        <w:numPr>
          <w:ilvl w:val="0"/>
          <w:numId w:val="2"/>
        </w:numPr>
        <w:spacing w:after="60" w:before="40" w:line="290"/>
      </w:pPr>
      <w:r>
        <w:rPr>
          <w:rFonts w:ascii="Calibri" w:cs="Calibri" w:eastAsia="Calibri" w:hAnsi="Calibri"/>
          <w:b/>
          <w:bCs/>
          <w:sz w:val="22"/>
          <w:szCs w:val="22"/>
        </w:rPr>
        <w:t xml:space="preserve">3</w:t>
      </w:r>
      <w:r>
        <w:rPr>
          <w:rFonts w:ascii="Calibri" w:cs="Calibri" w:eastAsia="Calibri" w:hAnsi="Calibri"/>
          <w:sz w:val="22"/>
          <w:szCs w:val="22"/>
        </w:rPr>
        <w:t xml:space="preserve"> — independent external evaluations across the cycle.</w:t>
      </w:r>
    </w:p>
    <w:p>
      <w:pPr>
        <w:spacing w:after="120" w:before="120" w:line="300"/>
      </w:pPr>
      <w:r>
        <w:rPr>
          <w:rFonts w:ascii="Calibri" w:cs="Calibri" w:eastAsia="Calibri" w:hAnsi="Calibri"/>
          <w:i/>
          <w:iCs/>
          <w:color w:val="595959"/>
          <w:sz w:val="22"/>
          <w:szCs w:val="22"/>
        </w:rPr>
        <w:t xml:space="preserve">Caption: "Last refreshed: [date]. Targets versus actuals tracked from cycle start (2027). Independent verification by [evaluator] under OECD-DAC criteria."</w:t>
      </w:r>
    </w:p>
    <w:p>
      <w:pPr>
        <w:spacing w:after="140" w:before="360"/>
      </w:pPr>
      <w:r>
        <w:rPr>
          <w:rFonts w:ascii="Calibri" w:cs="Calibri" w:eastAsia="Calibri" w:hAnsi="Calibri"/>
          <w:b/>
          <w:bCs/>
          <w:color w:val="1F4E79"/>
          <w:sz w:val="30"/>
          <w:szCs w:val="30"/>
        </w:rPr>
        <w:t xml:space="preserve">4. How we count — methodology up front</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Methodology before numbers.</w:t>
      </w:r>
    </w:p>
    <w:p>
      <w:pPr>
        <w:spacing w:after="80" w:before="60" w:line="300"/>
      </w:pPr>
      <w:r>
        <w:rPr>
          <w:rFonts w:ascii="Calibri" w:cs="Calibri" w:eastAsia="Calibri" w:hAnsi="Calibri"/>
          <w:sz w:val="22"/>
          <w:szCs w:val="22"/>
        </w:rPr>
        <w:t xml:space="preserve">We put the methods note before the numbers on purpose. If you cannot see how we count, you should not trust what we count.</w:t>
      </w:r>
    </w:p>
    <w:p>
      <w:pPr>
        <w:pStyle w:val="ListParagraph"/>
        <w:numPr>
          <w:ilvl w:val="0"/>
          <w:numId w:val="2"/>
        </w:numPr>
        <w:spacing w:after="60" w:before="40" w:line="290"/>
      </w:pPr>
      <w:r>
        <w:rPr>
          <w:rFonts w:ascii="Calibri" w:cs="Calibri" w:eastAsia="Calibri" w:hAnsi="Calibri"/>
          <w:b/>
          <w:bCs/>
          <w:sz w:val="22"/>
          <w:szCs w:val="22"/>
        </w:rPr>
        <w:t xml:space="preserve">Indicator dictionary</w:t>
      </w:r>
      <w:r>
        <w:rPr>
          <w:rFonts w:ascii="Calibri" w:cs="Calibri" w:eastAsia="Calibri" w:hAnsi="Calibri"/>
          <w:sz w:val="22"/>
          <w:szCs w:val="22"/>
        </w:rPr>
        <w:t xml:space="preserve"> — Every indicator on this page has a one-page entry: definition, unit, numerator, denominator, data source, collection frequency, who collects it, who QAs it, known limits.</w:t>
      </w:r>
    </w:p>
    <w:p>
      <w:pPr>
        <w:pStyle w:val="ListParagraph"/>
        <w:numPr>
          <w:ilvl w:val="0"/>
          <w:numId w:val="2"/>
        </w:numPr>
        <w:spacing w:after="60" w:before="40" w:line="290"/>
      </w:pPr>
      <w:r>
        <w:rPr>
          <w:rFonts w:ascii="Calibri" w:cs="Calibri" w:eastAsia="Calibri" w:hAnsi="Calibri"/>
          <w:b/>
          <w:bCs/>
          <w:sz w:val="22"/>
          <w:szCs w:val="22"/>
        </w:rPr>
        <w:t xml:space="preserve">Frameworks</w:t>
      </w:r>
      <w:r>
        <w:rPr>
          <w:rFonts w:ascii="Calibri" w:cs="Calibri" w:eastAsia="Calibri" w:hAnsi="Calibri"/>
          <w:sz w:val="22"/>
          <w:szCs w:val="22"/>
        </w:rPr>
        <w:t xml:space="preserve"> — OECD-DAC evaluation criteria, BetterEvaluation, GRI for ESG indicators, MRV protocols for climate indicators, FAIR principles for open data.</w:t>
      </w:r>
    </w:p>
    <w:p>
      <w:pPr>
        <w:pStyle w:val="ListParagraph"/>
        <w:numPr>
          <w:ilvl w:val="0"/>
          <w:numId w:val="2"/>
        </w:numPr>
        <w:spacing w:after="60" w:before="40" w:line="290"/>
      </w:pPr>
      <w:r>
        <w:rPr>
          <w:rFonts w:ascii="Calibri" w:cs="Calibri" w:eastAsia="Calibri" w:hAnsi="Calibri"/>
          <w:b/>
          <w:bCs/>
          <w:sz w:val="22"/>
          <w:szCs w:val="22"/>
        </w:rPr>
        <w:t xml:space="preserve">Data quality</w:t>
      </w:r>
      <w:r>
        <w:rPr>
          <w:rFonts w:ascii="Calibri" w:cs="Calibri" w:eastAsia="Calibri" w:hAnsi="Calibri"/>
          <w:sz w:val="22"/>
          <w:szCs w:val="22"/>
        </w:rPr>
        <w:t xml:space="preserve"> — Three checks per indicator — source verification, sampling audit, and end-of-cycle independent verification.</w:t>
      </w:r>
    </w:p>
    <w:p>
      <w:pPr>
        <w:pStyle w:val="ListParagraph"/>
        <w:numPr>
          <w:ilvl w:val="0"/>
          <w:numId w:val="2"/>
        </w:numPr>
        <w:spacing w:after="60" w:before="40" w:line="290"/>
      </w:pPr>
      <w:r>
        <w:rPr>
          <w:rFonts w:ascii="Calibri" w:cs="Calibri" w:eastAsia="Calibri" w:hAnsi="Calibri"/>
          <w:b/>
          <w:bCs/>
          <w:sz w:val="22"/>
          <w:szCs w:val="22"/>
        </w:rPr>
        <w:t xml:space="preserve">What we do not count</w:t>
      </w:r>
      <w:r>
        <w:rPr>
          <w:rFonts w:ascii="Calibri" w:cs="Calibri" w:eastAsia="Calibri" w:hAnsi="Calibri"/>
          <w:sz w:val="22"/>
          <w:szCs w:val="22"/>
        </w:rPr>
        <w:t xml:space="preserve"> — Vanity reach numbers, social-media views, anything we cannot verify in the field within 90 days.</w:t>
      </w:r>
    </w:p>
    <w:p>
      <w:pPr>
        <w:pStyle w:val="ListParagraph"/>
        <w:numPr>
          <w:ilvl w:val="0"/>
          <w:numId w:val="2"/>
        </w:numPr>
        <w:spacing w:after="60" w:before="40" w:line="290"/>
      </w:pPr>
      <w:r>
        <w:rPr>
          <w:rFonts w:ascii="Calibri" w:cs="Calibri" w:eastAsia="Calibri" w:hAnsi="Calibri"/>
          <w:b/>
          <w:bCs/>
          <w:sz w:val="22"/>
          <w:szCs w:val="22"/>
        </w:rPr>
        <w:t xml:space="preserve">What we will publish even when it hurts</w:t>
      </w:r>
      <w:r>
        <w:rPr>
          <w:rFonts w:ascii="Calibri" w:cs="Calibri" w:eastAsia="Calibri" w:hAnsi="Calibri"/>
          <w:sz w:val="22"/>
          <w:szCs w:val="22"/>
        </w:rPr>
        <w:t xml:space="preserve"> — Drop-off, churn, beneficiaries lost to the programme, indicators missed, evaluation findings we disagree with.</w:t>
      </w:r>
    </w:p>
    <w:p>
      <w:pPr>
        <w:spacing w:after="80" w:before="60" w:line="300"/>
      </w:pPr>
      <w:r>
        <w:rPr>
          <w:rFonts w:ascii="Calibri" w:cs="Calibri" w:eastAsia="Calibri" w:hAnsi="Calibri"/>
          <w:sz w:val="22"/>
          <w:szCs w:val="22"/>
        </w:rPr>
        <w:t xml:space="preserve">CTAs: Download the indicator dictionary (PDF)  ·  Read the MEAL framework</w:t>
      </w:r>
    </w:p>
    <w:p>
      <w:pPr>
        <w:spacing w:after="140" w:before="360"/>
      </w:pPr>
      <w:r>
        <w:rPr>
          <w:rFonts w:ascii="Calibri" w:cs="Calibri" w:eastAsia="Calibri" w:hAnsi="Calibri"/>
          <w:b/>
          <w:bCs/>
          <w:color w:val="1F4E79"/>
          <w:sz w:val="30"/>
          <w:szCs w:val="30"/>
        </w:rPr>
        <w:t xml:space="preserve">5. Indicators by programme — PAGES and ICES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Target → actual → variance, with a colour band for every indicator.</w:t>
      </w:r>
    </w:p>
    <w:p>
      <w:pPr>
        <w:spacing w:after="80" w:before="60" w:line="300"/>
      </w:pPr>
      <w:r>
        <w:rPr>
          <w:rFonts w:ascii="Calibri" w:cs="Calibri" w:eastAsia="Calibri" w:hAnsi="Calibri"/>
          <w:sz w:val="22"/>
          <w:szCs w:val="22"/>
        </w:rPr>
        <w:t xml:space="preserve">A two-column block, one for each programme. Each indicator shows target → actual → variance, with a colour band (green ≥ 90%, amber 70–89%, red &lt; 70%) and a one-line note explaining the variance.</w:t>
      </w:r>
    </w:p>
    <w:p>
      <w:pPr>
        <w:spacing w:after="80" w:before="180"/>
      </w:pPr>
      <w:r>
        <w:rPr>
          <w:rFonts w:ascii="Calibri" w:cs="Calibri" w:eastAsia="Calibri" w:hAnsi="Calibri"/>
          <w:b/>
          <w:bCs/>
          <w:color w:val="2E7D5B"/>
          <w:sz w:val="22"/>
          <w:szCs w:val="22"/>
        </w:rPr>
        <w:t xml:space="preserve">PAGES (Track 1 — Precision Agriculture)</w:t>
      </w:r>
    </w:p>
    <w:p>
      <w:pPr>
        <w:pStyle w:val="ListParagraph"/>
        <w:numPr>
          <w:ilvl w:val="0"/>
          <w:numId w:val="2"/>
        </w:numPr>
        <w:spacing w:after="60" w:before="40" w:line="290"/>
      </w:pPr>
      <w:r>
        <w:rPr>
          <w:rFonts w:ascii="Calibri" w:cs="Calibri" w:eastAsia="Calibri" w:hAnsi="Calibri"/>
          <w:sz w:val="22"/>
          <w:szCs w:val="22"/>
        </w:rPr>
        <w:t xml:space="preserve">Agri-SMEs onboarded (target 5,000 by 2029)</w:t>
      </w:r>
    </w:p>
    <w:p>
      <w:pPr>
        <w:pStyle w:val="ListParagraph"/>
        <w:numPr>
          <w:ilvl w:val="0"/>
          <w:numId w:val="2"/>
        </w:numPr>
        <w:spacing w:after="60" w:before="40" w:line="290"/>
      </w:pPr>
      <w:r>
        <w:rPr>
          <w:rFonts w:ascii="Calibri" w:cs="Calibri" w:eastAsia="Calibri" w:hAnsi="Calibri"/>
          <w:sz w:val="22"/>
          <w:szCs w:val="22"/>
        </w:rPr>
        <w:t xml:space="preserve">Cooperatives using the Smart Market Matchmaker</w:t>
      </w:r>
    </w:p>
    <w:p>
      <w:pPr>
        <w:pStyle w:val="ListParagraph"/>
        <w:numPr>
          <w:ilvl w:val="0"/>
          <w:numId w:val="2"/>
        </w:numPr>
        <w:spacing w:after="60" w:before="40" w:line="290"/>
      </w:pPr>
      <w:r>
        <w:rPr>
          <w:rFonts w:ascii="Calibri" w:cs="Calibri" w:eastAsia="Calibri" w:hAnsi="Calibri"/>
          <w:sz w:val="22"/>
          <w:szCs w:val="22"/>
        </w:rPr>
        <w:t xml:space="preserve">Farmers reached through their cooperatives (target ~100,000)</w:t>
      </w:r>
    </w:p>
    <w:p>
      <w:pPr>
        <w:pStyle w:val="ListParagraph"/>
        <w:numPr>
          <w:ilvl w:val="0"/>
          <w:numId w:val="2"/>
        </w:numPr>
        <w:spacing w:after="60" w:before="40" w:line="290"/>
      </w:pPr>
      <w:r>
        <w:rPr>
          <w:rFonts w:ascii="Calibri" w:cs="Calibri" w:eastAsia="Calibri" w:hAnsi="Calibri"/>
          <w:sz w:val="22"/>
          <w:szCs w:val="22"/>
        </w:rPr>
        <w:t xml:space="preserve">Hectares under precision-agriculture insight</w:t>
      </w:r>
    </w:p>
    <w:p>
      <w:pPr>
        <w:pStyle w:val="ListParagraph"/>
        <w:numPr>
          <w:ilvl w:val="0"/>
          <w:numId w:val="2"/>
        </w:numPr>
        <w:spacing w:after="60" w:before="40" w:line="290"/>
      </w:pPr>
      <w:r>
        <w:rPr>
          <w:rFonts w:ascii="Calibri" w:cs="Calibri" w:eastAsia="Calibri" w:hAnsi="Calibri"/>
          <w:sz w:val="22"/>
          <w:szCs w:val="22"/>
        </w:rPr>
        <w:t xml:space="preserve">Post-harvest loss reduction (% versus baseline)</w:t>
      </w:r>
    </w:p>
    <w:p>
      <w:pPr>
        <w:pStyle w:val="ListParagraph"/>
        <w:numPr>
          <w:ilvl w:val="0"/>
          <w:numId w:val="2"/>
        </w:numPr>
        <w:spacing w:after="60" w:before="40" w:line="290"/>
      </w:pPr>
      <w:r>
        <w:rPr>
          <w:rFonts w:ascii="Calibri" w:cs="Calibri" w:eastAsia="Calibri" w:hAnsi="Calibri"/>
          <w:sz w:val="22"/>
          <w:szCs w:val="22"/>
        </w:rPr>
        <w:t xml:space="preserve">Farmers with verified financial-access events (credit, savings, insurance)</w:t>
      </w:r>
    </w:p>
    <w:p>
      <w:pPr>
        <w:pStyle w:val="ListParagraph"/>
        <w:numPr>
          <w:ilvl w:val="0"/>
          <w:numId w:val="2"/>
        </w:numPr>
        <w:spacing w:after="60" w:before="40" w:line="290"/>
      </w:pPr>
      <w:r>
        <w:rPr>
          <w:rFonts w:ascii="Calibri" w:cs="Calibri" w:eastAsia="Calibri" w:hAnsi="Calibri"/>
          <w:sz w:val="22"/>
          <w:szCs w:val="22"/>
        </w:rPr>
        <w:t xml:space="preserve">Off-take contracts brokered (count and CAD value)</w:t>
      </w:r>
    </w:p>
    <w:p>
      <w:pPr>
        <w:pStyle w:val="ListParagraph"/>
        <w:numPr>
          <w:ilvl w:val="0"/>
          <w:numId w:val="2"/>
        </w:numPr>
        <w:spacing w:after="60" w:before="40" w:line="290"/>
      </w:pPr>
      <w:r>
        <w:rPr>
          <w:rFonts w:ascii="Calibri" w:cs="Calibri" w:eastAsia="Calibri" w:hAnsi="Calibri"/>
          <w:sz w:val="22"/>
          <w:szCs w:val="22"/>
        </w:rPr>
        <w:t xml:space="preserve">Average price uplift versus reference market</w:t>
      </w:r>
    </w:p>
    <w:p>
      <w:pPr>
        <w:spacing w:after="80" w:before="180"/>
      </w:pPr>
      <w:r>
        <w:rPr>
          <w:rFonts w:ascii="Calibri" w:cs="Calibri" w:eastAsia="Calibri" w:hAnsi="Calibri"/>
          <w:b/>
          <w:bCs/>
          <w:color w:val="2E7D5B"/>
          <w:sz w:val="22"/>
          <w:szCs w:val="22"/>
        </w:rPr>
        <w:t xml:space="preserve">ICES (Track 2 — Circular Economy)</w:t>
      </w:r>
    </w:p>
    <w:p>
      <w:pPr>
        <w:pStyle w:val="ListParagraph"/>
        <w:numPr>
          <w:ilvl w:val="0"/>
          <w:numId w:val="2"/>
        </w:numPr>
        <w:spacing w:after="60" w:before="40" w:line="290"/>
      </w:pPr>
      <w:r>
        <w:rPr>
          <w:rFonts w:ascii="Calibri" w:cs="Calibri" w:eastAsia="Calibri" w:hAnsi="Calibri"/>
          <w:sz w:val="22"/>
          <w:szCs w:val="22"/>
        </w:rPr>
        <w:t xml:space="preserve">Smart Bins deployed (count, fill-level accuracy)</w:t>
      </w:r>
    </w:p>
    <w:p>
      <w:pPr>
        <w:pStyle w:val="ListParagraph"/>
        <w:numPr>
          <w:ilvl w:val="0"/>
          <w:numId w:val="2"/>
        </w:numPr>
        <w:spacing w:after="60" w:before="40" w:line="290"/>
      </w:pPr>
      <w:r>
        <w:rPr>
          <w:rFonts w:ascii="Calibri" w:cs="Calibri" w:eastAsia="Calibri" w:hAnsi="Calibri"/>
          <w:sz w:val="22"/>
          <w:szCs w:val="22"/>
        </w:rPr>
        <w:t xml:space="preserve">Tonnes of waste captured at source</w:t>
      </w:r>
    </w:p>
    <w:p>
      <w:pPr>
        <w:pStyle w:val="ListParagraph"/>
        <w:numPr>
          <w:ilvl w:val="0"/>
          <w:numId w:val="2"/>
        </w:numPr>
        <w:spacing w:after="60" w:before="40" w:line="290"/>
      </w:pPr>
      <w:r>
        <w:rPr>
          <w:rFonts w:ascii="Calibri" w:cs="Calibri" w:eastAsia="Calibri" w:hAnsi="Calibri"/>
          <w:sz w:val="22"/>
          <w:szCs w:val="22"/>
        </w:rPr>
        <w:t xml:space="preserve">Tonnes diverted from landfill or dumpsite</w:t>
      </w:r>
    </w:p>
    <w:p>
      <w:pPr>
        <w:pStyle w:val="ListParagraph"/>
        <w:numPr>
          <w:ilvl w:val="0"/>
          <w:numId w:val="2"/>
        </w:numPr>
        <w:spacing w:after="60" w:before="40" w:line="290"/>
      </w:pPr>
      <w:r>
        <w:rPr>
          <w:rFonts w:ascii="Calibri" w:cs="Calibri" w:eastAsia="Calibri" w:hAnsi="Calibri"/>
          <w:sz w:val="22"/>
          <w:szCs w:val="22"/>
        </w:rPr>
        <w:t xml:space="preserve">Methane and CO₂e averted (tCO₂e, MRV-verified)</w:t>
      </w:r>
    </w:p>
    <w:p>
      <w:pPr>
        <w:pStyle w:val="ListParagraph"/>
        <w:numPr>
          <w:ilvl w:val="0"/>
          <w:numId w:val="2"/>
        </w:numPr>
        <w:spacing w:after="60" w:before="40" w:line="290"/>
      </w:pPr>
      <w:r>
        <w:rPr>
          <w:rFonts w:ascii="Calibri" w:cs="Calibri" w:eastAsia="Calibri" w:hAnsi="Calibri"/>
          <w:sz w:val="22"/>
          <w:szCs w:val="22"/>
        </w:rPr>
        <w:t xml:space="preserve">Carbon-finance value generated and routed to cooperatives</w:t>
      </w:r>
    </w:p>
    <w:p>
      <w:pPr>
        <w:pStyle w:val="ListParagraph"/>
        <w:numPr>
          <w:ilvl w:val="0"/>
          <w:numId w:val="2"/>
        </w:numPr>
        <w:spacing w:after="60" w:before="40" w:line="290"/>
      </w:pPr>
      <w:r>
        <w:rPr>
          <w:rFonts w:ascii="Calibri" w:cs="Calibri" w:eastAsia="Calibri" w:hAnsi="Calibri"/>
          <w:sz w:val="22"/>
          <w:szCs w:val="22"/>
        </w:rPr>
        <w:t xml:space="preserve">Youth and women earning income through ICES cooperatives</w:t>
      </w:r>
    </w:p>
    <w:p>
      <w:pPr>
        <w:pStyle w:val="ListParagraph"/>
        <w:numPr>
          <w:ilvl w:val="0"/>
          <w:numId w:val="2"/>
        </w:numPr>
        <w:spacing w:after="60" w:before="40" w:line="290"/>
      </w:pPr>
      <w:r>
        <w:rPr>
          <w:rFonts w:ascii="Calibri" w:cs="Calibri" w:eastAsia="Calibri" w:hAnsi="Calibri"/>
          <w:sz w:val="22"/>
          <w:szCs w:val="22"/>
        </w:rPr>
        <w:t xml:space="preserve">Sorting-line throughput and contamination rate</w:t>
      </w:r>
    </w:p>
    <w:p>
      <w:pPr>
        <w:pStyle w:val="ListParagraph"/>
        <w:numPr>
          <w:ilvl w:val="0"/>
          <w:numId w:val="2"/>
        </w:numPr>
        <w:spacing w:after="60" w:before="40" w:line="290"/>
      </w:pPr>
      <w:r>
        <w:rPr>
          <w:rFonts w:ascii="Calibri" w:cs="Calibri" w:eastAsia="Calibri" w:hAnsi="Calibri"/>
          <w:sz w:val="22"/>
          <w:szCs w:val="22"/>
        </w:rPr>
        <w:t xml:space="preserve">Municipalities with active EPR-grade reporting</w:t>
      </w:r>
    </w:p>
    <w:p>
      <w:pPr>
        <w:spacing w:after="140" w:before="360"/>
      </w:pPr>
      <w:r>
        <w:rPr>
          <w:rFonts w:ascii="Calibri" w:cs="Calibri" w:eastAsia="Calibri" w:hAnsi="Calibri"/>
          <w:b/>
          <w:bCs/>
          <w:color w:val="1F4E79"/>
          <w:sz w:val="30"/>
          <w:szCs w:val="30"/>
        </w:rPr>
        <w:t xml:space="preserve">6. Indicators by inclusion (GEDSI)</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Inclusion is contractual, not aspirational.</w:t>
      </w:r>
    </w:p>
    <w:p>
      <w:pPr>
        <w:pStyle w:val="ListParagraph"/>
        <w:numPr>
          <w:ilvl w:val="0"/>
          <w:numId w:val="2"/>
        </w:numPr>
        <w:spacing w:after="60" w:before="40" w:line="290"/>
      </w:pPr>
      <w:r>
        <w:rPr>
          <w:rFonts w:ascii="Calibri" w:cs="Calibri" w:eastAsia="Calibri" w:hAnsi="Calibri"/>
          <w:b/>
          <w:bCs/>
          <w:sz w:val="22"/>
          <w:szCs w:val="22"/>
        </w:rPr>
        <w:t xml:space="preserve">Targets across both programmes</w:t>
      </w:r>
      <w:r>
        <w:rPr>
          <w:rFonts w:ascii="Calibri" w:cs="Calibri" w:eastAsia="Calibri" w:hAnsi="Calibri"/>
          <w:sz w:val="22"/>
          <w:szCs w:val="22"/>
        </w:rPr>
        <w:t xml:space="preserve"> — 60% women  ·  40% youth (under 35)  ·  15% ex-combatants  ·  5% people with disabilities (PwD).</w:t>
      </w:r>
    </w:p>
    <w:p>
      <w:pPr>
        <w:pStyle w:val="ListParagraph"/>
        <w:numPr>
          <w:ilvl w:val="0"/>
          <w:numId w:val="2"/>
        </w:numPr>
        <w:spacing w:after="60" w:before="40" w:line="290"/>
      </w:pPr>
      <w:r>
        <w:rPr>
          <w:rFonts w:ascii="Calibri" w:cs="Calibri" w:eastAsia="Calibri" w:hAnsi="Calibri"/>
          <w:b/>
          <w:bCs/>
          <w:sz w:val="22"/>
          <w:szCs w:val="22"/>
        </w:rPr>
        <w:t xml:space="preserve">What each number means</w:t>
      </w:r>
      <w:r>
        <w:rPr>
          <w:rFonts w:ascii="Calibri" w:cs="Calibri" w:eastAsia="Calibri" w:hAnsi="Calibri"/>
          <w:sz w:val="22"/>
          <w:szCs w:val="22"/>
        </w:rPr>
        <w:t xml:space="preserve"> — Definition per group, eligibility, how we verify (self-identification + community attestation + cooperative records).</w:t>
      </w:r>
    </w:p>
    <w:p>
      <w:pPr>
        <w:pStyle w:val="ListParagraph"/>
        <w:numPr>
          <w:ilvl w:val="0"/>
          <w:numId w:val="2"/>
        </w:numPr>
        <w:spacing w:after="60" w:before="40" w:line="290"/>
      </w:pPr>
      <w:r>
        <w:rPr>
          <w:rFonts w:ascii="Calibri" w:cs="Calibri" w:eastAsia="Calibri" w:hAnsi="Calibri"/>
          <w:b/>
          <w:bCs/>
          <w:sz w:val="22"/>
          <w:szCs w:val="22"/>
        </w:rPr>
        <w:t xml:space="preserve">What we publish per group, every quarter</w:t>
      </w:r>
      <w:r>
        <w:rPr>
          <w:rFonts w:ascii="Calibri" w:cs="Calibri" w:eastAsia="Calibri" w:hAnsi="Calibri"/>
          <w:sz w:val="22"/>
          <w:szCs w:val="22"/>
        </w:rPr>
        <w:t xml:space="preserve"> — Share of beneficiaries, share of leadership roles, share of training hours, share of finance events, drop-out rate.</w:t>
      </w:r>
    </w:p>
    <w:p>
      <w:pPr>
        <w:pStyle w:val="ListParagraph"/>
        <w:numPr>
          <w:ilvl w:val="0"/>
          <w:numId w:val="2"/>
        </w:numPr>
        <w:spacing w:after="60" w:before="40" w:line="290"/>
      </w:pPr>
      <w:r>
        <w:rPr>
          <w:rFonts w:ascii="Calibri" w:cs="Calibri" w:eastAsia="Calibri" w:hAnsi="Calibri"/>
          <w:b/>
          <w:bCs/>
          <w:sz w:val="22"/>
          <w:szCs w:val="22"/>
        </w:rPr>
        <w:t xml:space="preserve">Conflict-sensitivity overlay</w:t>
      </w:r>
      <w:r>
        <w:rPr>
          <w:rFonts w:ascii="Calibri" w:cs="Calibri" w:eastAsia="Calibri" w:hAnsi="Calibri"/>
          <w:sz w:val="22"/>
          <w:szCs w:val="22"/>
        </w:rPr>
        <w:t xml:space="preserve"> — Ex-combatant inclusion is reported with do-no-harm narrative; not just numbers.</w:t>
      </w:r>
    </w:p>
    <w:p>
      <w:pPr>
        <w:pStyle w:val="ListParagraph"/>
        <w:numPr>
          <w:ilvl w:val="0"/>
          <w:numId w:val="2"/>
        </w:numPr>
        <w:spacing w:after="60" w:before="40" w:line="290"/>
      </w:pPr>
      <w:r>
        <w:rPr>
          <w:rFonts w:ascii="Calibri" w:cs="Calibri" w:eastAsia="Calibri" w:hAnsi="Calibri"/>
          <w:b/>
          <w:bCs/>
          <w:sz w:val="22"/>
          <w:szCs w:val="22"/>
        </w:rPr>
        <w:t xml:space="preserve">Disaggregation we will not publish</w:t>
      </w:r>
      <w:r>
        <w:rPr>
          <w:rFonts w:ascii="Calibri" w:cs="Calibri" w:eastAsia="Calibri" w:hAnsi="Calibri"/>
          <w:sz w:val="22"/>
          <w:szCs w:val="22"/>
        </w:rPr>
        <w:t xml:space="preserve"> — Anything that could re-identify an individual in a small cooperative.</w:t>
      </w:r>
    </w:p>
    <w:p>
      <w:pPr>
        <w:spacing w:after="140" w:before="360"/>
      </w:pPr>
      <w:r>
        <w:rPr>
          <w:rFonts w:ascii="Calibri" w:cs="Calibri" w:eastAsia="Calibri" w:hAnsi="Calibri"/>
          <w:b/>
          <w:bCs/>
          <w:color w:val="1F4E79"/>
          <w:sz w:val="30"/>
          <w:szCs w:val="30"/>
        </w:rPr>
        <w:t xml:space="preserve">7. Climate and circular-economy impact</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Real tonnes, verified.</w:t>
      </w:r>
    </w:p>
    <w:p>
      <w:pPr>
        <w:spacing w:after="80" w:before="60" w:line="300"/>
      </w:pPr>
      <w:r>
        <w:rPr>
          <w:rFonts w:ascii="Calibri" w:cs="Calibri" w:eastAsia="Calibri" w:hAnsi="Calibri"/>
          <w:sz w:val="22"/>
          <w:szCs w:val="22"/>
        </w:rPr>
        <w:t xml:space="preserve">Climate numbers are only useful if a carbon-market buyer or a donor auditor can actually verify them. We use the ML Carbon Calculator from ICES, but every reported tonne goes through a third-party MRV check before it appears on this page.</w:t>
      </w:r>
    </w:p>
    <w:p>
      <w:pPr>
        <w:spacing w:after="20" w:before="100"/>
      </w:pPr>
      <w:r>
        <w:rPr>
          <w:rFonts w:ascii="Calibri" w:cs="Calibri" w:eastAsia="Calibri" w:hAnsi="Calibri"/>
          <w:b/>
          <w:bCs/>
          <w:color w:val="595959"/>
          <w:spacing w:val="30"/>
          <w:sz w:val="19"/>
          <w:szCs w:val="19"/>
        </w:rPr>
        <w:t xml:space="preserve">Indicators</w:t>
      </w:r>
    </w:p>
    <w:p>
      <w:pPr>
        <w:pStyle w:val="ListParagraph"/>
        <w:numPr>
          <w:ilvl w:val="0"/>
          <w:numId w:val="2"/>
        </w:numPr>
        <w:spacing w:after="60" w:before="40" w:line="290"/>
      </w:pPr>
      <w:r>
        <w:rPr>
          <w:rFonts w:ascii="Calibri" w:cs="Calibri" w:eastAsia="Calibri" w:hAnsi="Calibri"/>
          <w:sz w:val="22"/>
          <w:szCs w:val="22"/>
        </w:rPr>
        <w:t xml:space="preserve">tCO₂e averted (methane + CO₂)</w:t>
      </w:r>
    </w:p>
    <w:p>
      <w:pPr>
        <w:pStyle w:val="ListParagraph"/>
        <w:numPr>
          <w:ilvl w:val="0"/>
          <w:numId w:val="2"/>
        </w:numPr>
        <w:spacing w:after="60" w:before="40" w:line="290"/>
      </w:pPr>
      <w:r>
        <w:rPr>
          <w:rFonts w:ascii="Calibri" w:cs="Calibri" w:eastAsia="Calibri" w:hAnsi="Calibri"/>
          <w:sz w:val="22"/>
          <w:szCs w:val="22"/>
        </w:rPr>
        <w:t xml:space="preserve">Tonnes of waste captured</w:t>
      </w:r>
    </w:p>
    <w:p>
      <w:pPr>
        <w:pStyle w:val="ListParagraph"/>
        <w:numPr>
          <w:ilvl w:val="0"/>
          <w:numId w:val="2"/>
        </w:numPr>
        <w:spacing w:after="60" w:before="40" w:line="290"/>
      </w:pPr>
      <w:r>
        <w:rPr>
          <w:rFonts w:ascii="Calibri" w:cs="Calibri" w:eastAsia="Calibri" w:hAnsi="Calibri"/>
          <w:sz w:val="22"/>
          <w:szCs w:val="22"/>
        </w:rPr>
        <w:t xml:space="preserve">Tonnes recycled</w:t>
      </w:r>
    </w:p>
    <w:p>
      <w:pPr>
        <w:pStyle w:val="ListParagraph"/>
        <w:numPr>
          <w:ilvl w:val="0"/>
          <w:numId w:val="2"/>
        </w:numPr>
        <w:spacing w:after="60" w:before="40" w:line="290"/>
      </w:pPr>
      <w:r>
        <w:rPr>
          <w:rFonts w:ascii="Calibri" w:cs="Calibri" w:eastAsia="Calibri" w:hAnsi="Calibri"/>
          <w:sz w:val="22"/>
          <w:szCs w:val="22"/>
        </w:rPr>
        <w:t xml:space="preserve">Tonnes composted</w:t>
      </w:r>
    </w:p>
    <w:p>
      <w:pPr>
        <w:pStyle w:val="ListParagraph"/>
        <w:numPr>
          <w:ilvl w:val="0"/>
          <w:numId w:val="2"/>
        </w:numPr>
        <w:spacing w:after="60" w:before="40" w:line="290"/>
      </w:pPr>
      <w:r>
        <w:rPr>
          <w:rFonts w:ascii="Calibri" w:cs="Calibri" w:eastAsia="Calibri" w:hAnsi="Calibri"/>
          <w:sz w:val="22"/>
          <w:szCs w:val="22"/>
        </w:rPr>
        <w:t xml:space="preserve">Energy recovered</w:t>
      </w:r>
    </w:p>
    <w:p>
      <w:pPr>
        <w:pStyle w:val="ListParagraph"/>
        <w:numPr>
          <w:ilvl w:val="0"/>
          <w:numId w:val="2"/>
        </w:numPr>
        <w:spacing w:after="60" w:before="40" w:line="290"/>
      </w:pPr>
      <w:r>
        <w:rPr>
          <w:rFonts w:ascii="Calibri" w:cs="Calibri" w:eastAsia="Calibri" w:hAnsi="Calibri"/>
          <w:sz w:val="22"/>
          <w:szCs w:val="22"/>
        </w:rPr>
        <w:t xml:space="preserve">Carbon credits issued</w:t>
      </w:r>
    </w:p>
    <w:p>
      <w:pPr>
        <w:pStyle w:val="ListParagraph"/>
        <w:numPr>
          <w:ilvl w:val="0"/>
          <w:numId w:val="2"/>
        </w:numPr>
        <w:spacing w:after="60" w:before="40" w:line="290"/>
      </w:pPr>
      <w:r>
        <w:rPr>
          <w:rFonts w:ascii="Calibri" w:cs="Calibri" w:eastAsia="Calibri" w:hAnsi="Calibri"/>
          <w:sz w:val="22"/>
          <w:szCs w:val="22"/>
        </w:rPr>
        <w:t xml:space="preserve">Carbon revenue routed to cooperatives</w:t>
      </w:r>
    </w:p>
    <w:p>
      <w:pPr>
        <w:pStyle w:val="ListParagraph"/>
        <w:numPr>
          <w:ilvl w:val="0"/>
          <w:numId w:val="2"/>
        </w:numPr>
        <w:spacing w:after="60" w:before="40" w:line="290"/>
      </w:pPr>
      <w:r>
        <w:rPr>
          <w:rFonts w:ascii="Calibri" w:cs="Calibri" w:eastAsia="Calibri" w:hAnsi="Calibri"/>
          <w:sz w:val="22"/>
          <w:szCs w:val="22"/>
        </w:rPr>
        <w:t xml:space="preserve">Share of carbon revenue retained by women- and youth-led cooperatives</w:t>
      </w:r>
    </w:p>
    <w:p>
      <w:pPr>
        <w:pStyle w:val="ListParagraph"/>
        <w:numPr>
          <w:ilvl w:val="0"/>
          <w:numId w:val="2"/>
        </w:numPr>
        <w:spacing w:after="60" w:before="40" w:line="290"/>
      </w:pPr>
      <w:r>
        <w:rPr>
          <w:rFonts w:ascii="Calibri" w:cs="Calibri" w:eastAsia="Calibri" w:hAnsi="Calibri"/>
          <w:b/>
          <w:bCs/>
          <w:sz w:val="22"/>
          <w:szCs w:val="22"/>
        </w:rPr>
        <w:t xml:space="preserve">Methodology notes</w:t>
      </w:r>
      <w:r>
        <w:rPr>
          <w:rFonts w:ascii="Calibri" w:cs="Calibri" w:eastAsia="Calibri" w:hAnsi="Calibri"/>
          <w:sz w:val="22"/>
          <w:szCs w:val="22"/>
        </w:rPr>
        <w:t xml:space="preserve"> — MRV protocol used per stream, sample audit frequency, exclusions.</w:t>
      </w:r>
    </w:p>
    <w:p>
      <w:pPr>
        <w:spacing w:after="80" w:before="60" w:line="300"/>
      </w:pPr>
      <w:r>
        <w:rPr>
          <w:rFonts w:ascii="Calibri" w:cs="Calibri" w:eastAsia="Calibri" w:hAnsi="Calibri"/>
          <w:sz w:val="22"/>
          <w:szCs w:val="22"/>
        </w:rPr>
        <w:t xml:space="preserve">CTAs: Download the MRV methodology  ·  See cooperative-level carbon receipts</w:t>
      </w:r>
    </w:p>
    <w:p>
      <w:pPr>
        <w:spacing w:after="140" w:before="360"/>
      </w:pPr>
      <w:r>
        <w:rPr>
          <w:rFonts w:ascii="Calibri" w:cs="Calibri" w:eastAsia="Calibri" w:hAnsi="Calibri"/>
          <w:b/>
          <w:bCs/>
          <w:color w:val="1F4E79"/>
          <w:sz w:val="30"/>
          <w:szCs w:val="30"/>
        </w:rPr>
        <w:t xml:space="preserve">8. Financial-inclusion impact</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From data to dollars in cooperative accounts.</w:t>
      </w:r>
    </w:p>
    <w:p>
      <w:pPr>
        <w:spacing w:after="20" w:before="100"/>
      </w:pPr>
      <w:r>
        <w:rPr>
          <w:rFonts w:ascii="Calibri" w:cs="Calibri" w:eastAsia="Calibri" w:hAnsi="Calibri"/>
          <w:b/>
          <w:bCs/>
          <w:color w:val="595959"/>
          <w:spacing w:val="30"/>
          <w:sz w:val="19"/>
          <w:szCs w:val="19"/>
        </w:rPr>
        <w:t xml:space="preserve">Indicators</w:t>
      </w:r>
    </w:p>
    <w:p>
      <w:pPr>
        <w:pStyle w:val="ListParagraph"/>
        <w:numPr>
          <w:ilvl w:val="0"/>
          <w:numId w:val="2"/>
        </w:numPr>
        <w:spacing w:after="60" w:before="40" w:line="290"/>
      </w:pPr>
      <w:r>
        <w:rPr>
          <w:rFonts w:ascii="Calibri" w:cs="Calibri" w:eastAsia="Calibri" w:hAnsi="Calibri"/>
          <w:sz w:val="22"/>
          <w:szCs w:val="22"/>
        </w:rPr>
        <w:t xml:space="preserve">Cooperatives with bank-grade books (ERP module)</w:t>
      </w:r>
    </w:p>
    <w:p>
      <w:pPr>
        <w:pStyle w:val="ListParagraph"/>
        <w:numPr>
          <w:ilvl w:val="0"/>
          <w:numId w:val="2"/>
        </w:numPr>
        <w:spacing w:after="60" w:before="40" w:line="290"/>
      </w:pPr>
      <w:r>
        <w:rPr>
          <w:rFonts w:ascii="Calibri" w:cs="Calibri" w:eastAsia="Calibri" w:hAnsi="Calibri"/>
          <w:sz w:val="22"/>
          <w:szCs w:val="22"/>
        </w:rPr>
        <w:t xml:space="preserve">MFI and bank linkages secured</w:t>
      </w:r>
    </w:p>
    <w:p>
      <w:pPr>
        <w:pStyle w:val="ListParagraph"/>
        <w:numPr>
          <w:ilvl w:val="0"/>
          <w:numId w:val="2"/>
        </w:numPr>
        <w:spacing w:after="60" w:before="40" w:line="290"/>
      </w:pPr>
      <w:r>
        <w:rPr>
          <w:rFonts w:ascii="Calibri" w:cs="Calibri" w:eastAsia="Calibri" w:hAnsi="Calibri"/>
          <w:sz w:val="22"/>
          <w:szCs w:val="22"/>
        </w:rPr>
        <w:t xml:space="preserve">Mobile-money accounts activated</w:t>
      </w:r>
    </w:p>
    <w:p>
      <w:pPr>
        <w:pStyle w:val="ListParagraph"/>
        <w:numPr>
          <w:ilvl w:val="0"/>
          <w:numId w:val="2"/>
        </w:numPr>
        <w:spacing w:after="60" w:before="40" w:line="290"/>
      </w:pPr>
      <w:r>
        <w:rPr>
          <w:rFonts w:ascii="Calibri" w:cs="Calibri" w:eastAsia="Calibri" w:hAnsi="Calibri"/>
          <w:sz w:val="22"/>
          <w:szCs w:val="22"/>
        </w:rPr>
        <w:t xml:space="preserve">Parametric insurance policies issued</w:t>
      </w:r>
    </w:p>
    <w:p>
      <w:pPr>
        <w:pStyle w:val="ListParagraph"/>
        <w:numPr>
          <w:ilvl w:val="0"/>
          <w:numId w:val="2"/>
        </w:numPr>
        <w:spacing w:after="60" w:before="40" w:line="290"/>
      </w:pPr>
      <w:r>
        <w:rPr>
          <w:rFonts w:ascii="Calibri" w:cs="Calibri" w:eastAsia="Calibri" w:hAnsi="Calibri"/>
          <w:sz w:val="22"/>
          <w:szCs w:val="22"/>
        </w:rPr>
        <w:t xml:space="preserve">Average loan size</w:t>
      </w:r>
    </w:p>
    <w:p>
      <w:pPr>
        <w:pStyle w:val="ListParagraph"/>
        <w:numPr>
          <w:ilvl w:val="0"/>
          <w:numId w:val="2"/>
        </w:numPr>
        <w:spacing w:after="60" w:before="40" w:line="290"/>
      </w:pPr>
      <w:r>
        <w:rPr>
          <w:rFonts w:ascii="Calibri" w:cs="Calibri" w:eastAsia="Calibri" w:hAnsi="Calibri"/>
          <w:sz w:val="22"/>
          <w:szCs w:val="22"/>
        </w:rPr>
        <w:t xml:space="preserve">Repayment rate</w:t>
      </w:r>
    </w:p>
    <w:p>
      <w:pPr>
        <w:pStyle w:val="ListParagraph"/>
        <w:numPr>
          <w:ilvl w:val="0"/>
          <w:numId w:val="2"/>
        </w:numPr>
        <w:spacing w:after="60" w:before="40" w:line="290"/>
      </w:pPr>
      <w:r>
        <w:rPr>
          <w:rFonts w:ascii="Calibri" w:cs="Calibri" w:eastAsia="Calibri" w:hAnsi="Calibri"/>
          <w:sz w:val="22"/>
          <w:szCs w:val="22"/>
        </w:rPr>
        <w:t xml:space="preserve">Share of first-time borrowers among women and youth</w:t>
      </w:r>
    </w:p>
    <w:p>
      <w:pPr>
        <w:pStyle w:val="ListParagraph"/>
        <w:numPr>
          <w:ilvl w:val="0"/>
          <w:numId w:val="2"/>
        </w:numPr>
        <w:spacing w:after="60" w:before="40" w:line="290"/>
      </w:pPr>
      <w:r>
        <w:rPr>
          <w:rFonts w:ascii="Calibri" w:cs="Calibri" w:eastAsia="Calibri" w:hAnsi="Calibri"/>
          <w:b/>
          <w:bCs/>
          <w:sz w:val="22"/>
          <w:szCs w:val="22"/>
        </w:rPr>
        <w:t xml:space="preserve">What we will not claim</w:t>
      </w:r>
      <w:r>
        <w:rPr>
          <w:rFonts w:ascii="Calibri" w:cs="Calibri" w:eastAsia="Calibri" w:hAnsi="Calibri"/>
          <w:sz w:val="22"/>
          <w:szCs w:val="22"/>
        </w:rPr>
        <w:t xml:space="preserve"> — That we caused every linkage. We report attribution and contribution separately, per OECD-DAC guidance.</w:t>
      </w:r>
    </w:p>
    <w:p>
      <w:pPr>
        <w:spacing w:after="140" w:before="360"/>
      </w:pPr>
      <w:r>
        <w:rPr>
          <w:rFonts w:ascii="Calibri" w:cs="Calibri" w:eastAsia="Calibri" w:hAnsi="Calibri"/>
          <w:b/>
          <w:bCs/>
          <w:color w:val="1F4E79"/>
          <w:sz w:val="30"/>
          <w:szCs w:val="30"/>
        </w:rPr>
        <w:t xml:space="preserve">9. Indicators by country</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One row per country. Click a row → opens that country’s full results page.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tcW w:type="dxa" w:w="99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Country</w:t>
            </w:r>
          </w:p>
        </w:tc>
        <w:tc>
          <w:tcPr>
            <w:tcW w:type="dxa" w:w="19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Programme</w:t>
            </w:r>
          </w:p>
        </w:tc>
        <w:tc>
          <w:tcPr>
            <w:tcW w:type="dxa" w:w="19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Lead partner</w:t>
            </w:r>
          </w:p>
        </w:tc>
        <w:tc>
          <w:tcPr>
            <w:tcW w:type="dxa" w:w="99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SMEs</w:t>
            </w:r>
          </w:p>
        </w:tc>
        <w:tc>
          <w:tcPr>
            <w:tcW w:type="dxa" w:w="99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Farmers</w:t>
            </w:r>
          </w:p>
        </w:tc>
        <w:tc>
          <w:tcPr>
            <w:tcW w:type="dxa" w:w="99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tCO₂e</w:t>
            </w:r>
          </w:p>
        </w:tc>
        <w:tc>
          <w:tcPr>
            <w:tcW w:type="dxa" w:w="10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Verified</w:t>
            </w:r>
          </w:p>
        </w:tc>
      </w:tr>
      <w:tr>
        <w:trPr>
          <w:tblHeader w:val="false"/>
        </w:trPr>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Rwanda</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PAGES pilot, ICES design</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RCID-Rwanda</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10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date</w:t>
            </w:r>
          </w:p>
        </w:tc>
      </w:tr>
      <w:tr>
        <w:trPr>
          <w:tblHeader w:val="false"/>
        </w:trPr>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Kenya</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PAGES pilot, ICES design</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SEKU</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10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date</w:t>
            </w:r>
          </w:p>
        </w:tc>
      </w:tr>
      <w:tr>
        <w:trPr>
          <w:tblHeader w:val="false"/>
        </w:trPr>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Burundi</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PAGES scale-out</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Local coops + government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10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date</w:t>
            </w:r>
          </w:p>
        </w:tc>
      </w:tr>
      <w:tr>
        <w:trPr>
          <w:tblHeader w:val="false"/>
        </w:trPr>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DRC</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PAGES scale-out</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Local coops + ICGLR</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10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date</w:t>
            </w:r>
          </w:p>
        </w:tc>
      </w:tr>
      <w:tr>
        <w:trPr>
          <w:tblHeader w:val="false"/>
        </w:trPr>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Togo</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ICES pilot</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Terre des Jeunes Togo · Ripen</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tgt / act</w:t>
            </w:r>
          </w:p>
        </w:tc>
        <w:tc>
          <w:tcPr>
            <w:tcW w:type="dxa" w:w="10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date</w:t>
            </w:r>
          </w:p>
        </w:tc>
      </w:tr>
      <w:tr>
        <w:trPr>
          <w:tblHeader w:val="false"/>
        </w:trPr>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Canada</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HQ — programme mgmt, fundraising, data eng.</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SAICE · IFSS Inc. · McGill</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99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10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r>
    </w:tbl>
    <w:p>
      <w:pPr>
        <w:spacing w:after="140" w:before="360"/>
      </w:pPr>
      <w:r>
        <w:rPr>
          <w:rFonts w:ascii="Calibri" w:cs="Calibri" w:eastAsia="Calibri" w:hAnsi="Calibri"/>
          <w:b/>
          <w:bCs/>
          <w:color w:val="1F4E79"/>
          <w:sz w:val="30"/>
          <w:szCs w:val="30"/>
        </w:rPr>
        <w:t xml:space="preserve">10. SDG alignment and contribution</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How our numbers ladder up to global goals.</w:t>
      </w:r>
    </w:p>
    <w:p>
      <w:pPr>
        <w:spacing w:after="80" w:before="60" w:line="300"/>
      </w:pPr>
      <w:r>
        <w:rPr>
          <w:rFonts w:ascii="Calibri" w:cs="Calibri" w:eastAsia="Calibri" w:hAnsi="Calibri"/>
          <w:sz w:val="22"/>
          <w:szCs w:val="22"/>
        </w:rPr>
        <w:t xml:space="preserve">We do not claim to "achieve" SDGs. We report our contribution to specific targets, with the indicator we use to evidence that contribution.</w:t>
      </w:r>
    </w:p>
    <w:p>
      <w:pPr>
        <w:pStyle w:val="ListParagraph"/>
        <w:numPr>
          <w:ilvl w:val="0"/>
          <w:numId w:val="2"/>
        </w:numPr>
        <w:spacing w:after="60" w:before="40" w:line="290"/>
      </w:pPr>
      <w:r>
        <w:rPr>
          <w:rFonts w:ascii="Calibri" w:cs="Calibri" w:eastAsia="Calibri" w:hAnsi="Calibri"/>
          <w:b/>
          <w:bCs/>
          <w:sz w:val="22"/>
          <w:szCs w:val="22"/>
        </w:rPr>
        <w:t xml:space="preserve">Contribution table</w:t>
      </w:r>
      <w:r>
        <w:rPr>
          <w:rFonts w:ascii="Calibri" w:cs="Calibri" w:eastAsia="Calibri" w:hAnsi="Calibri"/>
          <w:sz w:val="22"/>
          <w:szCs w:val="22"/>
        </w:rPr>
        <w:t xml:space="preserve"> — SDG 1 (poverty), 2 (zero hunger), 5 (gender equality), 8 (decent work), 9 (industry, innovation, infrastructure), 10 (reduced inequalities), 13 (climate action), 17 (partnerships). For each: the specific SDG target, our indicator that contributes to it, current status.</w:t>
      </w:r>
    </w:p>
    <w:p>
      <w:pPr>
        <w:pStyle w:val="ListParagraph"/>
        <w:numPr>
          <w:ilvl w:val="0"/>
          <w:numId w:val="2"/>
        </w:numPr>
        <w:spacing w:after="60" w:before="40" w:line="290"/>
      </w:pPr>
      <w:r>
        <w:rPr>
          <w:rFonts w:ascii="Calibri" w:cs="Calibri" w:eastAsia="Calibri" w:hAnsi="Calibri"/>
          <w:b/>
          <w:bCs/>
          <w:sz w:val="22"/>
          <w:szCs w:val="22"/>
        </w:rPr>
        <w:t xml:space="preserve">Regional framework contribution</w:t>
      </w:r>
      <w:r>
        <w:rPr>
          <w:rFonts w:ascii="Calibri" w:cs="Calibri" w:eastAsia="Calibri" w:hAnsi="Calibri"/>
          <w:sz w:val="22"/>
          <w:szCs w:val="22"/>
        </w:rPr>
        <w:t xml:space="preserve"> — CAADP Kampala 2026–2035 indicators, AU Agenda 2063 milestones, Rwanda PSTA 5 targets, Kenya ASTGS targets, ICGLR transboundary indicators.</w:t>
      </w:r>
    </w:p>
    <w:p>
      <w:pPr>
        <w:spacing w:after="140" w:before="360"/>
      </w:pPr>
      <w:r>
        <w:rPr>
          <w:rFonts w:ascii="Calibri" w:cs="Calibri" w:eastAsia="Calibri" w:hAnsi="Calibri"/>
          <w:b/>
          <w:bCs/>
          <w:color w:val="1F4E79"/>
          <w:sz w:val="30"/>
          <w:szCs w:val="30"/>
        </w:rPr>
        <w:t xml:space="preserve">11. Annual reports and audited financials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The full picture, every year, audited.</w:t>
      </w:r>
    </w:p>
    <w:p>
      <w:pPr>
        <w:spacing w:after="20" w:before="100"/>
      </w:pPr>
      <w:r>
        <w:rPr>
          <w:rFonts w:ascii="Calibri" w:cs="Calibri" w:eastAsia="Calibri" w:hAnsi="Calibri"/>
          <w:b/>
          <w:bCs/>
          <w:color w:val="595959"/>
          <w:spacing w:val="30"/>
          <w:sz w:val="19"/>
          <w:szCs w:val="19"/>
        </w:rPr>
        <w:t xml:space="preserve">Downloads (per year, once available)</w:t>
      </w:r>
    </w:p>
    <w:p>
      <w:pPr>
        <w:pStyle w:val="ListParagraph"/>
        <w:numPr>
          <w:ilvl w:val="0"/>
          <w:numId w:val="2"/>
        </w:numPr>
        <w:spacing w:after="60" w:before="40" w:line="290"/>
      </w:pPr>
      <w:r>
        <w:rPr>
          <w:rFonts w:ascii="Calibri" w:cs="Calibri" w:eastAsia="Calibri" w:hAnsi="Calibri"/>
          <w:sz w:val="22"/>
          <w:szCs w:val="22"/>
        </w:rPr>
        <w:t xml:space="preserve">Annual impact report (narrative)</w:t>
      </w:r>
    </w:p>
    <w:p>
      <w:pPr>
        <w:pStyle w:val="ListParagraph"/>
        <w:numPr>
          <w:ilvl w:val="0"/>
          <w:numId w:val="2"/>
        </w:numPr>
        <w:spacing w:after="60" w:before="40" w:line="290"/>
      </w:pPr>
      <w:r>
        <w:rPr>
          <w:rFonts w:ascii="Calibri" w:cs="Calibri" w:eastAsia="Calibri" w:hAnsi="Calibri"/>
          <w:sz w:val="22"/>
          <w:szCs w:val="22"/>
        </w:rPr>
        <w:t xml:space="preserve">Audited financial statements — SAICE</w:t>
      </w:r>
    </w:p>
    <w:p>
      <w:pPr>
        <w:pStyle w:val="ListParagraph"/>
        <w:numPr>
          <w:ilvl w:val="0"/>
          <w:numId w:val="2"/>
        </w:numPr>
        <w:spacing w:after="60" w:before="40" w:line="290"/>
      </w:pPr>
      <w:r>
        <w:rPr>
          <w:rFonts w:ascii="Calibri" w:cs="Calibri" w:eastAsia="Calibri" w:hAnsi="Calibri"/>
          <w:sz w:val="22"/>
          <w:szCs w:val="22"/>
        </w:rPr>
        <w:t xml:space="preserve">Audited financial statements — IFSS Inc.</w:t>
      </w:r>
    </w:p>
    <w:p>
      <w:pPr>
        <w:pStyle w:val="ListParagraph"/>
        <w:numPr>
          <w:ilvl w:val="0"/>
          <w:numId w:val="2"/>
        </w:numPr>
        <w:spacing w:after="60" w:before="40" w:line="290"/>
      </w:pPr>
      <w:r>
        <w:rPr>
          <w:rFonts w:ascii="Calibri" w:cs="Calibri" w:eastAsia="Calibri" w:hAnsi="Calibri"/>
          <w:sz w:val="22"/>
          <w:szCs w:val="22"/>
        </w:rPr>
        <w:t xml:space="preserve">Consolidated note</w:t>
      </w:r>
    </w:p>
    <w:p>
      <w:pPr>
        <w:pStyle w:val="ListParagraph"/>
        <w:numPr>
          <w:ilvl w:val="0"/>
          <w:numId w:val="2"/>
        </w:numPr>
        <w:spacing w:after="60" w:before="40" w:line="290"/>
      </w:pPr>
      <w:r>
        <w:rPr>
          <w:rFonts w:ascii="Calibri" w:cs="Calibri" w:eastAsia="Calibri" w:hAnsi="Calibri"/>
          <w:sz w:val="22"/>
          <w:szCs w:val="22"/>
        </w:rPr>
        <w:t xml:space="preserve">CRA T3010 filing</w:t>
      </w:r>
    </w:p>
    <w:p>
      <w:pPr>
        <w:pStyle w:val="ListParagraph"/>
        <w:numPr>
          <w:ilvl w:val="0"/>
          <w:numId w:val="2"/>
        </w:numPr>
        <w:spacing w:after="60" w:before="40" w:line="290"/>
      </w:pPr>
      <w:r>
        <w:rPr>
          <w:rFonts w:ascii="Calibri" w:cs="Calibri" w:eastAsia="Calibri" w:hAnsi="Calibri"/>
          <w:sz w:val="22"/>
          <w:szCs w:val="22"/>
        </w:rPr>
        <w:t xml:space="preserve">Related-party transactions report</w:t>
      </w:r>
    </w:p>
    <w:p>
      <w:pPr>
        <w:pStyle w:val="ListParagraph"/>
        <w:numPr>
          <w:ilvl w:val="0"/>
          <w:numId w:val="2"/>
        </w:numPr>
        <w:spacing w:after="60" w:before="40" w:line="290"/>
      </w:pPr>
      <w:r>
        <w:rPr>
          <w:rFonts w:ascii="Calibri" w:cs="Calibri" w:eastAsia="Calibri" w:hAnsi="Calibri"/>
          <w:sz w:val="22"/>
          <w:szCs w:val="22"/>
        </w:rPr>
        <w:t xml:space="preserve">Donor list (with consent)</w:t>
      </w:r>
    </w:p>
    <w:p>
      <w:pPr>
        <w:pStyle w:val="ListParagraph"/>
        <w:numPr>
          <w:ilvl w:val="0"/>
          <w:numId w:val="2"/>
        </w:numPr>
        <w:spacing w:after="60" w:before="40" w:line="290"/>
      </w:pPr>
      <w:r>
        <w:rPr>
          <w:rFonts w:ascii="Calibri" w:cs="Calibri" w:eastAsia="Calibri" w:hAnsi="Calibri"/>
          <w:b/>
          <w:bCs/>
          <w:sz w:val="22"/>
          <w:szCs w:val="22"/>
        </w:rPr>
        <w:t xml:space="preserve">What is in the financial statements</w:t>
      </w:r>
      <w:r>
        <w:rPr>
          <w:rFonts w:ascii="Calibri" w:cs="Calibri" w:eastAsia="Calibri" w:hAnsi="Calibri"/>
          <w:sz w:val="22"/>
          <w:szCs w:val="22"/>
        </w:rPr>
        <w:t xml:space="preserve"> — Revenue by source, programme spend, MEAL spend, governance and overhead ratio, IFSS Inc. revenue share paid to SAICE, restricted versus unrestricted balances.</w:t>
      </w:r>
    </w:p>
    <w:p>
      <w:pPr>
        <w:pStyle w:val="ListParagraph"/>
        <w:numPr>
          <w:ilvl w:val="0"/>
          <w:numId w:val="2"/>
        </w:numPr>
        <w:spacing w:after="60" w:before="40" w:line="290"/>
      </w:pPr>
      <w:r>
        <w:rPr>
          <w:rFonts w:ascii="Calibri" w:cs="Calibri" w:eastAsia="Calibri" w:hAnsi="Calibri"/>
          <w:b/>
          <w:bCs/>
          <w:sz w:val="22"/>
          <w:szCs w:val="22"/>
        </w:rPr>
        <w:t xml:space="preserve">Independence of the auditor</w:t>
      </w:r>
      <w:r>
        <w:rPr>
          <w:rFonts w:ascii="Calibri" w:cs="Calibri" w:eastAsia="Calibri" w:hAnsi="Calibri"/>
          <w:sz w:val="22"/>
          <w:szCs w:val="22"/>
        </w:rPr>
        <w:t xml:space="preserve"> — Appointed by the board’s audit committee, ratified at the AGM, rotated per Canadian charity-sector best practice.</w:t>
      </w:r>
    </w:p>
    <w:p>
      <w:pPr>
        <w:spacing w:after="120" w:before="120" w:line="300"/>
      </w:pPr>
      <w:r>
        <w:rPr>
          <w:rFonts w:ascii="Calibri" w:cs="Calibri" w:eastAsia="Calibri" w:hAnsi="Calibri"/>
          <w:i/>
          <w:iCs/>
          <w:color w:val="595959"/>
          <w:sz w:val="22"/>
          <w:szCs w:val="22"/>
        </w:rPr>
        <w:t xml:space="preserve">Caption: "First audited cycle: fiscal year 2027. Pre-cycle reports (2026) cover incorporation, board formation, and CRA application."</w:t>
      </w:r>
    </w:p>
    <w:p>
      <w:pPr>
        <w:spacing w:after="140" w:before="360"/>
      </w:pPr>
      <w:r>
        <w:rPr>
          <w:rFonts w:ascii="Calibri" w:cs="Calibri" w:eastAsia="Calibri" w:hAnsi="Calibri"/>
          <w:b/>
          <w:bCs/>
          <w:color w:val="1F4E79"/>
          <w:sz w:val="30"/>
          <w:szCs w:val="30"/>
        </w:rPr>
        <w:t xml:space="preserve">12. Independent external evaluations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Not graded by ourselves.</w:t>
      </w:r>
    </w:p>
    <w:p>
      <w:pPr>
        <w:spacing w:after="80" w:before="60" w:line="300"/>
      </w:pPr>
      <w:r>
        <w:rPr>
          <w:rFonts w:ascii="Calibri" w:cs="Calibri" w:eastAsia="Calibri" w:hAnsi="Calibri"/>
          <w:sz w:val="22"/>
          <w:szCs w:val="22"/>
        </w:rPr>
        <w:t xml:space="preserve">At least three independent evaluations across the 2027–2029 cycle: a baseline study, a mid-term review, and an endline impact evaluation. Each is commissioned by SAICE, contracted to a firm with no prior IFSS Inc. or SAICE relationship, and published in full — including the parts we wish were different.</w:t>
      </w:r>
    </w:p>
    <w:p>
      <w:pPr>
        <w:pStyle w:val="ListParagraph"/>
        <w:numPr>
          <w:ilvl w:val="0"/>
          <w:numId w:val="2"/>
        </w:numPr>
        <w:spacing w:after="60" w:before="40" w:line="290"/>
      </w:pPr>
      <w:r>
        <w:rPr>
          <w:rFonts w:ascii="Calibri" w:cs="Calibri" w:eastAsia="Calibri" w:hAnsi="Calibri"/>
          <w:b/>
          <w:bCs/>
          <w:sz w:val="22"/>
          <w:szCs w:val="22"/>
        </w:rPr>
        <w:t xml:space="preserve">Standards</w:t>
      </w:r>
      <w:r>
        <w:rPr>
          <w:rFonts w:ascii="Calibri" w:cs="Calibri" w:eastAsia="Calibri" w:hAnsi="Calibri"/>
          <w:sz w:val="22"/>
          <w:szCs w:val="22"/>
        </w:rPr>
        <w:t xml:space="preserve"> — OECD-DAC criteria — relevance, coherence, effectiveness, efficiency, impact, sustainability. BetterEvaluation framework. Gender-equality and disability-inclusion markers per OECD-DAC.</w:t>
      </w:r>
    </w:p>
    <w:p>
      <w:pPr>
        <w:pStyle w:val="ListParagraph"/>
        <w:numPr>
          <w:ilvl w:val="0"/>
          <w:numId w:val="2"/>
        </w:numPr>
        <w:spacing w:after="60" w:before="40" w:line="290"/>
      </w:pPr>
      <w:r>
        <w:rPr>
          <w:rFonts w:ascii="Calibri" w:cs="Calibri" w:eastAsia="Calibri" w:hAnsi="Calibri"/>
          <w:b/>
          <w:bCs/>
          <w:sz w:val="22"/>
          <w:szCs w:val="22"/>
        </w:rPr>
        <w:t xml:space="preserve">What we publish</w:t>
      </w:r>
      <w:r>
        <w:rPr>
          <w:rFonts w:ascii="Calibri" w:cs="Calibri" w:eastAsia="Calibri" w:hAnsi="Calibri"/>
          <w:sz w:val="22"/>
          <w:szCs w:val="22"/>
        </w:rPr>
        <w:t xml:space="preserve"> — Full evaluation report, evaluator’s management response, SAICE’s response, action log with deadlines, follow-up status at the next quarter.</w:t>
      </w:r>
    </w:p>
    <w:p>
      <w:pPr>
        <w:spacing w:after="20" w:before="100"/>
      </w:pPr>
      <w:r>
        <w:rPr>
          <w:rFonts w:ascii="Calibri" w:cs="Calibri" w:eastAsia="Calibri" w:hAnsi="Calibri"/>
          <w:b/>
          <w:bCs/>
          <w:color w:val="595959"/>
          <w:spacing w:val="30"/>
          <w:sz w:val="19"/>
          <w:szCs w:val="19"/>
        </w:rPr>
        <w:t xml:space="preserve">Downloads (placeholders until first evaluation)</w:t>
      </w:r>
    </w:p>
    <w:p>
      <w:pPr>
        <w:pStyle w:val="ListParagraph"/>
        <w:numPr>
          <w:ilvl w:val="0"/>
          <w:numId w:val="2"/>
        </w:numPr>
        <w:spacing w:after="60" w:before="40" w:line="290"/>
      </w:pPr>
      <w:r>
        <w:rPr>
          <w:rFonts w:ascii="Calibri" w:cs="Calibri" w:eastAsia="Calibri" w:hAnsi="Calibri"/>
          <w:sz w:val="22"/>
          <w:szCs w:val="22"/>
        </w:rPr>
        <w:t xml:space="preserve">Baseline study (2027)</w:t>
      </w:r>
    </w:p>
    <w:p>
      <w:pPr>
        <w:pStyle w:val="ListParagraph"/>
        <w:numPr>
          <w:ilvl w:val="0"/>
          <w:numId w:val="2"/>
        </w:numPr>
        <w:spacing w:after="60" w:before="40" w:line="290"/>
      </w:pPr>
      <w:r>
        <w:rPr>
          <w:rFonts w:ascii="Calibri" w:cs="Calibri" w:eastAsia="Calibri" w:hAnsi="Calibri"/>
          <w:sz w:val="22"/>
          <w:szCs w:val="22"/>
        </w:rPr>
        <w:t xml:space="preserve">Mid-term review (2028)</w:t>
      </w:r>
    </w:p>
    <w:p>
      <w:pPr>
        <w:pStyle w:val="ListParagraph"/>
        <w:numPr>
          <w:ilvl w:val="0"/>
          <w:numId w:val="2"/>
        </w:numPr>
        <w:spacing w:after="60" w:before="40" w:line="290"/>
      </w:pPr>
      <w:r>
        <w:rPr>
          <w:rFonts w:ascii="Calibri" w:cs="Calibri" w:eastAsia="Calibri" w:hAnsi="Calibri"/>
          <w:sz w:val="22"/>
          <w:szCs w:val="22"/>
        </w:rPr>
        <w:t xml:space="preserve">Endline impact evaluation (2030)</w:t>
      </w:r>
    </w:p>
    <w:p>
      <w:pPr>
        <w:pStyle w:val="ListParagraph"/>
        <w:numPr>
          <w:ilvl w:val="0"/>
          <w:numId w:val="2"/>
        </w:numPr>
        <w:spacing w:after="60" w:before="40" w:line="290"/>
      </w:pPr>
      <w:r>
        <w:rPr>
          <w:rFonts w:ascii="Calibri" w:cs="Calibri" w:eastAsia="Calibri" w:hAnsi="Calibri"/>
          <w:b/>
          <w:bCs/>
          <w:sz w:val="22"/>
          <w:szCs w:val="22"/>
        </w:rPr>
        <w:t xml:space="preserve">Past learning</w:t>
      </w:r>
      <w:r>
        <w:rPr>
          <w:rFonts w:ascii="Calibri" w:cs="Calibri" w:eastAsia="Calibri" w:hAnsi="Calibri"/>
          <w:sz w:val="22"/>
          <w:szCs w:val="22"/>
        </w:rPr>
        <w:t xml:space="preserve"> — Findings carried forward from the GIAH/PAGES Rwanda pilot (2025–2026): what worked, what did not, what we changed.</w:t>
      </w:r>
    </w:p>
    <w:p>
      <w:pPr>
        <w:spacing w:after="140" w:before="360"/>
      </w:pPr>
      <w:r>
        <w:rPr>
          <w:rFonts w:ascii="Calibri" w:cs="Calibri" w:eastAsia="Calibri" w:hAnsi="Calibri"/>
          <w:b/>
          <w:bCs/>
          <w:color w:val="1F4E79"/>
          <w:sz w:val="30"/>
          <w:szCs w:val="30"/>
        </w:rPr>
        <w:t xml:space="preserve">13. Stories from the field</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The people behind the numbers.</w:t>
      </w:r>
    </w:p>
    <w:p>
      <w:pPr>
        <w:spacing w:after="80" w:before="60" w:line="300"/>
      </w:pPr>
      <w:r>
        <w:rPr>
          <w:rFonts w:ascii="Calibri" w:cs="Calibri" w:eastAsia="Calibri" w:hAnsi="Calibri"/>
          <w:sz w:val="22"/>
          <w:szCs w:val="22"/>
        </w:rPr>
        <w:t xml:space="preserve">Every quarter we publish at least four stories — written or filmed with the people whose lives the work touches, with consent on the record. Stories filter by country, programme, gender focus, and theme.</w:t>
      </w:r>
    </w:p>
    <w:p>
      <w:pPr>
        <w:spacing w:after="20" w:before="100"/>
      </w:pPr>
      <w:r>
        <w:rPr>
          <w:rFonts w:ascii="Calibri" w:cs="Calibri" w:eastAsia="Calibri" w:hAnsi="Calibri"/>
          <w:b/>
          <w:bCs/>
          <w:color w:val="595959"/>
          <w:spacing w:val="30"/>
          <w:sz w:val="19"/>
          <w:szCs w:val="19"/>
        </w:rPr>
        <w:t xml:space="preserve">Story tiles (launch set)</w:t>
      </w:r>
    </w:p>
    <w:p>
      <w:pPr>
        <w:pStyle w:val="ListParagraph"/>
        <w:numPr>
          <w:ilvl w:val="0"/>
          <w:numId w:val="2"/>
        </w:numPr>
        <w:spacing w:after="60" w:before="40" w:line="290"/>
      </w:pPr>
      <w:r>
        <w:rPr>
          <w:rFonts w:ascii="Calibri" w:cs="Calibri" w:eastAsia="Calibri" w:hAnsi="Calibri"/>
          <w:sz w:val="22"/>
          <w:szCs w:val="22"/>
        </w:rPr>
        <w:t xml:space="preserve">"Aline runs a 280-member maize cooperative in Musanze. Here is what the Smart Market Matchmaker changed for her quarter." (Rwanda · PAGES · women-led)</w:t>
      </w:r>
    </w:p>
    <w:p>
      <w:pPr>
        <w:pStyle w:val="ListParagraph"/>
        <w:numPr>
          <w:ilvl w:val="0"/>
          <w:numId w:val="2"/>
        </w:numPr>
        <w:spacing w:after="60" w:before="40" w:line="290"/>
      </w:pPr>
      <w:r>
        <w:rPr>
          <w:rFonts w:ascii="Calibri" w:cs="Calibri" w:eastAsia="Calibri" w:hAnsi="Calibri"/>
          <w:sz w:val="22"/>
          <w:szCs w:val="22"/>
        </w:rPr>
        <w:t xml:space="preserve">"From street pickers to a registered cooperative: a Lomé waste-sorting line one year in." (Togo · ICES · youth-led)</w:t>
      </w:r>
    </w:p>
    <w:p>
      <w:pPr>
        <w:pStyle w:val="ListParagraph"/>
        <w:numPr>
          <w:ilvl w:val="0"/>
          <w:numId w:val="2"/>
        </w:numPr>
        <w:spacing w:after="60" w:before="40" w:line="290"/>
      </w:pPr>
      <w:r>
        <w:rPr>
          <w:rFonts w:ascii="Calibri" w:cs="Calibri" w:eastAsia="Calibri" w:hAnsi="Calibri"/>
          <w:sz w:val="22"/>
          <w:szCs w:val="22"/>
        </w:rPr>
        <w:t xml:space="preserve">"Three things we got wrong on the GIAH pilot — and one we got right." (Cross-cutting · learning)</w:t>
      </w:r>
    </w:p>
    <w:p>
      <w:pPr>
        <w:pStyle w:val="ListParagraph"/>
        <w:numPr>
          <w:ilvl w:val="0"/>
          <w:numId w:val="2"/>
        </w:numPr>
        <w:spacing w:after="60" w:before="40" w:line="290"/>
      </w:pPr>
      <w:r>
        <w:rPr>
          <w:rFonts w:ascii="Calibri" w:cs="Calibri" w:eastAsia="Calibri" w:hAnsi="Calibri"/>
          <w:sz w:val="22"/>
          <w:szCs w:val="22"/>
        </w:rPr>
        <w:t xml:space="preserve">"What it costs to reach the last farmer." (Kenya · PAGES · methodology)</w:t>
      </w:r>
    </w:p>
    <w:p>
      <w:pPr>
        <w:pStyle w:val="ListParagraph"/>
        <w:numPr>
          <w:ilvl w:val="0"/>
          <w:numId w:val="2"/>
        </w:numPr>
        <w:spacing w:after="60" w:before="40" w:line="290"/>
      </w:pPr>
      <w:r>
        <w:rPr>
          <w:rFonts w:ascii="Calibri" w:cs="Calibri" w:eastAsia="Calibri" w:hAnsi="Calibri"/>
          <w:b/>
          <w:bCs/>
          <w:sz w:val="22"/>
          <w:szCs w:val="22"/>
        </w:rPr>
        <w:t xml:space="preserve">Editorial rules</w:t>
      </w:r>
      <w:r>
        <w:rPr>
          <w:rFonts w:ascii="Calibri" w:cs="Calibri" w:eastAsia="Calibri" w:hAnsi="Calibri"/>
          <w:sz w:val="22"/>
          <w:szCs w:val="22"/>
        </w:rPr>
        <w:t xml:space="preserve"> — Consent on record, plain language, no extractive photography, named with permission and pseudonymised by default, royalties or honoraria offered for all paid contributions.</w:t>
      </w:r>
    </w:p>
    <w:p>
      <w:pPr>
        <w:spacing w:after="80" w:before="60" w:line="300"/>
      </w:pPr>
      <w:r>
        <w:rPr>
          <w:rFonts w:ascii="Calibri" w:cs="Calibri" w:eastAsia="Calibri" w:hAnsi="Calibri"/>
          <w:sz w:val="22"/>
          <w:szCs w:val="22"/>
        </w:rPr>
        <w:t xml:space="preserve">CTAs: Browse all stories  ·  Subscribe to the quarterly story digest</w:t>
      </w:r>
    </w:p>
    <w:p>
      <w:pPr>
        <w:spacing w:after="140" w:before="360"/>
      </w:pPr>
      <w:r>
        <w:rPr>
          <w:rFonts w:ascii="Calibri" w:cs="Calibri" w:eastAsia="Calibri" w:hAnsi="Calibri"/>
          <w:b/>
          <w:bCs/>
          <w:color w:val="1F4E79"/>
          <w:sz w:val="30"/>
          <w:szCs w:val="30"/>
        </w:rPr>
        <w:t xml:space="preserve">14. What we got wrong — the learning agenda</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A public list of things we missed, and what we changed.</w:t>
      </w:r>
    </w:p>
    <w:p>
      <w:pPr>
        <w:spacing w:after="80" w:before="60" w:line="300"/>
      </w:pPr>
      <w:r>
        <w:rPr>
          <w:rFonts w:ascii="Calibri" w:cs="Calibri" w:eastAsia="Calibri" w:hAnsi="Calibri"/>
          <w:sz w:val="22"/>
          <w:szCs w:val="22"/>
        </w:rPr>
        <w:t xml:space="preserve">Most impact pages on the internet do not have this section. We do — because no honest donor believes a perfect track record.</w:t>
      </w:r>
    </w:p>
    <w:p>
      <w:pPr>
        <w:spacing w:after="20" w:before="100"/>
      </w:pPr>
      <w:r>
        <w:rPr>
          <w:rFonts w:ascii="Calibri" w:cs="Calibri" w:eastAsia="Calibri" w:hAnsi="Calibri"/>
          <w:b/>
          <w:bCs/>
          <w:color w:val="595959"/>
          <w:spacing w:val="30"/>
          <w:sz w:val="19"/>
          <w:szCs w:val="19"/>
        </w:rPr>
        <w:t xml:space="preserve">Worked example entry</w:t>
      </w:r>
    </w:p>
    <w:p>
      <w:pPr>
        <w:spacing w:after="120" w:before="120" w:line="300"/>
      </w:pPr>
      <w:r>
        <w:rPr>
          <w:rFonts w:ascii="Calibri" w:cs="Calibri" w:eastAsia="Calibri" w:hAnsi="Calibri"/>
          <w:i/>
          <w:iCs/>
          <w:color w:val="595959"/>
          <w:sz w:val="22"/>
          <w:szCs w:val="22"/>
        </w:rPr>
        <w:t xml:space="preserve">"During GIAH Rwanda pilot, our cooperative-onboarding survey under-represented female heads of household. We added a women-only enumerator team for round two; share rose from 31% to 58%. Cost: CAD 18,000 extra. Lesson now embedded in PAGES onboarding SOP v1.2."</w:t>
      </w:r>
    </w:p>
    <w:p>
      <w:pPr>
        <w:pStyle w:val="ListParagraph"/>
        <w:numPr>
          <w:ilvl w:val="0"/>
          <w:numId w:val="2"/>
        </w:numPr>
        <w:spacing w:after="60" w:before="40" w:line="290"/>
      </w:pPr>
      <w:r>
        <w:rPr>
          <w:rFonts w:ascii="Calibri" w:cs="Calibri" w:eastAsia="Calibri" w:hAnsi="Calibri"/>
          <w:b/>
          <w:bCs/>
          <w:sz w:val="22"/>
          <w:szCs w:val="22"/>
        </w:rPr>
        <w:t xml:space="preserve">Update cadence</w:t>
      </w:r>
      <w:r>
        <w:rPr>
          <w:rFonts w:ascii="Calibri" w:cs="Calibri" w:eastAsia="Calibri" w:hAnsi="Calibri"/>
          <w:sz w:val="22"/>
          <w:szCs w:val="22"/>
        </w:rPr>
        <w:t xml:space="preserve"> — At least one new entry per quarter. Older entries stay live with status updates ("still working on it" / "resolved" / "no longer relevant").</w:t>
      </w:r>
    </w:p>
    <w:p>
      <w:pPr>
        <w:spacing w:after="140" w:before="360"/>
      </w:pPr>
      <w:r>
        <w:rPr>
          <w:rFonts w:ascii="Calibri" w:cs="Calibri" w:eastAsia="Calibri" w:hAnsi="Calibri"/>
          <w:b/>
          <w:bCs/>
          <w:color w:val="1F4E79"/>
          <w:sz w:val="30"/>
          <w:szCs w:val="30"/>
        </w:rPr>
        <w:t xml:space="preserve">15. Open data and FAIR releases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Open by default, restricted only when ethics demand it.</w:t>
      </w:r>
    </w:p>
    <w:p>
      <w:pPr>
        <w:spacing w:after="80" w:before="60" w:line="300"/>
      </w:pPr>
      <w:r>
        <w:rPr>
          <w:rFonts w:ascii="Calibri" w:cs="Calibri" w:eastAsia="Calibri" w:hAnsi="Calibri"/>
          <w:sz w:val="22"/>
          <w:szCs w:val="22"/>
        </w:rPr>
        <w:t xml:space="preserve">Where the data is ours to release, it is FAIR — Findable, Accessible, Interoperable, Reusable. Where the data belongs to a cooperative, a partner, or an individual, release requires their explicit consent.</w:t>
      </w:r>
    </w:p>
    <w:p>
      <w:pPr>
        <w:pStyle w:val="ListParagraph"/>
        <w:numPr>
          <w:ilvl w:val="0"/>
          <w:numId w:val="2"/>
        </w:numPr>
        <w:spacing w:after="60" w:before="40" w:line="290"/>
      </w:pPr>
      <w:r>
        <w:rPr>
          <w:rFonts w:ascii="Calibri" w:cs="Calibri" w:eastAsia="Calibri" w:hAnsi="Calibri"/>
          <w:b/>
          <w:bCs/>
          <w:sz w:val="22"/>
          <w:szCs w:val="22"/>
        </w:rPr>
        <w:t xml:space="preserve">What is published</w:t>
      </w:r>
      <w:r>
        <w:rPr>
          <w:rFonts w:ascii="Calibri" w:cs="Calibri" w:eastAsia="Calibri" w:hAnsi="Calibri"/>
          <w:sz w:val="22"/>
          <w:szCs w:val="22"/>
        </w:rPr>
        <w:t xml:space="preserve"> — Aggregated, de-identified indicator data per quarter; model cards for PAGES and ICES ML components; geospatial layers we generate (cooperative footprints, waste-stream coverage) under open licences; methodology notes and indicator dictionary.</w:t>
      </w:r>
    </w:p>
    <w:p>
      <w:pPr>
        <w:pStyle w:val="ListParagraph"/>
        <w:numPr>
          <w:ilvl w:val="0"/>
          <w:numId w:val="2"/>
        </w:numPr>
        <w:spacing w:after="60" w:before="40" w:line="290"/>
      </w:pPr>
      <w:r>
        <w:rPr>
          <w:rFonts w:ascii="Calibri" w:cs="Calibri" w:eastAsia="Calibri" w:hAnsi="Calibri"/>
          <w:b/>
          <w:bCs/>
          <w:sz w:val="22"/>
          <w:szCs w:val="22"/>
        </w:rPr>
        <w:t xml:space="preserve">Licences</w:t>
      </w:r>
      <w:r>
        <w:rPr>
          <w:rFonts w:ascii="Calibri" w:cs="Calibri" w:eastAsia="Calibri" w:hAnsi="Calibri"/>
          <w:sz w:val="22"/>
          <w:szCs w:val="22"/>
        </w:rPr>
        <w:t xml:space="preserve"> — CC-BY 4.0 for data, Apache 2.0 for code, with carve-outs noted per dataset.</w:t>
      </w:r>
    </w:p>
    <w:p>
      <w:pPr>
        <w:spacing w:after="80" w:before="60" w:line="300"/>
      </w:pPr>
      <w:r>
        <w:rPr>
          <w:rFonts w:ascii="Calibri" w:cs="Calibri" w:eastAsia="Calibri" w:hAnsi="Calibri"/>
          <w:sz w:val="22"/>
          <w:szCs w:val="22"/>
        </w:rPr>
        <w:t xml:space="preserve">CTAs: Browse open datasets  ·  Browse open-source code repositories</w:t>
      </w:r>
    </w:p>
    <w:p>
      <w:pPr>
        <w:spacing w:after="140" w:before="360"/>
      </w:pPr>
      <w:r>
        <w:rPr>
          <w:rFonts w:ascii="Calibri" w:cs="Calibri" w:eastAsia="Calibri" w:hAnsi="Calibri"/>
          <w:b/>
          <w:bCs/>
          <w:color w:val="1F4E79"/>
          <w:sz w:val="30"/>
          <w:szCs w:val="30"/>
        </w:rPr>
        <w:t xml:space="preserve">16. Verification and audit chain</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A simple linear visual.</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19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Step</w:t>
            </w:r>
          </w:p>
        </w:tc>
        <w:tc>
          <w:tcPr>
            <w:tcW w:type="dxa" w:w="342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Who does it</w:t>
            </w:r>
          </w:p>
        </w:tc>
        <w:tc>
          <w:tcPr>
            <w:tcW w:type="dxa" w:w="360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What it produces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1. Field data</w:t>
            </w:r>
          </w:p>
        </w:tc>
        <w:tc>
          <w:tcPr>
            <w:tcW w:type="dxa" w:w="342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Cooperative members, enumerators, IoT devices</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Raw observations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2. Cooperative attestation</w:t>
            </w:r>
          </w:p>
        </w:tc>
        <w:tc>
          <w:tcPr>
            <w:tcW w:type="dxa" w:w="342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Cooperative manager + community committee</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Signed cooperative record</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3. IFSS field QA</w:t>
            </w:r>
          </w:p>
        </w:tc>
        <w:tc>
          <w:tcPr>
            <w:tcW w:type="dxa" w:w="342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IFSS country MEAL officer</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Cleaned, source-verified data</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4. MEAL central QA</w:t>
            </w:r>
          </w:p>
        </w:tc>
        <w:tc>
          <w:tcPr>
            <w:tcW w:type="dxa" w:w="342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SAICE MEAL lead + data team</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Indicator-level QA report</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5. External evaluator</w:t>
            </w:r>
          </w:p>
        </w:tc>
        <w:tc>
          <w:tcPr>
            <w:tcW w:type="dxa" w:w="342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Independent firm, OECD-DAC qualified</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Verified indicator pack + findings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6. Audit committee</w:t>
            </w:r>
          </w:p>
        </w:tc>
        <w:tc>
          <w:tcPr>
            <w:tcW w:type="dxa" w:w="342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SAICE board audit &amp; risk committee</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Sign-off for publication</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7. Public dashboard</w:t>
            </w:r>
          </w:p>
        </w:tc>
        <w:tc>
          <w:tcPr>
            <w:tcW w:type="dxa" w:w="342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SAICE communications</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Live numbers on /impact</w:t>
            </w:r>
          </w:p>
        </w:tc>
      </w:tr>
    </w:tbl>
    <w:p>
      <w:pPr>
        <w:spacing w:after="120" w:before="120" w:line="300"/>
      </w:pPr>
      <w:r>
        <w:rPr>
          <w:rFonts w:ascii="Calibri" w:cs="Calibri" w:eastAsia="Calibri" w:hAnsi="Calibri"/>
          <w:i/>
          <w:iCs/>
          <w:color w:val="595959"/>
          <w:sz w:val="22"/>
          <w:szCs w:val="22"/>
        </w:rPr>
        <w:t xml:space="preserve">Caption: "Every number on this page passes through this chain before it goes live."</w:t>
      </w:r>
    </w:p>
    <w:p>
      <w:pPr>
        <w:spacing w:after="140" w:before="360"/>
      </w:pPr>
      <w:r>
        <w:rPr>
          <w:rFonts w:ascii="Calibri" w:cs="Calibri" w:eastAsia="Calibri" w:hAnsi="Calibri"/>
          <w:b/>
          <w:bCs/>
          <w:color w:val="1F4E79"/>
          <w:sz w:val="30"/>
          <w:szCs w:val="30"/>
        </w:rPr>
        <w:t xml:space="preserve">17. Engage with the impact work</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Three ways to engage with our results.</w:t>
      </w:r>
    </w:p>
    <w:p>
      <w:pPr>
        <w:pStyle w:val="ListParagraph"/>
        <w:numPr>
          <w:ilvl w:val="0"/>
          <w:numId w:val="2"/>
        </w:numPr>
        <w:spacing w:after="60" w:before="40" w:line="290"/>
      </w:pPr>
      <w:r>
        <w:rPr>
          <w:rFonts w:ascii="Calibri" w:cs="Calibri" w:eastAsia="Calibri" w:hAnsi="Calibri"/>
          <w:b/>
          <w:bCs/>
          <w:sz w:val="22"/>
          <w:szCs w:val="22"/>
        </w:rPr>
        <w:t xml:space="preserve">Donate</w:t>
      </w:r>
      <w:r>
        <w:rPr>
          <w:rFonts w:ascii="Calibri" w:cs="Calibri" w:eastAsia="Calibri" w:hAnsi="Calibri"/>
          <w:sz w:val="22"/>
          <w:szCs w:val="22"/>
        </w:rPr>
        <w:t xml:space="preserve"> — A tax-receipted gift to SAICE. Funds programme delivery, not overheads. CTA: Donate now →</w:t>
      </w:r>
    </w:p>
    <w:p>
      <w:pPr>
        <w:pStyle w:val="ListParagraph"/>
        <w:numPr>
          <w:ilvl w:val="0"/>
          <w:numId w:val="2"/>
        </w:numPr>
        <w:spacing w:after="60" w:before="40" w:line="290"/>
      </w:pPr>
      <w:r>
        <w:rPr>
          <w:rFonts w:ascii="Calibri" w:cs="Calibri" w:eastAsia="Calibri" w:hAnsi="Calibri"/>
          <w:b/>
          <w:bCs/>
          <w:sz w:val="22"/>
          <w:szCs w:val="22"/>
        </w:rPr>
        <w:t xml:space="preserve">Evaluate us</w:t>
      </w:r>
      <w:r>
        <w:rPr>
          <w:rFonts w:ascii="Calibri" w:cs="Calibri" w:eastAsia="Calibri" w:hAnsi="Calibri"/>
          <w:sz w:val="22"/>
          <w:szCs w:val="22"/>
        </w:rPr>
        <w:t xml:space="preserve"> — Researchers, M&amp;E firms, universities — we welcome unsolicited evaluation proposals. CTA: Propose an evaluation →</w:t>
      </w:r>
    </w:p>
    <w:p>
      <w:pPr>
        <w:pStyle w:val="ListParagraph"/>
        <w:numPr>
          <w:ilvl w:val="0"/>
          <w:numId w:val="2"/>
        </w:numPr>
        <w:spacing w:after="60" w:before="40" w:line="290"/>
      </w:pPr>
      <w:r>
        <w:rPr>
          <w:rFonts w:ascii="Calibri" w:cs="Calibri" w:eastAsia="Calibri" w:hAnsi="Calibri"/>
          <w:b/>
          <w:bCs/>
          <w:sz w:val="22"/>
          <w:szCs w:val="22"/>
        </w:rPr>
        <w:t xml:space="preserve">Reuse our data</w:t>
      </w:r>
      <w:r>
        <w:rPr>
          <w:rFonts w:ascii="Calibri" w:cs="Calibri" w:eastAsia="Calibri" w:hAnsi="Calibri"/>
          <w:sz w:val="22"/>
          <w:szCs w:val="22"/>
        </w:rPr>
        <w:t xml:space="preserve"> — Data scientists, researchers, NGOs — pull the open datasets, cite SAICE, send us what you find. CTA: Open the data portal →</w:t>
      </w:r>
    </w:p>
    <w:p>
      <w:pPr>
        <w:spacing w:after="140" w:before="360"/>
      </w:pPr>
      <w:r>
        <w:rPr>
          <w:rFonts w:ascii="Calibri" w:cs="Calibri" w:eastAsia="Calibri" w:hAnsi="Calibri"/>
          <w:b/>
          <w:bCs/>
          <w:color w:val="1F4E79"/>
          <w:sz w:val="30"/>
          <w:szCs w:val="30"/>
        </w:rPr>
        <w:t xml:space="preserve">18. Microcopy bank</w:t>
      </w:r>
    </w:p>
    <w:p>
      <w:pPr>
        <w:pStyle w:val="ListParagraph"/>
        <w:numPr>
          <w:ilvl w:val="0"/>
          <w:numId w:val="2"/>
        </w:numPr>
        <w:spacing w:after="60" w:before="40" w:line="290"/>
      </w:pPr>
      <w:r>
        <w:rPr>
          <w:rFonts w:ascii="Calibri" w:cs="Calibri" w:eastAsia="Calibri" w:hAnsi="Calibri"/>
          <w:b/>
          <w:bCs/>
          <w:sz w:val="22"/>
          <w:szCs w:val="22"/>
        </w:rPr>
        <w:t xml:space="preserve">Number-tile hover</w:t>
      </w:r>
      <w:r>
        <w:rPr>
          <w:rFonts w:ascii="Calibri" w:cs="Calibri" w:eastAsia="Calibri" w:hAnsi="Calibri"/>
          <w:sz w:val="22"/>
          <w:szCs w:val="22"/>
        </w:rPr>
        <w:t xml:space="preserve"> — "Hover to see definition, source, last verified date, and known limits."</w:t>
      </w:r>
    </w:p>
    <w:p>
      <w:pPr>
        <w:pStyle w:val="ListParagraph"/>
        <w:numPr>
          <w:ilvl w:val="0"/>
          <w:numId w:val="2"/>
        </w:numPr>
        <w:spacing w:after="60" w:before="40" w:line="290"/>
      </w:pPr>
      <w:r>
        <w:rPr>
          <w:rFonts w:ascii="Calibri" w:cs="Calibri" w:eastAsia="Calibri" w:hAnsi="Calibri"/>
          <w:b/>
          <w:bCs/>
          <w:sz w:val="22"/>
          <w:szCs w:val="22"/>
        </w:rPr>
        <w:t xml:space="preserve">Variance band</w:t>
      </w:r>
      <w:r>
        <w:rPr>
          <w:rFonts w:ascii="Calibri" w:cs="Calibri" w:eastAsia="Calibri" w:hAnsi="Calibri"/>
          <w:sz w:val="22"/>
          <w:szCs w:val="22"/>
        </w:rPr>
        <w:t xml:space="preserve"> — "Green ≥ 90% of target. Amber 70–89%. Red below 70%. We publish all three colours."</w:t>
      </w:r>
    </w:p>
    <w:p>
      <w:pPr>
        <w:pStyle w:val="ListParagraph"/>
        <w:numPr>
          <w:ilvl w:val="0"/>
          <w:numId w:val="2"/>
        </w:numPr>
        <w:spacing w:after="60" w:before="40" w:line="290"/>
      </w:pPr>
      <w:r>
        <w:rPr>
          <w:rFonts w:ascii="Calibri" w:cs="Calibri" w:eastAsia="Calibri" w:hAnsi="Calibri"/>
          <w:b/>
          <w:bCs/>
          <w:sz w:val="22"/>
          <w:szCs w:val="22"/>
        </w:rPr>
        <w:t xml:space="preserve">Story-tile tag</w:t>
      </w:r>
      <w:r>
        <w:rPr>
          <w:rFonts w:ascii="Calibri" w:cs="Calibri" w:eastAsia="Calibri" w:hAnsi="Calibri"/>
          <w:sz w:val="22"/>
          <w:szCs w:val="22"/>
        </w:rPr>
        <w:t xml:space="preserve"> — "Click to read or watch. Consent on file."</w:t>
      </w:r>
    </w:p>
    <w:p>
      <w:pPr>
        <w:pStyle w:val="ListParagraph"/>
        <w:numPr>
          <w:ilvl w:val="0"/>
          <w:numId w:val="2"/>
        </w:numPr>
        <w:spacing w:after="60" w:before="40" w:line="290"/>
      </w:pPr>
      <w:r>
        <w:rPr>
          <w:rFonts w:ascii="Calibri" w:cs="Calibri" w:eastAsia="Calibri" w:hAnsi="Calibri"/>
          <w:b/>
          <w:bCs/>
          <w:sz w:val="22"/>
          <w:szCs w:val="22"/>
        </w:rPr>
        <w:t xml:space="preserve">Methodology tooltip</w:t>
      </w:r>
      <w:r>
        <w:rPr>
          <w:rFonts w:ascii="Calibri" w:cs="Calibri" w:eastAsia="Calibri" w:hAnsi="Calibri"/>
          <w:sz w:val="22"/>
          <w:szCs w:val="22"/>
        </w:rPr>
        <w:t xml:space="preserve"> — "Click any indicator label to open its one-page entry in the dictionary."</w:t>
      </w:r>
    </w:p>
    <w:p>
      <w:pPr>
        <w:pStyle w:val="ListParagraph"/>
        <w:numPr>
          <w:ilvl w:val="0"/>
          <w:numId w:val="2"/>
        </w:numPr>
        <w:spacing w:after="60" w:before="40" w:line="290"/>
      </w:pPr>
      <w:r>
        <w:rPr>
          <w:rFonts w:ascii="Calibri" w:cs="Calibri" w:eastAsia="Calibri" w:hAnsi="Calibri"/>
          <w:b/>
          <w:bCs/>
          <w:sz w:val="22"/>
          <w:szCs w:val="22"/>
        </w:rPr>
        <w:t xml:space="preserve">Evaluation download</w:t>
      </w:r>
      <w:r>
        <w:rPr>
          <w:rFonts w:ascii="Calibri" w:cs="Calibri" w:eastAsia="Calibri" w:hAnsi="Calibri"/>
          <w:sz w:val="22"/>
          <w:szCs w:val="22"/>
        </w:rPr>
        <w:t xml:space="preserve"> — "Includes the parts we wish were different."</w:t>
      </w:r>
    </w:p>
    <w:p>
      <w:pPr>
        <w:spacing w:after="140" w:before="360"/>
      </w:pPr>
      <w:r>
        <w:rPr>
          <w:rFonts w:ascii="Calibri" w:cs="Calibri" w:eastAsia="Calibri" w:hAnsi="Calibri"/>
          <w:b/>
          <w:bCs/>
          <w:color w:val="1F4E79"/>
          <w:sz w:val="30"/>
          <w:szCs w:val="30"/>
        </w:rPr>
        <w:t xml:space="preserve">19. SEO meta block</w:t>
      </w:r>
    </w:p>
    <w:p>
      <w:pPr>
        <w:pStyle w:val="ListParagraph"/>
        <w:numPr>
          <w:ilvl w:val="0"/>
          <w:numId w:val="2"/>
        </w:numPr>
        <w:spacing w:after="60" w:before="40" w:line="290"/>
      </w:pPr>
      <w:r>
        <w:rPr>
          <w:rFonts w:ascii="Calibri" w:cs="Calibri" w:eastAsia="Calibri" w:hAnsi="Calibri"/>
          <w:b/>
          <w:bCs/>
          <w:sz w:val="22"/>
          <w:szCs w:val="22"/>
        </w:rPr>
        <w:t xml:space="preserve">Primary keywords</w:t>
      </w:r>
      <w:r>
        <w:rPr>
          <w:rFonts w:ascii="Calibri" w:cs="Calibri" w:eastAsia="Calibri" w:hAnsi="Calibri"/>
          <w:sz w:val="22"/>
          <w:szCs w:val="22"/>
        </w:rPr>
        <w:t xml:space="preserve"> — SAICE impact dashboard · IFSS impact report · PAGES Rwanda results · ICES Togo results · audited NGO Canada · external evaluation Great Lakes · OECD-DAC evaluation · open data agriculture Africa · MRV carbon Africa.</w:t>
      </w:r>
    </w:p>
    <w:p>
      <w:pPr>
        <w:pStyle w:val="ListParagraph"/>
        <w:numPr>
          <w:ilvl w:val="0"/>
          <w:numId w:val="2"/>
        </w:numPr>
        <w:spacing w:after="60" w:before="40" w:line="290"/>
      </w:pPr>
      <w:r>
        <w:rPr>
          <w:rFonts w:ascii="Calibri" w:cs="Calibri" w:eastAsia="Calibri" w:hAnsi="Calibri"/>
          <w:b/>
          <w:bCs/>
          <w:sz w:val="22"/>
          <w:szCs w:val="22"/>
        </w:rPr>
        <w:t xml:space="preserve">Schema markup</w:t>
      </w:r>
      <w:r>
        <w:rPr>
          <w:rFonts w:ascii="Calibri" w:cs="Calibri" w:eastAsia="Calibri" w:hAnsi="Calibri"/>
          <w:sz w:val="22"/>
          <w:szCs w:val="22"/>
        </w:rPr>
        <w:t xml:space="preserve"> — Dataset (for open data), Report (for annual reports), Organization (SAICE), Article (for stories), FAQPage if FAQ added later.</w:t>
      </w:r>
    </w:p>
    <w:p>
      <w:pPr>
        <w:pStyle w:val="ListParagraph"/>
        <w:numPr>
          <w:ilvl w:val="0"/>
          <w:numId w:val="2"/>
        </w:numPr>
        <w:spacing w:after="60" w:before="40" w:line="290"/>
      </w:pPr>
      <w:r>
        <w:rPr>
          <w:rFonts w:ascii="Calibri" w:cs="Calibri" w:eastAsia="Calibri" w:hAnsi="Calibri"/>
          <w:b/>
          <w:bCs/>
          <w:sz w:val="22"/>
          <w:szCs w:val="22"/>
        </w:rPr>
        <w:t xml:space="preserve">Internal links</w:t>
      </w:r>
      <w:r>
        <w:rPr>
          <w:rFonts w:ascii="Calibri" w:cs="Calibri" w:eastAsia="Calibri" w:hAnsi="Calibri"/>
          <w:sz w:val="22"/>
          <w:szCs w:val="22"/>
        </w:rPr>
        <w:t xml:space="preserve"> — Programs → PAGES, Programs → ICES, About → How we are structured, Governance &amp; Transparency, Resources → Publications, Resources → Datasets and code.</w:t>
      </w:r>
    </w:p>
    <w:p>
      <w:pPr>
        <w:pStyle w:val="ListParagraph"/>
        <w:numPr>
          <w:ilvl w:val="0"/>
          <w:numId w:val="2"/>
        </w:numPr>
        <w:spacing w:after="60" w:before="40" w:line="290"/>
      </w:pPr>
      <w:r>
        <w:rPr>
          <w:rFonts w:ascii="Calibri" w:cs="Calibri" w:eastAsia="Calibri" w:hAnsi="Calibri"/>
          <w:b/>
          <w:bCs/>
          <w:sz w:val="22"/>
          <w:szCs w:val="22"/>
        </w:rPr>
        <w:t xml:space="preserve">External outbound</w:t>
      </w:r>
      <w:r>
        <w:rPr>
          <w:rFonts w:ascii="Calibri" w:cs="Calibri" w:eastAsia="Calibri" w:hAnsi="Calibri"/>
          <w:sz w:val="22"/>
          <w:szCs w:val="22"/>
        </w:rPr>
        <w:t xml:space="preserve"> — Evaluator websites (nofollow until cleared), OECD-DAC, BetterEvaluation, FAIR principles, MRV standard pages.</w:t>
      </w:r>
    </w:p>
    <w:p>
      <w:pPr>
        <w:pStyle w:val="ListParagraph"/>
        <w:numPr>
          <w:ilvl w:val="0"/>
          <w:numId w:val="2"/>
        </w:numPr>
        <w:spacing w:after="60" w:before="40" w:line="290"/>
      </w:pPr>
      <w:r>
        <w:rPr>
          <w:rFonts w:ascii="Calibri" w:cs="Calibri" w:eastAsia="Calibri" w:hAnsi="Calibri"/>
          <w:b/>
          <w:bCs/>
          <w:sz w:val="22"/>
          <w:szCs w:val="22"/>
        </w:rPr>
        <w:t xml:space="preserve">Hreflang</w:t>
      </w:r>
      <w:r>
        <w:rPr>
          <w:rFonts w:ascii="Calibri" w:cs="Calibri" w:eastAsia="Calibri" w:hAnsi="Calibri"/>
          <w:sz w:val="22"/>
          <w:szCs w:val="22"/>
        </w:rPr>
        <w:t xml:space="preserve"> — en-CA (default), fr-CA, fr-RW, en-KE, fr-BI, fr-CD, fr-TG; rw-RW on full platform launch.</w:t>
      </w:r>
    </w:p>
    <w:p>
      <w:pPr>
        <w:spacing w:after="140" w:before="360"/>
      </w:pPr>
      <w:r>
        <w:rPr>
          <w:rFonts w:ascii="Calibri" w:cs="Calibri" w:eastAsia="Calibri" w:hAnsi="Calibri"/>
          <w:b/>
          <w:bCs/>
          <w:color w:val="1F4E79"/>
          <w:sz w:val="30"/>
          <w:szCs w:val="30"/>
        </w:rPr>
        <w:t xml:space="preserve">20. Quick checklist before publishing</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Indicator dictionary signed off by MEAL lead and external evaluator.</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Number tiles connected to the live data source; "last refreshed" stamps automatic.</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Variance bands (green / amber / red) tested with sample data.</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Country table updated whenever a pilot or scale-out lands.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Audit chain diagram reviewed by audit committee chair.</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Stories cleared in writing by every named participant; payment receipts archived.</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"What we got wrong" entry refreshed at least once per quarter.</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Open-data licences and citation strings checked for each dataset.</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Page mirrored in French; Kinyarwanda summary block at minimum; full mirror at phase 2.</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WCAG 2.2 AA contrast verified across number tiles, tables, charts and badges.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Lighthouse score ≥ 90 on mobile and desktop.</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Old /our-work URL 301-redirected to /impact (or to /case-studies if kept separate).</w:t>
      </w:r>
    </w:p>
    <w:sectPr>
      <w:headerReference w:type="default" r:id="rId7"/>
      <w:footerReference w:type="default" r:id="rId8"/>
      <w:pgSz w:w="12240" w:h="15840"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b/>
        <w:bCs/>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b/>
        <w:bC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SAICE / IFSS — Impact Page Content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2026-05-22T21:13:28.429Z</dcterms:created>
  <dcterms:modified xsi:type="dcterms:W3CDTF">2026-05-22T21:13:28.429Z</dcterms:modified>
</cp:coreProperties>
</file>

<file path=docProps/custom.xml><?xml version="1.0" encoding="utf-8"?>
<Properties xmlns="http://schemas.openxmlformats.org/officeDocument/2006/custom-properties" xmlns:vt="http://schemas.openxmlformats.org/officeDocument/2006/docPropsVTypes"/>
</file>