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595959"/>
          <w:spacing w:val="80"/>
          <w:sz w:val="22"/>
          <w:szCs w:val="22"/>
        </w:rPr>
        <w:t xml:space="preserve">PROGRAMS PAGE CONTENT</w:t>
      </w:r>
    </w:p>
    <w:p>
      <w:pPr>
        <w:spacing w:after="200" w:before="100"/>
        <w:jc w:val="center"/>
      </w:pPr>
      <w:r>
        <w:rPr>
          <w:rFonts w:ascii="Calibri" w:cs="Calibri" w:eastAsia="Calibri" w:hAnsi="Calibri"/>
          <w:b/>
          <w:bCs/>
          <w:color w:val="1F4E79"/>
          <w:sz w:val="44"/>
          <w:szCs w:val="44"/>
        </w:rPr>
        <w:t xml:space="preserve">ifssgoal.org — Programs</w:t>
      </w:r>
    </w:p>
    <w:p>
      <w:pPr>
        <w:spacing w:after="200" w:before="0"/>
        <w:jc w:val="center"/>
      </w:pPr>
      <w:r>
        <w:rPr>
          <w:rFonts w:ascii="Calibri" w:cs="Calibri" w:eastAsia="Calibri" w:hAnsi="Calibri"/>
          <w:b/>
          <w:bCs/>
          <w:color w:val="1F4E79"/>
          <w:sz w:val="26"/>
          <w:szCs w:val="26"/>
        </w:rPr>
        <w:t xml:space="preserve">SAICE · PAGES + ICES</w:t>
      </w:r>
    </w:p>
    <w:p>
      <w:pPr>
        <w:spacing w:after="200" w:before="0"/>
        <w:jc w:val="center"/>
      </w:pPr>
      <w:r>
        <w:rPr>
          <w:rFonts w:ascii="Calibri" w:cs="Calibri" w:eastAsia="Calibri" w:hAnsi="Calibri"/>
          <w:i/>
          <w:iCs/>
          <w:color w:val="2E7D5B"/>
          <w:sz w:val="24"/>
          <w:szCs w:val="24"/>
        </w:rPr>
        <w:t xml:space="preserve">Ready-to-set copy for the new Programs hub</w:t>
      </w:r>
    </w:p>
    <w:p>
      <w:pPr>
        <w:spacing w:before="4200"/>
        <w:jc w:val="center"/>
      </w:pPr>
      <w:r>
        <w:rPr>
          <w:rFonts w:ascii="Calibri" w:cs="Calibri" w:eastAsia="Calibri" w:hAnsi="Calibri"/>
          <w:color w:val="595959"/>
          <w:sz w:val="20"/>
          <w:szCs w:val="20"/>
        </w:rPr>
        <w:t xml:space="preserve">SAICE · IFSS Inc.   ·   May 2026</w:t>
      </w:r>
    </w:p>
    <w:p>
      <w:r>
        <w:br w:type="page"/>
      </w:r>
    </w:p>
    <w:p>
      <w:pPr>
        <w:spacing w:after="140" w:before="360"/>
      </w:pPr>
      <w:r>
        <w:rPr>
          <w:rFonts w:ascii="Calibri" w:cs="Calibri" w:eastAsia="Calibri" w:hAnsi="Calibri"/>
          <w:b/>
          <w:bCs/>
          <w:color w:val="1F4E79"/>
          <w:sz w:val="30"/>
          <w:szCs w:val="30"/>
        </w:rPr>
        <w:t xml:space="preserve">1. Page metadata</w:t>
      </w:r>
    </w:p>
    <w:p>
      <w:pPr>
        <w:pStyle w:val="ListParagraph"/>
        <w:numPr>
          <w:ilvl w:val="0"/>
          <w:numId w:val="2"/>
        </w:numPr>
        <w:spacing w:after="60" w:before="40" w:line="290"/>
      </w:pPr>
      <w:r>
        <w:rPr>
          <w:rFonts w:ascii="Calibri" w:cs="Calibri" w:eastAsia="Calibri" w:hAnsi="Calibri"/>
          <w:b/>
          <w:bCs/>
          <w:sz w:val="22"/>
          <w:szCs w:val="22"/>
        </w:rPr>
        <w:t xml:space="preserve">URL</w:t>
      </w:r>
      <w:r>
        <w:rPr>
          <w:rFonts w:ascii="Calibri" w:cs="Calibri" w:eastAsia="Calibri" w:hAnsi="Calibri"/>
          <w:sz w:val="22"/>
          <w:szCs w:val="22"/>
        </w:rPr>
        <w:t xml:space="preserve"> — /programs</w:t>
      </w:r>
    </w:p>
    <w:p>
      <w:pPr>
        <w:pStyle w:val="ListParagraph"/>
        <w:numPr>
          <w:ilvl w:val="0"/>
          <w:numId w:val="2"/>
        </w:numPr>
        <w:spacing w:after="60" w:before="40" w:line="290"/>
      </w:pPr>
      <w:r>
        <w:rPr>
          <w:rFonts w:ascii="Calibri" w:cs="Calibri" w:eastAsia="Calibri" w:hAnsi="Calibri"/>
          <w:b/>
          <w:bCs/>
          <w:sz w:val="22"/>
          <w:szCs w:val="22"/>
        </w:rPr>
        <w:t xml:space="preserve">Title tag</w:t>
      </w:r>
      <w:r>
        <w:rPr>
          <w:rFonts w:ascii="Calibri" w:cs="Calibri" w:eastAsia="Calibri" w:hAnsi="Calibri"/>
          <w:sz w:val="22"/>
          <w:szCs w:val="22"/>
        </w:rPr>
        <w:t xml:space="preserve"> — Programs — PAGES and ICES · SAICE &amp; IFSS</w:t>
      </w:r>
    </w:p>
    <w:p>
      <w:pPr>
        <w:pStyle w:val="ListParagraph"/>
        <w:numPr>
          <w:ilvl w:val="0"/>
          <w:numId w:val="2"/>
        </w:numPr>
        <w:spacing w:after="60" w:before="40" w:line="290"/>
      </w:pPr>
      <w:r>
        <w:rPr>
          <w:rFonts w:ascii="Calibri" w:cs="Calibri" w:eastAsia="Calibri" w:hAnsi="Calibri"/>
          <w:b/>
          <w:bCs/>
          <w:sz w:val="22"/>
          <w:szCs w:val="22"/>
        </w:rPr>
        <w:t xml:space="preserve">Meta description</w:t>
      </w:r>
      <w:r>
        <w:rPr>
          <w:rFonts w:ascii="Calibri" w:cs="Calibri" w:eastAsia="Calibri" w:hAnsi="Calibri"/>
          <w:sz w:val="22"/>
          <w:szCs w:val="22"/>
        </w:rPr>
        <w:t xml:space="preserve"> — Two complementary programmes from SAICE and IFSS Inc. PAGES brings precision agriculture and market access to small farms in Rwanda, Kenya, Burundi and DRC. ICES turns waste into livelihoods and verified climate finance, piloting in Togo. Built on one shared digital backbone.</w:t>
      </w:r>
    </w:p>
    <w:p>
      <w:pPr>
        <w:pStyle w:val="ListParagraph"/>
        <w:numPr>
          <w:ilvl w:val="0"/>
          <w:numId w:val="2"/>
        </w:numPr>
        <w:spacing w:after="60" w:before="40" w:line="290"/>
      </w:pPr>
      <w:r>
        <w:rPr>
          <w:rFonts w:ascii="Calibri" w:cs="Calibri" w:eastAsia="Calibri" w:hAnsi="Calibri"/>
          <w:b/>
          <w:bCs/>
          <w:sz w:val="22"/>
          <w:szCs w:val="22"/>
        </w:rPr>
        <w:t xml:space="preserve">OG image</w:t>
      </w:r>
      <w:r>
        <w:rPr>
          <w:rFonts w:ascii="Calibri" w:cs="Calibri" w:eastAsia="Calibri" w:hAnsi="Calibri"/>
          <w:sz w:val="22"/>
          <w:szCs w:val="22"/>
        </w:rPr>
        <w:t xml:space="preserve"> — split image — left half a farmer with a mobile-device dashboard; right half a youth cooperative at a sorting line. SAICE wordmark over both.</w:t>
      </w:r>
    </w:p>
    <w:p>
      <w:pPr>
        <w:spacing w:after="140" w:before="360"/>
      </w:pPr>
      <w:r>
        <w:rPr>
          <w:rFonts w:ascii="Calibri" w:cs="Calibri" w:eastAsia="Calibri" w:hAnsi="Calibri"/>
          <w:b/>
          <w:bCs/>
          <w:color w:val="1F4E79"/>
          <w:sz w:val="30"/>
          <w:szCs w:val="30"/>
        </w:rPr>
        <w:t xml:space="preserve">2. Hero</w:t>
      </w:r>
    </w:p>
    <w:p>
      <w:pPr>
        <w:spacing w:after="40" w:before="200"/>
      </w:pPr>
      <w:r>
        <w:rPr>
          <w:rFonts w:ascii="Calibri" w:cs="Calibri" w:eastAsia="Calibri" w:hAnsi="Calibri"/>
          <w:b/>
          <w:bCs/>
          <w:color w:val="2E7D5B"/>
          <w:spacing w:val="60"/>
          <w:sz w:val="18"/>
          <w:szCs w:val="18"/>
        </w:rPr>
        <w:t xml:space="preserve">EYEBROW</w:t>
      </w:r>
    </w:p>
    <w:p>
      <w:pPr>
        <w:spacing w:after="80" w:before="60" w:line="300"/>
      </w:pPr>
      <w:r>
        <w:rPr>
          <w:rFonts w:ascii="Calibri" w:cs="Calibri" w:eastAsia="Calibri" w:hAnsi="Calibri"/>
          <w:sz w:val="22"/>
          <w:szCs w:val="22"/>
        </w:rPr>
        <w:t xml:space="preserve">OUR PROGRAMS</w:t>
      </w:r>
    </w:p>
    <w:p>
      <w:pPr>
        <w:spacing w:after="20" w:before="100"/>
      </w:pPr>
      <w:r>
        <w:rPr>
          <w:rFonts w:ascii="Calibri" w:cs="Calibri" w:eastAsia="Calibri" w:hAnsi="Calibri"/>
          <w:b/>
          <w:bCs/>
          <w:color w:val="595959"/>
          <w:spacing w:val="30"/>
          <w:sz w:val="19"/>
          <w:szCs w:val="19"/>
        </w:rPr>
        <w:t xml:space="preserve">Headline (H1)</w:t>
      </w:r>
    </w:p>
    <w:p>
      <w:pPr>
        <w:spacing w:after="80" w:before="60" w:line="300"/>
      </w:pPr>
      <w:r>
        <w:rPr>
          <w:rFonts w:ascii="Calibri" w:cs="Calibri" w:eastAsia="Calibri" w:hAnsi="Calibri"/>
          <w:b/>
          <w:bCs/>
          <w:color w:val="1F4E79"/>
          <w:sz w:val="28"/>
          <w:szCs w:val="28"/>
        </w:rPr>
        <w:t xml:space="preserve">From farm to fork to circular economy — two programmes, one digital backbone.</w:t>
      </w:r>
    </w:p>
    <w:p>
      <w:pPr>
        <w:spacing w:after="20" w:before="100"/>
      </w:pPr>
      <w:r>
        <w:rPr>
          <w:rFonts w:ascii="Calibri" w:cs="Calibri" w:eastAsia="Calibri" w:hAnsi="Calibri"/>
          <w:b/>
          <w:bCs/>
          <w:color w:val="595959"/>
          <w:spacing w:val="30"/>
          <w:sz w:val="19"/>
          <w:szCs w:val="19"/>
        </w:rPr>
        <w:t xml:space="preserve">Sub-headline</w:t>
      </w:r>
    </w:p>
    <w:p>
      <w:pPr>
        <w:spacing w:after="80" w:before="60" w:line="300"/>
      </w:pPr>
      <w:r>
        <w:rPr>
          <w:rFonts w:ascii="Calibri" w:cs="Calibri" w:eastAsia="Calibri" w:hAnsi="Calibri"/>
          <w:sz w:val="22"/>
          <w:szCs w:val="22"/>
        </w:rPr>
        <w:t xml:space="preserve">PAGES helps small farms and cooperatives sell better, decide better, and qualify for finance. ICES helps youth- and women-led cooperatives turn waste into livelihoods and verified climate finance. Both are built on the same data, ethics, and accountability framework — and both are run by SAICE with delivery partners in each country.</w:t>
      </w:r>
    </w:p>
    <w:p>
      <w:pPr>
        <w:spacing w:after="20" w:before="100"/>
      </w:pPr>
      <w:r>
        <w:rPr>
          <w:rFonts w:ascii="Calibri" w:cs="Calibri" w:eastAsia="Calibri" w:hAnsi="Calibri"/>
          <w:b/>
          <w:bCs/>
          <w:color w:val="595959"/>
          <w:spacing w:val="30"/>
          <w:sz w:val="19"/>
          <w:szCs w:val="19"/>
        </w:rPr>
        <w:t xml:space="preserve">Quick-link strip</w:t>
      </w:r>
    </w:p>
    <w:p>
      <w:pPr>
        <w:spacing w:after="80" w:before="60" w:line="300"/>
      </w:pPr>
      <w:r>
        <w:rPr>
          <w:rFonts w:ascii="Calibri" w:cs="Calibri" w:eastAsia="Calibri" w:hAnsi="Calibri"/>
          <w:sz w:val="22"/>
          <w:szCs w:val="22"/>
        </w:rPr>
        <w:t xml:space="preserve">PAGES → · ICES → · Theory of change → · Where we work → · Partners →</w:t>
      </w:r>
    </w:p>
    <w:p>
      <w:pPr>
        <w:spacing w:after="140" w:before="360"/>
      </w:pPr>
      <w:r>
        <w:rPr>
          <w:rFonts w:ascii="Calibri" w:cs="Calibri" w:eastAsia="Calibri" w:hAnsi="Calibri"/>
          <w:b/>
          <w:bCs/>
          <w:color w:val="1F4E79"/>
          <w:sz w:val="30"/>
          <w:szCs w:val="30"/>
        </w:rPr>
        <w:t xml:space="preserve">3. Why two programmes — and why together</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Two halves of the same problem.</w:t>
      </w:r>
    </w:p>
    <w:p>
      <w:pPr>
        <w:spacing w:after="80" w:before="60" w:line="300"/>
      </w:pPr>
      <w:r>
        <w:rPr>
          <w:rFonts w:ascii="Calibri" w:cs="Calibri" w:eastAsia="Calibri" w:hAnsi="Calibri"/>
          <w:sz w:val="22"/>
          <w:szCs w:val="22"/>
        </w:rPr>
        <w:t xml:space="preserve">Smallholder agriculture and waste are two ends of the same African economic story. Farmers struggle to earn fair prices, qualify for finance, or weather climate shocks. Their crops, their packaging, and their post-harvest losses end up in waste streams that are rarely captured, sorted or monetised. The youth and women who could turn that waste into income lack the tools, the data, and the carbon-finance access to do it at scale.</w:t>
      </w:r>
    </w:p>
    <w:p>
      <w:pPr>
        <w:spacing w:after="80" w:before="60" w:line="300"/>
      </w:pPr>
      <w:r>
        <w:rPr>
          <w:rFonts w:ascii="Calibri" w:cs="Calibri" w:eastAsia="Calibri" w:hAnsi="Calibri"/>
          <w:sz w:val="22"/>
          <w:szCs w:val="22"/>
        </w:rPr>
        <w:t xml:space="preserve">PAGES tackles the first half — making small agri-businesses more visible to markets, finance, and climate-smart inputs. ICES tackles the second — making the resulting waste streams traceable, sortable, monetisable, and climate-credentialed. Together they close the loop: a farmer-cooperative that uses the PAGES Smart Market Matchmaker to sell maize can use the ICES IoT Smart Bins and Carbon Calculator to monetise the post-harvest residues from the same harvest.</w:t>
      </w:r>
    </w:p>
    <w:p>
      <w:pPr>
        <w:spacing w:after="80" w:before="60" w:line="300"/>
      </w:pPr>
      <w:r>
        <w:rPr>
          <w:rFonts w:ascii="Calibri" w:cs="Calibri" w:eastAsia="Calibri" w:hAnsi="Calibri"/>
          <w:sz w:val="22"/>
          <w:szCs w:val="22"/>
        </w:rPr>
        <w:t xml:space="preserve">We run them as two distinct programmes because the buyers, the donors, and the policy frameworks are different. We run them on one shared backbone because the data, the ethics, and the people they serve are the same.</w:t>
      </w:r>
    </w:p>
    <w:p>
      <w:pPr>
        <w:spacing w:after="140" w:before="360"/>
      </w:pPr>
      <w:r>
        <w:rPr>
          <w:rFonts w:ascii="Calibri" w:cs="Calibri" w:eastAsia="Calibri" w:hAnsi="Calibri"/>
          <w:b/>
          <w:bCs/>
          <w:color w:val="1F4E79"/>
          <w:sz w:val="30"/>
          <w:szCs w:val="30"/>
        </w:rPr>
        <w:t xml:space="preserve">4. Programme cards</w:t>
      </w:r>
    </w:p>
    <w:p>
      <w:pPr>
        <w:spacing w:after="100" w:before="240"/>
      </w:pPr>
      <w:r>
        <w:rPr>
          <w:rFonts w:ascii="Calibri" w:cs="Calibri" w:eastAsia="Calibri" w:hAnsi="Calibri"/>
          <w:b/>
          <w:bCs/>
          <w:color w:val="1F4E79"/>
          <w:sz w:val="24"/>
          <w:szCs w:val="24"/>
        </w:rPr>
        <w:t xml:space="preserve">Programme card 1 — PAGES</w:t>
      </w:r>
    </w:p>
    <w:p>
      <w:pPr>
        <w:pStyle w:val="ListParagraph"/>
        <w:numPr>
          <w:ilvl w:val="0"/>
          <w:numId w:val="2"/>
        </w:numPr>
        <w:spacing w:after="60" w:before="40" w:line="290"/>
      </w:pPr>
      <w:r>
        <w:rPr>
          <w:rFonts w:ascii="Calibri" w:cs="Calibri" w:eastAsia="Calibri" w:hAnsi="Calibri"/>
          <w:b/>
          <w:bCs/>
          <w:sz w:val="22"/>
          <w:szCs w:val="22"/>
        </w:rPr>
        <w:t xml:space="preserve">Eyebrow</w:t>
      </w:r>
      <w:r>
        <w:rPr>
          <w:rFonts w:ascii="Calibri" w:cs="Calibri" w:eastAsia="Calibri" w:hAnsi="Calibri"/>
          <w:sz w:val="22"/>
          <w:szCs w:val="22"/>
        </w:rPr>
        <w:t xml:space="preserve"> — Track 1 · Agri-intelligence</w:t>
      </w:r>
    </w:p>
    <w:p>
      <w:pPr>
        <w:pStyle w:val="ListParagraph"/>
        <w:numPr>
          <w:ilvl w:val="0"/>
          <w:numId w:val="2"/>
        </w:numPr>
        <w:spacing w:after="60" w:before="40" w:line="290"/>
      </w:pPr>
      <w:r>
        <w:rPr>
          <w:rFonts w:ascii="Calibri" w:cs="Calibri" w:eastAsia="Calibri" w:hAnsi="Calibri"/>
          <w:b/>
          <w:bCs/>
          <w:sz w:val="22"/>
          <w:szCs w:val="22"/>
        </w:rPr>
        <w:t xml:space="preserve">Title (H2)</w:t>
      </w:r>
      <w:r>
        <w:rPr>
          <w:rFonts w:ascii="Calibri" w:cs="Calibri" w:eastAsia="Calibri" w:hAnsi="Calibri"/>
          <w:sz w:val="22"/>
          <w:szCs w:val="22"/>
        </w:rPr>
        <w:t xml:space="preserve"> — PAGES — Precision Agriculture for Green Economy and Sustainability</w:t>
      </w:r>
    </w:p>
    <w:p>
      <w:pPr>
        <w:pStyle w:val="ListParagraph"/>
        <w:numPr>
          <w:ilvl w:val="0"/>
          <w:numId w:val="2"/>
        </w:numPr>
        <w:spacing w:after="60" w:before="40" w:line="290"/>
      </w:pPr>
      <w:r>
        <w:rPr>
          <w:rFonts w:ascii="Calibri" w:cs="Calibri" w:eastAsia="Calibri" w:hAnsi="Calibri"/>
          <w:b/>
          <w:bCs/>
          <w:sz w:val="22"/>
          <w:szCs w:val="22"/>
        </w:rPr>
        <w:t xml:space="preserve">One-paragraph pitch</w:t>
      </w:r>
      <w:r>
        <w:rPr>
          <w:rFonts w:ascii="Calibri" w:cs="Calibri" w:eastAsia="Calibri" w:hAnsi="Calibri"/>
          <w:sz w:val="22"/>
          <w:szCs w:val="22"/>
        </w:rPr>
        <w:t xml:space="preserve"> — PAGES helps small agri-businesses sell more, lose less, and qualify for finance. Three connected tools — a Smart Market Matchmaker that brokers fair-price buyer relationships, an IoT Precision Insight Engine that turns satellite and sensor data into yield, water and pest forecasts, and an ERP Finance &amp; Inventory Tracker that builds the books that banks ask for.</w:t>
      </w:r>
    </w:p>
    <w:p>
      <w:pPr>
        <w:spacing w:after="20" w:before="100"/>
      </w:pPr>
      <w:r>
        <w:rPr>
          <w:rFonts w:ascii="Calibri" w:cs="Calibri" w:eastAsia="Calibri" w:hAnsi="Calibri"/>
          <w:b/>
          <w:bCs/>
          <w:color w:val="595959"/>
          <w:spacing w:val="30"/>
          <w:sz w:val="19"/>
          <w:szCs w:val="19"/>
        </w:rPr>
        <w:t xml:space="preserve">Key targets</w:t>
      </w:r>
    </w:p>
    <w:p>
      <w:pPr>
        <w:pStyle w:val="ListParagraph"/>
        <w:numPr>
          <w:ilvl w:val="0"/>
          <w:numId w:val="2"/>
        </w:numPr>
        <w:spacing w:after="60" w:before="40" w:line="290"/>
      </w:pPr>
      <w:r>
        <w:rPr>
          <w:rFonts w:ascii="Calibri" w:cs="Calibri" w:eastAsia="Calibri" w:hAnsi="Calibri"/>
          <w:sz w:val="22"/>
          <w:szCs w:val="22"/>
        </w:rPr>
        <w:t xml:space="preserve">5,000 agri-SMEs onboarded</w:t>
      </w:r>
    </w:p>
    <w:p>
      <w:pPr>
        <w:pStyle w:val="ListParagraph"/>
        <w:numPr>
          <w:ilvl w:val="0"/>
          <w:numId w:val="2"/>
        </w:numPr>
        <w:spacing w:after="60" w:before="40" w:line="290"/>
      </w:pPr>
      <w:r>
        <w:rPr>
          <w:rFonts w:ascii="Calibri" w:cs="Calibri" w:eastAsia="Calibri" w:hAnsi="Calibri"/>
          <w:sz w:val="22"/>
          <w:szCs w:val="22"/>
        </w:rPr>
        <w:t xml:space="preserve">~100,000 farmers reached through their cooperatives</w:t>
      </w:r>
    </w:p>
    <w:p>
      <w:pPr>
        <w:pStyle w:val="ListParagraph"/>
        <w:numPr>
          <w:ilvl w:val="0"/>
          <w:numId w:val="2"/>
        </w:numPr>
        <w:spacing w:after="60" w:before="40" w:line="290"/>
      </w:pPr>
      <w:r>
        <w:rPr>
          <w:rFonts w:ascii="Calibri" w:cs="Calibri" w:eastAsia="Calibri" w:hAnsi="Calibri"/>
          <w:sz w:val="22"/>
          <w:szCs w:val="22"/>
        </w:rPr>
        <w:t xml:space="preserve">60% women · 40% youth · 15% ex-combatant · 5% PwD</w:t>
      </w:r>
    </w:p>
    <w:p>
      <w:pPr>
        <w:pStyle w:val="ListParagraph"/>
        <w:numPr>
          <w:ilvl w:val="0"/>
          <w:numId w:val="2"/>
        </w:numPr>
        <w:spacing w:after="60" w:before="40" w:line="290"/>
      </w:pPr>
      <w:r>
        <w:rPr>
          <w:rFonts w:ascii="Calibri" w:cs="Calibri" w:eastAsia="Calibri" w:hAnsi="Calibri"/>
          <w:sz w:val="22"/>
          <w:szCs w:val="22"/>
        </w:rPr>
        <w:t xml:space="preserve">4 countries — Rwanda and Kenya pilot; Burundi and DRC scale-out</w:t>
      </w:r>
    </w:p>
    <w:p>
      <w:pPr>
        <w:pStyle w:val="ListParagraph"/>
        <w:numPr>
          <w:ilvl w:val="0"/>
          <w:numId w:val="2"/>
        </w:numPr>
        <w:spacing w:after="60" w:before="40" w:line="290"/>
      </w:pPr>
      <w:r>
        <w:rPr>
          <w:rFonts w:ascii="Calibri" w:cs="Calibri" w:eastAsia="Calibri" w:hAnsi="Calibri"/>
          <w:sz w:val="22"/>
          <w:szCs w:val="22"/>
        </w:rPr>
        <w:t xml:space="preserve">3 years — 2027–2029, with 2026 readiness</w:t>
      </w:r>
    </w:p>
    <w:p>
      <w:pPr>
        <w:pStyle w:val="ListParagraph"/>
        <w:numPr>
          <w:ilvl w:val="0"/>
          <w:numId w:val="2"/>
        </w:numPr>
        <w:spacing w:after="60" w:before="40" w:line="290"/>
      </w:pPr>
      <w:r>
        <w:rPr>
          <w:rFonts w:ascii="Calibri" w:cs="Calibri" w:eastAsia="Calibri" w:hAnsi="Calibri"/>
          <w:b/>
          <w:bCs/>
          <w:sz w:val="22"/>
          <w:szCs w:val="22"/>
        </w:rPr>
        <w:t xml:space="preserve">Strategic partners</w:t>
      </w:r>
      <w:r>
        <w:rPr>
          <w:rFonts w:ascii="Calibri" w:cs="Calibri" w:eastAsia="Calibri" w:hAnsi="Calibri"/>
          <w:sz w:val="22"/>
          <w:szCs w:val="22"/>
        </w:rPr>
        <w:t xml:space="preserve"> — RCID-Rwanda · McGill University · South Eastern Kenya University.</w:t>
      </w:r>
    </w:p>
    <w:p>
      <w:pPr>
        <w:pStyle w:val="ListParagraph"/>
        <w:numPr>
          <w:ilvl w:val="0"/>
          <w:numId w:val="2"/>
        </w:numPr>
        <w:spacing w:after="60" w:before="40" w:line="290"/>
      </w:pPr>
      <w:r>
        <w:rPr>
          <w:rFonts w:ascii="Calibri" w:cs="Calibri" w:eastAsia="Calibri" w:hAnsi="Calibri"/>
          <w:b/>
          <w:bCs/>
          <w:sz w:val="22"/>
          <w:szCs w:val="22"/>
        </w:rPr>
        <w:t xml:space="preserve">Funder fit</w:t>
      </w:r>
      <w:r>
        <w:rPr>
          <w:rFonts w:ascii="Calibri" w:cs="Calibri" w:eastAsia="Calibri" w:hAnsi="Calibri"/>
          <w:sz w:val="22"/>
          <w:szCs w:val="22"/>
        </w:rPr>
        <w:t xml:space="preserve"> — GAC, IDRC, Gates Foundation, Mastercard Foundation Young Africa Works, Rockefeller, AfDB TAAT III, FAO Hand-in-Hand, IFAD.</w:t>
      </w:r>
    </w:p>
    <w:p>
      <w:pPr>
        <w:pStyle w:val="ListParagraph"/>
        <w:numPr>
          <w:ilvl w:val="0"/>
          <w:numId w:val="2"/>
        </w:numPr>
        <w:spacing w:after="60" w:before="40" w:line="290"/>
      </w:pPr>
      <w:r>
        <w:rPr>
          <w:rFonts w:ascii="Calibri" w:cs="Calibri" w:eastAsia="Calibri" w:hAnsi="Calibri"/>
          <w:b/>
          <w:bCs/>
          <w:sz w:val="22"/>
          <w:szCs w:val="22"/>
        </w:rPr>
        <w:t xml:space="preserve">CTA buttons</w:t>
      </w:r>
      <w:r>
        <w:rPr>
          <w:rFonts w:ascii="Calibri" w:cs="Calibri" w:eastAsia="Calibri" w:hAnsi="Calibri"/>
          <w:sz w:val="22"/>
          <w:szCs w:val="22"/>
        </w:rPr>
        <w:t xml:space="preserve"> — Explore PAGES → · See the three tools → · Pilot it with your cooperative →</w:t>
      </w:r>
    </w:p>
    <w:p>
      <w:pPr>
        <w:spacing w:after="100" w:before="240"/>
      </w:pPr>
      <w:r>
        <w:rPr>
          <w:rFonts w:ascii="Calibri" w:cs="Calibri" w:eastAsia="Calibri" w:hAnsi="Calibri"/>
          <w:b/>
          <w:bCs/>
          <w:color w:val="1F4E79"/>
          <w:sz w:val="24"/>
          <w:szCs w:val="24"/>
        </w:rPr>
        <w:t xml:space="preserve">Programme card 2 — ICES / ICE-Plus</w:t>
      </w:r>
    </w:p>
    <w:p>
      <w:pPr>
        <w:pStyle w:val="ListParagraph"/>
        <w:numPr>
          <w:ilvl w:val="0"/>
          <w:numId w:val="2"/>
        </w:numPr>
        <w:spacing w:after="60" w:before="40" w:line="290"/>
      </w:pPr>
      <w:r>
        <w:rPr>
          <w:rFonts w:ascii="Calibri" w:cs="Calibri" w:eastAsia="Calibri" w:hAnsi="Calibri"/>
          <w:b/>
          <w:bCs/>
          <w:sz w:val="22"/>
          <w:szCs w:val="22"/>
        </w:rPr>
        <w:t xml:space="preserve">Eyebrow</w:t>
      </w:r>
      <w:r>
        <w:rPr>
          <w:rFonts w:ascii="Calibri" w:cs="Calibri" w:eastAsia="Calibri" w:hAnsi="Calibri"/>
          <w:sz w:val="22"/>
          <w:szCs w:val="22"/>
        </w:rPr>
        <w:t xml:space="preserve"> — Track 2 · Circular economy</w:t>
      </w:r>
    </w:p>
    <w:p>
      <w:pPr>
        <w:pStyle w:val="ListParagraph"/>
        <w:numPr>
          <w:ilvl w:val="0"/>
          <w:numId w:val="2"/>
        </w:numPr>
        <w:spacing w:after="60" w:before="40" w:line="290"/>
      </w:pPr>
      <w:r>
        <w:rPr>
          <w:rFonts w:ascii="Calibri" w:cs="Calibri" w:eastAsia="Calibri" w:hAnsi="Calibri"/>
          <w:b/>
          <w:bCs/>
          <w:sz w:val="22"/>
          <w:szCs w:val="22"/>
        </w:rPr>
        <w:t xml:space="preserve">Title (H2)</w:t>
      </w:r>
      <w:r>
        <w:rPr>
          <w:rFonts w:ascii="Calibri" w:cs="Calibri" w:eastAsia="Calibri" w:hAnsi="Calibri"/>
          <w:sz w:val="22"/>
          <w:szCs w:val="22"/>
        </w:rPr>
        <w:t xml:space="preserve"> — ICES — Initiative for Circular Economy and Sustainability</w:t>
      </w:r>
    </w:p>
    <w:p>
      <w:pPr>
        <w:pStyle w:val="ListParagraph"/>
        <w:numPr>
          <w:ilvl w:val="0"/>
          <w:numId w:val="2"/>
        </w:numPr>
        <w:spacing w:after="60" w:before="40" w:line="290"/>
      </w:pPr>
      <w:r>
        <w:rPr>
          <w:rFonts w:ascii="Calibri" w:cs="Calibri" w:eastAsia="Calibri" w:hAnsi="Calibri"/>
          <w:b/>
          <w:bCs/>
          <w:sz w:val="22"/>
          <w:szCs w:val="22"/>
        </w:rPr>
        <w:t xml:space="preserve">One-paragraph pitch</w:t>
      </w:r>
      <w:r>
        <w:rPr>
          <w:rFonts w:ascii="Calibri" w:cs="Calibri" w:eastAsia="Calibri" w:hAnsi="Calibri"/>
          <w:sz w:val="22"/>
          <w:szCs w:val="22"/>
        </w:rPr>
        <w:t xml:space="preserve"> — ICES turns municipal and agri-waste streams into livelihoods and verified climate finance. Six connected tools — IoT Smart Bins for collection, AI &amp; Robotics in Sorting, RFID &amp; Asset Management, a Data Analytics Platform, Mobile &amp; Digital Applications for citizen and operator participation, and an ML Carbon Calculator that quantifies methane and CO₂ averted in a form donors and carbon markets accept.</w:t>
      </w:r>
    </w:p>
    <w:p>
      <w:pPr>
        <w:spacing w:after="20" w:before="100"/>
      </w:pPr>
      <w:r>
        <w:rPr>
          <w:rFonts w:ascii="Calibri" w:cs="Calibri" w:eastAsia="Calibri" w:hAnsi="Calibri"/>
          <w:b/>
          <w:bCs/>
          <w:color w:val="595959"/>
          <w:spacing w:val="30"/>
          <w:sz w:val="19"/>
          <w:szCs w:val="19"/>
        </w:rPr>
        <w:t xml:space="preserve">Key targets</w:t>
      </w:r>
    </w:p>
    <w:p>
      <w:pPr>
        <w:pStyle w:val="ListParagraph"/>
        <w:numPr>
          <w:ilvl w:val="0"/>
          <w:numId w:val="2"/>
        </w:numPr>
        <w:spacing w:after="60" w:before="40" w:line="290"/>
      </w:pPr>
      <w:r>
        <w:rPr>
          <w:rFonts w:ascii="Calibri" w:cs="Calibri" w:eastAsia="Calibri" w:hAnsi="Calibri"/>
          <w:sz w:val="22"/>
          <w:szCs w:val="22"/>
        </w:rPr>
        <w:t xml:space="preserve">Pilot deployments with youth- and women-led cooperatives</w:t>
      </w:r>
    </w:p>
    <w:p>
      <w:pPr>
        <w:pStyle w:val="ListParagraph"/>
        <w:numPr>
          <w:ilvl w:val="0"/>
          <w:numId w:val="2"/>
        </w:numPr>
        <w:spacing w:after="60" w:before="40" w:line="290"/>
      </w:pPr>
      <w:r>
        <w:rPr>
          <w:rFonts w:ascii="Calibri" w:cs="Calibri" w:eastAsia="Calibri" w:hAnsi="Calibri"/>
          <w:sz w:val="22"/>
          <w:szCs w:val="22"/>
        </w:rPr>
        <w:t xml:space="preserve">Methane and CO₂ averted, measured per cooperative per quarter</w:t>
      </w:r>
    </w:p>
    <w:p>
      <w:pPr>
        <w:pStyle w:val="ListParagraph"/>
        <w:numPr>
          <w:ilvl w:val="0"/>
          <w:numId w:val="2"/>
        </w:numPr>
        <w:spacing w:after="60" w:before="40" w:line="290"/>
      </w:pPr>
      <w:r>
        <w:rPr>
          <w:rFonts w:ascii="Calibri" w:cs="Calibri" w:eastAsia="Calibri" w:hAnsi="Calibri"/>
          <w:sz w:val="22"/>
          <w:szCs w:val="22"/>
        </w:rPr>
        <w:t xml:space="preserve">Income for waste-pickers, sorters, and circular-economy SMEs</w:t>
      </w:r>
    </w:p>
    <w:p>
      <w:pPr>
        <w:pStyle w:val="ListParagraph"/>
        <w:numPr>
          <w:ilvl w:val="0"/>
          <w:numId w:val="2"/>
        </w:numPr>
        <w:spacing w:after="60" w:before="40" w:line="290"/>
      </w:pPr>
      <w:r>
        <w:rPr>
          <w:rFonts w:ascii="Calibri" w:cs="Calibri" w:eastAsia="Calibri" w:hAnsi="Calibri"/>
          <w:sz w:val="22"/>
          <w:szCs w:val="22"/>
        </w:rPr>
        <w:t xml:space="preserve">Pilots in Togo, scalable to other municipalities and ag-processing zones</w:t>
      </w:r>
    </w:p>
    <w:p>
      <w:pPr>
        <w:pStyle w:val="ListParagraph"/>
        <w:numPr>
          <w:ilvl w:val="0"/>
          <w:numId w:val="2"/>
        </w:numPr>
        <w:spacing w:after="60" w:before="40" w:line="290"/>
      </w:pPr>
      <w:r>
        <w:rPr>
          <w:rFonts w:ascii="Calibri" w:cs="Calibri" w:eastAsia="Calibri" w:hAnsi="Calibri"/>
          <w:b/>
          <w:bCs/>
          <w:sz w:val="22"/>
          <w:szCs w:val="22"/>
        </w:rPr>
        <w:t xml:space="preserve">Strategic partners</w:t>
      </w:r>
      <w:r>
        <w:rPr>
          <w:rFonts w:ascii="Calibri" w:cs="Calibri" w:eastAsia="Calibri" w:hAnsi="Calibri"/>
          <w:sz w:val="22"/>
          <w:szCs w:val="22"/>
        </w:rPr>
        <w:t xml:space="preserve"> — SEKU · RCID-Rwanda · McGill University · Terre des Jeunes Togo · Ripen.</w:t>
      </w:r>
    </w:p>
    <w:p>
      <w:pPr>
        <w:pStyle w:val="ListParagraph"/>
        <w:numPr>
          <w:ilvl w:val="0"/>
          <w:numId w:val="2"/>
        </w:numPr>
        <w:spacing w:after="60" w:before="40" w:line="290"/>
      </w:pPr>
      <w:r>
        <w:rPr>
          <w:rFonts w:ascii="Calibri" w:cs="Calibri" w:eastAsia="Calibri" w:hAnsi="Calibri"/>
          <w:b/>
          <w:bCs/>
          <w:sz w:val="22"/>
          <w:szCs w:val="22"/>
        </w:rPr>
        <w:t xml:space="preserve">Funder fit</w:t>
      </w:r>
      <w:r>
        <w:rPr>
          <w:rFonts w:ascii="Calibri" w:cs="Calibri" w:eastAsia="Calibri" w:hAnsi="Calibri"/>
          <w:sz w:val="22"/>
          <w:szCs w:val="22"/>
        </w:rPr>
        <w:t xml:space="preserve"> — EU Global Gateway, World Bank Food Systems Resilience, Rockefeller, Co-Impact, Shell Foundation, Mastercard Foundation, climate-finance windows at AfDB and IFAD.</w:t>
      </w:r>
    </w:p>
    <w:p>
      <w:pPr>
        <w:pStyle w:val="ListParagraph"/>
        <w:numPr>
          <w:ilvl w:val="0"/>
          <w:numId w:val="2"/>
        </w:numPr>
        <w:spacing w:after="60" w:before="40" w:line="290"/>
      </w:pPr>
      <w:r>
        <w:rPr>
          <w:rFonts w:ascii="Calibri" w:cs="Calibri" w:eastAsia="Calibri" w:hAnsi="Calibri"/>
          <w:b/>
          <w:bCs/>
          <w:sz w:val="22"/>
          <w:szCs w:val="22"/>
        </w:rPr>
        <w:t xml:space="preserve">CTA buttons</w:t>
      </w:r>
      <w:r>
        <w:rPr>
          <w:rFonts w:ascii="Calibri" w:cs="Calibri" w:eastAsia="Calibri" w:hAnsi="Calibri"/>
          <w:sz w:val="22"/>
          <w:szCs w:val="22"/>
        </w:rPr>
        <w:t xml:space="preserve"> — Explore ICES → · See the six tools → · Pilot it with your municipality →</w:t>
      </w:r>
    </w:p>
    <w:p>
      <w:pPr>
        <w:spacing w:after="140" w:before="360"/>
      </w:pPr>
      <w:r>
        <w:rPr>
          <w:rFonts w:ascii="Calibri" w:cs="Calibri" w:eastAsia="Calibri" w:hAnsi="Calibri"/>
          <w:b/>
          <w:bCs/>
          <w:color w:val="1F4E79"/>
          <w:sz w:val="30"/>
          <w:szCs w:val="30"/>
        </w:rPr>
        <w:t xml:space="preserve">5. The shared digital backbone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What both programmes share.</w:t>
      </w:r>
    </w:p>
    <w:p>
      <w:pPr>
        <w:spacing w:after="80" w:before="60" w:line="300"/>
      </w:pPr>
      <w:r>
        <w:rPr>
          <w:rFonts w:ascii="Calibri" w:cs="Calibri" w:eastAsia="Calibri" w:hAnsi="Calibri"/>
          <w:sz w:val="22"/>
          <w:szCs w:val="22"/>
        </w:rPr>
        <w:t xml:space="preserve">Both programmes are designed and operated to the same standards — so a partner who joins one can adopt the other without re-learning the rules.</w:t>
      </w:r>
    </w:p>
    <w:p>
      <w:pPr>
        <w:pStyle w:val="ListParagraph"/>
        <w:numPr>
          <w:ilvl w:val="0"/>
          <w:numId w:val="2"/>
        </w:numPr>
        <w:spacing w:after="60" w:before="40" w:line="290"/>
      </w:pPr>
      <w:r>
        <w:rPr>
          <w:rFonts w:ascii="Calibri" w:cs="Calibri" w:eastAsia="Calibri" w:hAnsi="Calibri"/>
          <w:b/>
          <w:bCs/>
          <w:sz w:val="22"/>
          <w:szCs w:val="22"/>
        </w:rPr>
        <w:t xml:space="preserve">Shared data layer</w:t>
      </w:r>
      <w:r>
        <w:rPr>
          <w:rFonts w:ascii="Calibri" w:cs="Calibri" w:eastAsia="Calibri" w:hAnsi="Calibri"/>
          <w:sz w:val="22"/>
          <w:szCs w:val="22"/>
        </w:rPr>
        <w:t xml:space="preserve"> — Common data model for SMEs, cooperatives, parcels, harvests, transactions, waste flows, and emissions. Interoperable with Digital Earth Africa, FAO HiH, GIEWS, SERVIR and CGIAR GARDIAN.</w:t>
      </w:r>
    </w:p>
    <w:p>
      <w:pPr>
        <w:pStyle w:val="ListParagraph"/>
        <w:numPr>
          <w:ilvl w:val="0"/>
          <w:numId w:val="2"/>
        </w:numPr>
        <w:spacing w:after="60" w:before="40" w:line="290"/>
      </w:pPr>
      <w:r>
        <w:rPr>
          <w:rFonts w:ascii="Calibri" w:cs="Calibri" w:eastAsia="Calibri" w:hAnsi="Calibri"/>
          <w:b/>
          <w:bCs/>
          <w:sz w:val="22"/>
          <w:szCs w:val="22"/>
        </w:rPr>
        <w:t xml:space="preserve">Shared ethics and privacy</w:t>
      </w:r>
      <w:r>
        <w:rPr>
          <w:rFonts w:ascii="Calibri" w:cs="Calibri" w:eastAsia="Calibri" w:hAnsi="Calibri"/>
          <w:sz w:val="22"/>
          <w:szCs w:val="22"/>
        </w:rPr>
        <w:t xml:space="preserve"> — One AI Ethics policy. One data-protection regime — Rwanda Law 058/2021, Kenya DPA 2019, PIPEDA, GDPR where applicable. SMEs and cooperatives own their data.</w:t>
      </w:r>
    </w:p>
    <w:p>
      <w:pPr>
        <w:pStyle w:val="ListParagraph"/>
        <w:numPr>
          <w:ilvl w:val="0"/>
          <w:numId w:val="2"/>
        </w:numPr>
        <w:spacing w:after="60" w:before="40" w:line="290"/>
      </w:pPr>
      <w:r>
        <w:rPr>
          <w:rFonts w:ascii="Calibri" w:cs="Calibri" w:eastAsia="Calibri" w:hAnsi="Calibri"/>
          <w:b/>
          <w:bCs/>
          <w:sz w:val="22"/>
          <w:szCs w:val="22"/>
        </w:rPr>
        <w:t xml:space="preserve">Shared MEAL framework</w:t>
      </w:r>
      <w:r>
        <w:rPr>
          <w:rFonts w:ascii="Calibri" w:cs="Calibri" w:eastAsia="Calibri" w:hAnsi="Calibri"/>
          <w:sz w:val="22"/>
          <w:szCs w:val="22"/>
        </w:rPr>
        <w:t xml:space="preserve"> — One results framework, one indicator dictionary, one external mid-term evaluation, one learning agenda. Donors get a single, consistent reporting view across both programmes.</w:t>
      </w:r>
    </w:p>
    <w:p>
      <w:pPr>
        <w:pStyle w:val="ListParagraph"/>
        <w:numPr>
          <w:ilvl w:val="0"/>
          <w:numId w:val="2"/>
        </w:numPr>
        <w:spacing w:after="60" w:before="40" w:line="290"/>
      </w:pPr>
      <w:r>
        <w:rPr>
          <w:rFonts w:ascii="Calibri" w:cs="Calibri" w:eastAsia="Calibri" w:hAnsi="Calibri"/>
          <w:b/>
          <w:bCs/>
          <w:sz w:val="22"/>
          <w:szCs w:val="22"/>
        </w:rPr>
        <w:t xml:space="preserve">Shared GEDSI and safeguarding</w:t>
      </w:r>
      <w:r>
        <w:rPr>
          <w:rFonts w:ascii="Calibri" w:cs="Calibri" w:eastAsia="Calibri" w:hAnsi="Calibri"/>
          <w:sz w:val="22"/>
          <w:szCs w:val="22"/>
        </w:rPr>
        <w:t xml:space="preserve"> — Same gender, disability and inclusion targets across both tracks. Same PSEAH, do-no-harm and grievance-redress mechanism in local languages.</w:t>
      </w:r>
    </w:p>
    <w:p>
      <w:pPr>
        <w:spacing w:after="80" w:before="60" w:line="300"/>
      </w:pPr>
      <w:r>
        <w:rPr>
          <w:rFonts w:ascii="Calibri" w:cs="Calibri" w:eastAsia="Calibri" w:hAnsi="Calibri"/>
          <w:sz w:val="22"/>
          <w:szCs w:val="22"/>
        </w:rPr>
        <w:t xml:space="preserve">CTA: Read our data-governance and AI-ethics policies →</w:t>
      </w:r>
    </w:p>
    <w:p>
      <w:pPr>
        <w:spacing w:after="140" w:before="360"/>
      </w:pPr>
      <w:r>
        <w:rPr>
          <w:rFonts w:ascii="Calibri" w:cs="Calibri" w:eastAsia="Calibri" w:hAnsi="Calibri"/>
          <w:b/>
          <w:bCs/>
          <w:color w:val="1F4E79"/>
          <w:sz w:val="30"/>
          <w:szCs w:val="30"/>
        </w:rPr>
        <w:t xml:space="preserve">6. Theory of change — combined view</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How the two programmes work together.</w:t>
      </w:r>
    </w:p>
    <w:p>
      <w:pPr>
        <w:spacing w:after="80" w:before="60" w:line="300"/>
      </w:pPr>
      <w:r>
        <w:rPr>
          <w:rFonts w:ascii="Calibri" w:cs="Calibri" w:eastAsia="Calibri" w:hAnsi="Calibri"/>
          <w:sz w:val="22"/>
          <w:szCs w:val="22"/>
        </w:rPr>
        <w:t xml:space="preserve">We track every dollar from inputs through activities to outcomes to impact. Below is the high-level view; the full diagrams sit on the Theory of change page.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135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Layer</w:t>
            </w:r>
          </w:p>
        </w:tc>
        <w:tc>
          <w:tcPr>
            <w:tcW w:type="dxa" w:w="37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PAGES</w:t>
            </w:r>
          </w:p>
        </w:tc>
        <w:tc>
          <w:tcPr>
            <w:tcW w:type="dxa" w:w="387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ICES</w:t>
            </w:r>
          </w:p>
        </w:tc>
      </w:tr>
      <w:tr>
        <w:trPr>
          <w:tblHeader w:val="false"/>
        </w:trPr>
        <w:tc>
          <w:tcPr>
            <w:tcW w:type="dxa" w:w="135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Inputs</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Grants, technical staff, McGill MMA capstone, RCID &amp; SEKU faculty</w:t>
            </w:r>
          </w:p>
        </w:tc>
        <w:tc>
          <w:tcPr>
            <w:tcW w:type="dxa" w:w="387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Grants, technical staff, Terre des Jeunes &amp; Ripen field teams</w:t>
            </w:r>
          </w:p>
        </w:tc>
      </w:tr>
      <w:tr>
        <w:trPr>
          <w:tblHeader w:val="false"/>
        </w:trPr>
        <w:tc>
          <w:tcPr>
            <w:tcW w:type="dxa" w:w="135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Activities &amp; outputs</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Three tools deployed, BDS training, cooperative onboarding, policy briefs</w:t>
            </w:r>
          </w:p>
        </w:tc>
        <w:tc>
          <w:tcPr>
            <w:tcW w:type="dxa" w:w="387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Six tools deployed, youth and women cooperatives onboarded, sorting infrastructure</w:t>
            </w:r>
          </w:p>
        </w:tc>
      </w:tr>
      <w:tr>
        <w:trPr>
          <w:tblHeader w:val="false"/>
        </w:trPr>
        <w:tc>
          <w:tcPr>
            <w:tcW w:type="dxa" w:w="135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Outcomes</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Higher prices, lower post-harvest loss, finance access, climate-smart inputs</w:t>
            </w:r>
          </w:p>
        </w:tc>
        <w:tc>
          <w:tcPr>
            <w:tcW w:type="dxa" w:w="387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Higher waste capture, methane/CO₂ averted, livelihoods for youth and women</w:t>
            </w:r>
          </w:p>
        </w:tc>
      </w:tr>
      <w:tr>
        <w:trPr>
          <w:tblHeader w:val="false"/>
        </w:trPr>
        <w:tc>
          <w:tcPr>
            <w:tcW w:type="dxa" w:w="135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Impacts</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Resilient agri-SMEs, food-secure households, formalised cooperatives</w:t>
            </w:r>
          </w:p>
        </w:tc>
        <w:tc>
          <w:tcPr>
            <w:tcW w:type="dxa" w:w="387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Cleaner municipalities, monetised circular flows, verified climate finance</w:t>
            </w:r>
          </w:p>
        </w:tc>
      </w:tr>
      <w:tr>
        <w:trPr>
          <w:tblHeader w:val="false"/>
        </w:trPr>
        <w:tc>
          <w:tcPr>
            <w:tcW w:type="dxa" w:w="135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Cross-cutting</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GEDSI quotas met, AI &amp; data ethics enforced, conflict sensitivity applied</w:t>
            </w:r>
          </w:p>
        </w:tc>
        <w:tc>
          <w:tcPr>
            <w:tcW w:type="dxa" w:w="387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Same — quotas, ethics, conflict sensitivity, do-no-harm</w:t>
            </w:r>
          </w:p>
        </w:tc>
      </w:tr>
    </w:tbl>
    <w:p>
      <w:pPr>
        <w:spacing w:after="80" w:before="60" w:line="300"/>
      </w:pPr>
      <w:r>
        <w:rPr>
          <w:rFonts w:ascii="Calibri" w:cs="Calibri" w:eastAsia="Calibri" w:hAnsi="Calibri"/>
          <w:sz w:val="22"/>
          <w:szCs w:val="22"/>
        </w:rPr>
        <w:t xml:space="preserve">CTA: See the full theory of change →</w:t>
      </w:r>
    </w:p>
    <w:p>
      <w:pPr>
        <w:spacing w:after="140" w:before="360"/>
      </w:pPr>
      <w:r>
        <w:rPr>
          <w:rFonts w:ascii="Calibri" w:cs="Calibri" w:eastAsia="Calibri" w:hAnsi="Calibri"/>
          <w:b/>
          <w:bCs/>
          <w:color w:val="1F4E79"/>
          <w:sz w:val="30"/>
          <w:szCs w:val="30"/>
        </w:rPr>
        <w:t xml:space="preserve">7. Where the programmes operate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Six countries today, more in the queue.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144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Country</w:t>
            </w:r>
          </w:p>
        </w:tc>
        <w:tc>
          <w:tcPr>
            <w:tcW w:type="dxa" w:w="19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PAGES</w:t>
            </w:r>
          </w:p>
        </w:tc>
        <w:tc>
          <w:tcPr>
            <w:tcW w:type="dxa" w:w="19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ICES</w:t>
            </w:r>
          </w:p>
        </w:tc>
        <w:tc>
          <w:tcPr>
            <w:tcW w:type="dxa" w:w="360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Lead partner</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Rwanda</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Pilot</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In design</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RCID-Rwanda</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Kenya</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Pilot</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In design</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South Eastern Kenya University (SEKU)</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Burundi</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Scale-out</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Local cooperatives + government</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DRC</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Scale-out</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Local cooperatives + ICGLR</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Togo</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Pilot</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Terre des Jeunes Togo · Ripen</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Canada</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HQ — programme management, fundraising, data engineering</w:t>
            </w:r>
          </w:p>
        </w:tc>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Same</w:t>
            </w:r>
          </w:p>
        </w:tc>
        <w:tc>
          <w:tcPr>
            <w:tcW w:type="dxa" w:w="36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SAICE · IFSS Inc. · McGill University</w:t>
            </w:r>
          </w:p>
        </w:tc>
      </w:tr>
    </w:tbl>
    <w:p>
      <w:pPr>
        <w:spacing w:after="80" w:before="60" w:line="300"/>
      </w:pPr>
      <w:r>
        <w:rPr>
          <w:rFonts w:ascii="Calibri" w:cs="Calibri" w:eastAsia="Calibri" w:hAnsi="Calibri"/>
          <w:sz w:val="22"/>
          <w:szCs w:val="22"/>
        </w:rPr>
        <w:t xml:space="preserve">CTA: See country profiles →</w:t>
      </w:r>
    </w:p>
    <w:p>
      <w:pPr>
        <w:spacing w:after="140" w:before="360"/>
      </w:pPr>
      <w:r>
        <w:rPr>
          <w:rFonts w:ascii="Calibri" w:cs="Calibri" w:eastAsia="Calibri" w:hAnsi="Calibri"/>
          <w:b/>
          <w:bCs/>
          <w:color w:val="1F4E79"/>
          <w:sz w:val="30"/>
          <w:szCs w:val="30"/>
        </w:rPr>
        <w:t xml:space="preserve">8. Standards and alignment</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What we plug into.</w:t>
      </w:r>
    </w:p>
    <w:p>
      <w:pPr>
        <w:spacing w:after="80" w:before="60" w:line="300"/>
      </w:pPr>
      <w:r>
        <w:rPr>
          <w:rFonts w:ascii="Calibri" w:cs="Calibri" w:eastAsia="Calibri" w:hAnsi="Calibri"/>
          <w:sz w:val="22"/>
          <w:szCs w:val="22"/>
        </w:rPr>
        <w:t xml:space="preserve">Both programmes are designed to slot into the strategies that ministries and continental bodies are already running — not to compete with them.</w:t>
      </w:r>
    </w:p>
    <w:p>
      <w:pPr>
        <w:pStyle w:val="ListParagraph"/>
        <w:numPr>
          <w:ilvl w:val="0"/>
          <w:numId w:val="2"/>
        </w:numPr>
        <w:spacing w:after="60" w:before="40" w:line="290"/>
      </w:pPr>
      <w:r>
        <w:rPr>
          <w:rFonts w:ascii="Calibri" w:cs="Calibri" w:eastAsia="Calibri" w:hAnsi="Calibri"/>
          <w:b/>
          <w:bCs/>
          <w:sz w:val="22"/>
          <w:szCs w:val="22"/>
        </w:rPr>
        <w:t xml:space="preserve">CAADP Kampala Declaration 2026–2035</w:t>
      </w:r>
      <w:r>
        <w:rPr>
          <w:rFonts w:ascii="Calibri" w:cs="Calibri" w:eastAsia="Calibri" w:hAnsi="Calibri"/>
          <w:sz w:val="22"/>
          <w:szCs w:val="22"/>
        </w:rPr>
        <w:t xml:space="preserve"> — Africa’s flagship agriculture transformation strategy.</w:t>
      </w:r>
    </w:p>
    <w:p>
      <w:pPr>
        <w:pStyle w:val="ListParagraph"/>
        <w:numPr>
          <w:ilvl w:val="0"/>
          <w:numId w:val="2"/>
        </w:numPr>
        <w:spacing w:after="60" w:before="40" w:line="290"/>
      </w:pPr>
      <w:r>
        <w:rPr>
          <w:rFonts w:ascii="Calibri" w:cs="Calibri" w:eastAsia="Calibri" w:hAnsi="Calibri"/>
          <w:b/>
          <w:bCs/>
          <w:sz w:val="22"/>
          <w:szCs w:val="22"/>
        </w:rPr>
        <w:t xml:space="preserve">AU Agenda 2063 and AU Continental AI Strategy 2024</w:t>
      </w:r>
      <w:r>
        <w:rPr>
          <w:rFonts w:ascii="Calibri" w:cs="Calibri" w:eastAsia="Calibri" w:hAnsi="Calibri"/>
          <w:sz w:val="22"/>
          <w:szCs w:val="22"/>
        </w:rPr>
        <w:t xml:space="preserve"> — continental vision and AI guard-rails.</w:t>
      </w:r>
    </w:p>
    <w:p>
      <w:pPr>
        <w:pStyle w:val="ListParagraph"/>
        <w:numPr>
          <w:ilvl w:val="0"/>
          <w:numId w:val="2"/>
        </w:numPr>
        <w:spacing w:after="60" w:before="40" w:line="290"/>
      </w:pPr>
      <w:r>
        <w:rPr>
          <w:rFonts w:ascii="Calibri" w:cs="Calibri" w:eastAsia="Calibri" w:hAnsi="Calibri"/>
          <w:b/>
          <w:bCs/>
          <w:sz w:val="22"/>
          <w:szCs w:val="22"/>
        </w:rPr>
        <w:t xml:space="preserve">Rwanda’s PSTA 5 (2024–2029)</w:t>
      </w:r>
      <w:r>
        <w:rPr>
          <w:rFonts w:ascii="Calibri" w:cs="Calibri" w:eastAsia="Calibri" w:hAnsi="Calibri"/>
          <w:sz w:val="22"/>
          <w:szCs w:val="22"/>
        </w:rPr>
        <w:t xml:space="preserve"> — Strategic Plan for Agriculture Transformation.</w:t>
      </w:r>
    </w:p>
    <w:p>
      <w:pPr>
        <w:pStyle w:val="ListParagraph"/>
        <w:numPr>
          <w:ilvl w:val="0"/>
          <w:numId w:val="2"/>
        </w:numPr>
        <w:spacing w:after="60" w:before="40" w:line="290"/>
      </w:pPr>
      <w:r>
        <w:rPr>
          <w:rFonts w:ascii="Calibri" w:cs="Calibri" w:eastAsia="Calibri" w:hAnsi="Calibri"/>
          <w:b/>
          <w:bCs/>
          <w:sz w:val="22"/>
          <w:szCs w:val="22"/>
        </w:rPr>
        <w:t xml:space="preserve">Kenya’s ASTGS (2019–2029)</w:t>
      </w:r>
      <w:r>
        <w:rPr>
          <w:rFonts w:ascii="Calibri" w:cs="Calibri" w:eastAsia="Calibri" w:hAnsi="Calibri"/>
          <w:sz w:val="22"/>
          <w:szCs w:val="22"/>
        </w:rPr>
        <w:t xml:space="preserve"> — Agricultural Sector Transformation and Growth Strategy.</w:t>
      </w:r>
    </w:p>
    <w:p>
      <w:pPr>
        <w:pStyle w:val="ListParagraph"/>
        <w:numPr>
          <w:ilvl w:val="0"/>
          <w:numId w:val="2"/>
        </w:numPr>
        <w:spacing w:after="60" w:before="40" w:line="290"/>
      </w:pPr>
      <w:r>
        <w:rPr>
          <w:rFonts w:ascii="Calibri" w:cs="Calibri" w:eastAsia="Calibri" w:hAnsi="Calibri"/>
          <w:b/>
          <w:bCs/>
          <w:sz w:val="22"/>
          <w:szCs w:val="22"/>
        </w:rPr>
        <w:t xml:space="preserve">ICGLR</w:t>
      </w:r>
      <w:r>
        <w:rPr>
          <w:rFonts w:ascii="Calibri" w:cs="Calibri" w:eastAsia="Calibri" w:hAnsi="Calibri"/>
          <w:sz w:val="22"/>
          <w:szCs w:val="22"/>
        </w:rPr>
        <w:t xml:space="preserve"> — International Conference on the Great Lakes Region.</w:t>
      </w:r>
    </w:p>
    <w:p>
      <w:pPr>
        <w:pStyle w:val="ListParagraph"/>
        <w:numPr>
          <w:ilvl w:val="0"/>
          <w:numId w:val="2"/>
        </w:numPr>
        <w:spacing w:after="60" w:before="40" w:line="290"/>
      </w:pPr>
      <w:r>
        <w:rPr>
          <w:rFonts w:ascii="Calibri" w:cs="Calibri" w:eastAsia="Calibri" w:hAnsi="Calibri"/>
          <w:b/>
          <w:bCs/>
          <w:sz w:val="22"/>
          <w:szCs w:val="22"/>
        </w:rPr>
        <w:t xml:space="preserve">AUDA-NEPAD</w:t>
      </w:r>
      <w:r>
        <w:rPr>
          <w:rFonts w:ascii="Calibri" w:cs="Calibri" w:eastAsia="Calibri" w:hAnsi="Calibri"/>
          <w:sz w:val="22"/>
          <w:szCs w:val="22"/>
        </w:rPr>
        <w:t xml:space="preserve"> — programmatic and policy alignment.</w:t>
      </w:r>
    </w:p>
    <w:p>
      <w:pPr>
        <w:pStyle w:val="ListParagraph"/>
        <w:numPr>
          <w:ilvl w:val="0"/>
          <w:numId w:val="2"/>
        </w:numPr>
        <w:spacing w:after="60" w:before="40" w:line="290"/>
      </w:pPr>
      <w:r>
        <w:rPr>
          <w:rFonts w:ascii="Calibri" w:cs="Calibri" w:eastAsia="Calibri" w:hAnsi="Calibri"/>
          <w:b/>
          <w:bCs/>
          <w:sz w:val="22"/>
          <w:szCs w:val="22"/>
        </w:rPr>
        <w:t xml:space="preserve">SDGs 1, 2, 5, 8, 9, 10, 13 and 17</w:t>
      </w:r>
      <w:r>
        <w:rPr>
          <w:rFonts w:ascii="Calibri" w:cs="Calibri" w:eastAsia="Calibri" w:hAnsi="Calibri"/>
          <w:sz w:val="22"/>
          <w:szCs w:val="22"/>
        </w:rPr>
        <w:t xml:space="preserve"> — poverty, hunger, gender, decent work, innovation, inequality, climate, and partnerships.</w:t>
      </w:r>
    </w:p>
    <w:p>
      <w:pPr>
        <w:pStyle w:val="ListParagraph"/>
        <w:numPr>
          <w:ilvl w:val="0"/>
          <w:numId w:val="2"/>
        </w:numPr>
        <w:spacing w:after="60" w:before="40" w:line="290"/>
      </w:pPr>
      <w:r>
        <w:rPr>
          <w:rFonts w:ascii="Calibri" w:cs="Calibri" w:eastAsia="Calibri" w:hAnsi="Calibri"/>
          <w:b/>
          <w:bCs/>
          <w:sz w:val="22"/>
          <w:szCs w:val="22"/>
        </w:rPr>
        <w:t xml:space="preserve">Standards and ethics</w:t>
      </w:r>
      <w:r>
        <w:rPr>
          <w:rFonts w:ascii="Calibri" w:cs="Calibri" w:eastAsia="Calibri" w:hAnsi="Calibri"/>
          <w:sz w:val="22"/>
          <w:szCs w:val="22"/>
        </w:rPr>
        <w:t xml:space="preserve"> — UNESCO Recommendation on the Ethics of AI, FAIR principles, Principles for Digital Development, OECD-DAC evaluation criteria.</w:t>
      </w:r>
    </w:p>
    <w:p>
      <w:pPr>
        <w:spacing w:after="140" w:before="360"/>
      </w:pPr>
      <w:r>
        <w:rPr>
          <w:rFonts w:ascii="Calibri" w:cs="Calibri" w:eastAsia="Calibri" w:hAnsi="Calibri"/>
          <w:b/>
          <w:bCs/>
          <w:color w:val="1F4E79"/>
          <w:sz w:val="30"/>
          <w:szCs w:val="30"/>
        </w:rPr>
        <w:t xml:space="preserve">9. What we publish on each programme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Open knowledge by default.</w:t>
      </w:r>
    </w:p>
    <w:p>
      <w:pPr>
        <w:spacing w:after="80" w:before="60" w:line="300"/>
      </w:pPr>
      <w:r>
        <w:rPr>
          <w:rFonts w:ascii="Calibri" w:cs="Calibri" w:eastAsia="Calibri" w:hAnsi="Calibri"/>
          <w:sz w:val="22"/>
          <w:szCs w:val="22"/>
        </w:rPr>
        <w:t xml:space="preserve">Every quarter, we publish a programme update. Every year, we publish an audited impact report. Every grant cycle, we commission an independent external evaluation. And every relevant dataset is released under FAIR principles unless privacy or security demands otherwise.</w:t>
      </w:r>
    </w:p>
    <w:p>
      <w:pPr>
        <w:pStyle w:val="ListParagraph"/>
        <w:numPr>
          <w:ilvl w:val="0"/>
          <w:numId w:val="2"/>
        </w:numPr>
        <w:spacing w:after="60" w:before="40" w:line="290"/>
      </w:pPr>
      <w:r>
        <w:rPr>
          <w:rFonts w:ascii="Calibri" w:cs="Calibri" w:eastAsia="Calibri" w:hAnsi="Calibri"/>
          <w:b/>
          <w:bCs/>
          <w:sz w:val="22"/>
          <w:szCs w:val="22"/>
        </w:rPr>
        <w:t xml:space="preserve">Quarterly indicators dashboard</w:t>
      </w:r>
      <w:r>
        <w:rPr>
          <w:rFonts w:ascii="Calibri" w:cs="Calibri" w:eastAsia="Calibri" w:hAnsi="Calibri"/>
          <w:sz w:val="22"/>
          <w:szCs w:val="22"/>
        </w:rPr>
        <w:t xml:space="preserve"> — live numbers from both programmes.</w:t>
      </w:r>
    </w:p>
    <w:p>
      <w:pPr>
        <w:pStyle w:val="ListParagraph"/>
        <w:numPr>
          <w:ilvl w:val="0"/>
          <w:numId w:val="2"/>
        </w:numPr>
        <w:spacing w:after="60" w:before="40" w:line="290"/>
      </w:pPr>
      <w:r>
        <w:rPr>
          <w:rFonts w:ascii="Calibri" w:cs="Calibri" w:eastAsia="Calibri" w:hAnsi="Calibri"/>
          <w:b/>
          <w:bCs/>
          <w:sz w:val="22"/>
          <w:szCs w:val="22"/>
        </w:rPr>
        <w:t xml:space="preserve">Annual impact report</w:t>
      </w:r>
      <w:r>
        <w:rPr>
          <w:rFonts w:ascii="Calibri" w:cs="Calibri" w:eastAsia="Calibri" w:hAnsi="Calibri"/>
          <w:sz w:val="22"/>
          <w:szCs w:val="22"/>
        </w:rPr>
        <w:t xml:space="preserve"> — narrative + audited financials.</w:t>
      </w:r>
    </w:p>
    <w:p>
      <w:pPr>
        <w:pStyle w:val="ListParagraph"/>
        <w:numPr>
          <w:ilvl w:val="0"/>
          <w:numId w:val="2"/>
        </w:numPr>
        <w:spacing w:after="60" w:before="40" w:line="290"/>
      </w:pPr>
      <w:r>
        <w:rPr>
          <w:rFonts w:ascii="Calibri" w:cs="Calibri" w:eastAsia="Calibri" w:hAnsi="Calibri"/>
          <w:b/>
          <w:bCs/>
          <w:sz w:val="22"/>
          <w:szCs w:val="22"/>
        </w:rPr>
        <w:t xml:space="preserve">Policy briefs</w:t>
      </w:r>
      <w:r>
        <w:rPr>
          <w:rFonts w:ascii="Calibri" w:cs="Calibri" w:eastAsia="Calibri" w:hAnsi="Calibri"/>
          <w:sz w:val="22"/>
          <w:szCs w:val="22"/>
        </w:rPr>
        <w:t xml:space="preserve"> — at least four per cycle, co-published with MINAGRI, Kenya MoA, ICGLR and AUDA-NEPAD.</w:t>
      </w:r>
    </w:p>
    <w:p>
      <w:pPr>
        <w:pStyle w:val="ListParagraph"/>
        <w:numPr>
          <w:ilvl w:val="0"/>
          <w:numId w:val="2"/>
        </w:numPr>
        <w:spacing w:after="60" w:before="40" w:line="290"/>
      </w:pPr>
      <w:r>
        <w:rPr>
          <w:rFonts w:ascii="Calibri" w:cs="Calibri" w:eastAsia="Calibri" w:hAnsi="Calibri"/>
          <w:b/>
          <w:bCs/>
          <w:sz w:val="22"/>
          <w:szCs w:val="22"/>
        </w:rPr>
        <w:t xml:space="preserve">Datasets and code</w:t>
      </w:r>
      <w:r>
        <w:rPr>
          <w:rFonts w:ascii="Calibri" w:cs="Calibri" w:eastAsia="Calibri" w:hAnsi="Calibri"/>
          <w:sz w:val="22"/>
          <w:szCs w:val="22"/>
        </w:rPr>
        <w:t xml:space="preserve"> — open releases under FAIR / Apache 2.0 where appropriate.</w:t>
      </w:r>
    </w:p>
    <w:p>
      <w:pPr>
        <w:spacing w:after="80" w:before="60" w:line="300"/>
      </w:pPr>
      <w:r>
        <w:rPr>
          <w:rFonts w:ascii="Calibri" w:cs="Calibri" w:eastAsia="Calibri" w:hAnsi="Calibri"/>
          <w:sz w:val="22"/>
          <w:szCs w:val="22"/>
        </w:rPr>
        <w:t xml:space="preserve">CTAs: See the dashboard → · Browse publications → · Browse datasets and code →</w:t>
      </w:r>
    </w:p>
    <w:p>
      <w:pPr>
        <w:spacing w:after="140" w:before="360"/>
      </w:pPr>
      <w:r>
        <w:rPr>
          <w:rFonts w:ascii="Calibri" w:cs="Calibri" w:eastAsia="Calibri" w:hAnsi="Calibri"/>
          <w:b/>
          <w:bCs/>
          <w:color w:val="1F4E79"/>
          <w:sz w:val="30"/>
          <w:szCs w:val="30"/>
        </w:rPr>
        <w:t xml:space="preserve">10. Strategic partners across both programmes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We do not work alone.</w:t>
      </w:r>
    </w:p>
    <w:p>
      <w:pPr>
        <w:spacing w:after="80" w:before="60" w:line="300"/>
      </w:pPr>
      <w:r>
        <w:rPr>
          <w:rFonts w:ascii="Calibri" w:cs="Calibri" w:eastAsia="Calibri" w:hAnsi="Calibri"/>
          <w:sz w:val="22"/>
          <w:szCs w:val="22"/>
        </w:rPr>
        <w:t xml:space="preserve">Every programme is co-owned with the partner organisations rooted in each country we work in.</w:t>
      </w:r>
    </w:p>
    <w:p>
      <w:pPr>
        <w:spacing w:after="80" w:before="60" w:line="300"/>
      </w:pPr>
      <w:r>
        <w:rPr>
          <w:rFonts w:ascii="Calibri" w:cs="Calibri" w:eastAsia="Calibri" w:hAnsi="Calibri"/>
          <w:sz w:val="22"/>
          <w:szCs w:val="22"/>
        </w:rPr>
        <w:t xml:space="preserve">Logos: McGill University · RCID-Rwanda · South Eastern Kenya University · Terre des Jeunes Togo · Ripen · ICGLR · AUDA-NEPAD — plus donor logos as they sign on.</w:t>
      </w:r>
    </w:p>
    <w:p>
      <w:pPr>
        <w:spacing w:after="80" w:before="60" w:line="300"/>
      </w:pPr>
      <w:r>
        <w:rPr>
          <w:rFonts w:ascii="Calibri" w:cs="Calibri" w:eastAsia="Calibri" w:hAnsi="Calibri"/>
          <w:sz w:val="22"/>
          <w:szCs w:val="22"/>
        </w:rPr>
        <w:t xml:space="preserve">CTA: Meet our partners →</w:t>
      </w:r>
    </w:p>
    <w:p>
      <w:pPr>
        <w:spacing w:after="140" w:before="360"/>
      </w:pPr>
      <w:r>
        <w:rPr>
          <w:rFonts w:ascii="Calibri" w:cs="Calibri" w:eastAsia="Calibri" w:hAnsi="Calibri"/>
          <w:b/>
          <w:bCs/>
          <w:color w:val="1F4E79"/>
          <w:sz w:val="30"/>
          <w:szCs w:val="30"/>
        </w:rPr>
        <w:t xml:space="preserve">11. Get involved with the programmes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Three ways to engage.</w:t>
      </w:r>
    </w:p>
    <w:p>
      <w:pPr>
        <w:pStyle w:val="ListParagraph"/>
        <w:numPr>
          <w:ilvl w:val="0"/>
          <w:numId w:val="2"/>
        </w:numPr>
        <w:spacing w:after="60" w:before="40" w:line="290"/>
      </w:pPr>
      <w:r>
        <w:rPr>
          <w:rFonts w:ascii="Calibri" w:cs="Calibri" w:eastAsia="Calibri" w:hAnsi="Calibri"/>
          <w:b/>
          <w:bCs/>
          <w:sz w:val="22"/>
          <w:szCs w:val="22"/>
        </w:rPr>
        <w:t xml:space="preserve">Fund a programme</w:t>
      </w:r>
      <w:r>
        <w:rPr>
          <w:rFonts w:ascii="Calibri" w:cs="Calibri" w:eastAsia="Calibri" w:hAnsi="Calibri"/>
          <w:sz w:val="22"/>
          <w:szCs w:val="22"/>
        </w:rPr>
        <w:t xml:space="preserve"> — Institutional and major donors — PAGES and ICES are designed to absorb thematic, country-specific or pan-African grants. CTA: See our donor pack →</w:t>
      </w:r>
    </w:p>
    <w:p>
      <w:pPr>
        <w:pStyle w:val="ListParagraph"/>
        <w:numPr>
          <w:ilvl w:val="0"/>
          <w:numId w:val="2"/>
        </w:numPr>
        <w:spacing w:after="60" w:before="40" w:line="290"/>
      </w:pPr>
      <w:r>
        <w:rPr>
          <w:rFonts w:ascii="Calibri" w:cs="Calibri" w:eastAsia="Calibri" w:hAnsi="Calibri"/>
          <w:b/>
          <w:bCs/>
          <w:sz w:val="22"/>
          <w:szCs w:val="22"/>
        </w:rPr>
        <w:t xml:space="preserve">Run a pilot</w:t>
      </w:r>
      <w:r>
        <w:rPr>
          <w:rFonts w:ascii="Calibri" w:cs="Calibri" w:eastAsia="Calibri" w:hAnsi="Calibri"/>
          <w:sz w:val="22"/>
          <w:szCs w:val="22"/>
        </w:rPr>
        <w:t xml:space="preserve"> — Cooperatives, municipalities, ministries — bring your data and your community; we’ll bring the tools and the training. CTA: Propose a pilot →</w:t>
      </w:r>
    </w:p>
    <w:p>
      <w:pPr>
        <w:pStyle w:val="ListParagraph"/>
        <w:numPr>
          <w:ilvl w:val="0"/>
          <w:numId w:val="2"/>
        </w:numPr>
        <w:spacing w:after="60" w:before="40" w:line="290"/>
      </w:pPr>
      <w:r>
        <w:rPr>
          <w:rFonts w:ascii="Calibri" w:cs="Calibri" w:eastAsia="Calibri" w:hAnsi="Calibri"/>
          <w:b/>
          <w:bCs/>
          <w:sz w:val="22"/>
          <w:szCs w:val="22"/>
        </w:rPr>
        <w:t xml:space="preserve">Build with us</w:t>
      </w:r>
      <w:r>
        <w:rPr>
          <w:rFonts w:ascii="Calibri" w:cs="Calibri" w:eastAsia="Calibri" w:hAnsi="Calibri"/>
          <w:sz w:val="22"/>
          <w:szCs w:val="22"/>
        </w:rPr>
        <w:t xml:space="preserve"> — Researchers, engineers, designers, NGOs and tech partners — we welcome contributors to the open codebase and co-authors on policy briefs. CTA: See contribution guidelines →</w:t>
      </w:r>
    </w:p>
    <w:p>
      <w:pPr>
        <w:spacing w:after="140" w:before="360"/>
      </w:pPr>
      <w:r>
        <w:rPr>
          <w:rFonts w:ascii="Calibri" w:cs="Calibri" w:eastAsia="Calibri" w:hAnsi="Calibri"/>
          <w:b/>
          <w:bCs/>
          <w:color w:val="1F4E79"/>
          <w:sz w:val="30"/>
          <w:szCs w:val="30"/>
        </w:rPr>
        <w:t xml:space="preserve">12. Microcopy bank</w:t>
      </w:r>
    </w:p>
    <w:p>
      <w:pPr>
        <w:pStyle w:val="ListParagraph"/>
        <w:numPr>
          <w:ilvl w:val="0"/>
          <w:numId w:val="2"/>
        </w:numPr>
        <w:spacing w:after="60" w:before="40" w:line="290"/>
      </w:pPr>
      <w:r>
        <w:rPr>
          <w:rFonts w:ascii="Calibri" w:cs="Calibri" w:eastAsia="Calibri" w:hAnsi="Calibri"/>
          <w:b/>
          <w:bCs/>
          <w:sz w:val="22"/>
          <w:szCs w:val="22"/>
        </w:rPr>
        <w:t xml:space="preserve">PAGES card hover</w:t>
      </w:r>
      <w:r>
        <w:rPr>
          <w:rFonts w:ascii="Calibri" w:cs="Calibri" w:eastAsia="Calibri" w:hAnsi="Calibri"/>
          <w:sz w:val="22"/>
          <w:szCs w:val="22"/>
        </w:rPr>
        <w:t xml:space="preserve"> — "Designed for cooperatives of 50–500 farmers. Mobile- and USSD-friendly."</w:t>
      </w:r>
    </w:p>
    <w:p>
      <w:pPr>
        <w:pStyle w:val="ListParagraph"/>
        <w:numPr>
          <w:ilvl w:val="0"/>
          <w:numId w:val="2"/>
        </w:numPr>
        <w:spacing w:after="60" w:before="40" w:line="290"/>
      </w:pPr>
      <w:r>
        <w:rPr>
          <w:rFonts w:ascii="Calibri" w:cs="Calibri" w:eastAsia="Calibri" w:hAnsi="Calibri"/>
          <w:b/>
          <w:bCs/>
          <w:sz w:val="22"/>
          <w:szCs w:val="22"/>
        </w:rPr>
        <w:t xml:space="preserve">ICES card hover</w:t>
      </w:r>
      <w:r>
        <w:rPr>
          <w:rFonts w:ascii="Calibri" w:cs="Calibri" w:eastAsia="Calibri" w:hAnsi="Calibri"/>
          <w:sz w:val="22"/>
          <w:szCs w:val="22"/>
        </w:rPr>
        <w:t xml:space="preserve"> — "Designed for municipalities, ag-processing zones, and youth cooperatives. Carbon-finance ready."</w:t>
      </w:r>
    </w:p>
    <w:p>
      <w:pPr>
        <w:pStyle w:val="ListParagraph"/>
        <w:numPr>
          <w:ilvl w:val="0"/>
          <w:numId w:val="2"/>
        </w:numPr>
        <w:spacing w:after="60" w:before="40" w:line="290"/>
      </w:pPr>
      <w:r>
        <w:rPr>
          <w:rFonts w:ascii="Calibri" w:cs="Calibri" w:eastAsia="Calibri" w:hAnsi="Calibri"/>
          <w:b/>
          <w:bCs/>
          <w:sz w:val="22"/>
          <w:szCs w:val="22"/>
        </w:rPr>
        <w:t xml:space="preserve">Standards block tooltip</w:t>
      </w:r>
      <w:r>
        <w:rPr>
          <w:rFonts w:ascii="Calibri" w:cs="Calibri" w:eastAsia="Calibri" w:hAnsi="Calibri"/>
          <w:sz w:val="22"/>
          <w:szCs w:val="22"/>
        </w:rPr>
        <w:t xml:space="preserve"> — "Click any framework name to read how our work maps to it in detail."</w:t>
      </w:r>
    </w:p>
    <w:p>
      <w:pPr>
        <w:pStyle w:val="ListParagraph"/>
        <w:numPr>
          <w:ilvl w:val="0"/>
          <w:numId w:val="2"/>
        </w:numPr>
        <w:spacing w:after="60" w:before="40" w:line="290"/>
      </w:pPr>
      <w:r>
        <w:rPr>
          <w:rFonts w:ascii="Calibri" w:cs="Calibri" w:eastAsia="Calibri" w:hAnsi="Calibri"/>
          <w:b/>
          <w:bCs/>
          <w:sz w:val="22"/>
          <w:szCs w:val="22"/>
        </w:rPr>
        <w:t xml:space="preserve">Map marker tooltip</w:t>
      </w:r>
      <w:r>
        <w:rPr>
          <w:rFonts w:ascii="Calibri" w:cs="Calibri" w:eastAsia="Calibri" w:hAnsi="Calibri"/>
          <w:sz w:val="22"/>
          <w:szCs w:val="22"/>
        </w:rPr>
        <w:t xml:space="preserve"> — "Tap a country to see active programmes, lead partner, and field photos."</w:t>
      </w:r>
    </w:p>
    <w:p>
      <w:pPr>
        <w:spacing w:after="140" w:before="360"/>
      </w:pPr>
      <w:r>
        <w:rPr>
          <w:rFonts w:ascii="Calibri" w:cs="Calibri" w:eastAsia="Calibri" w:hAnsi="Calibri"/>
          <w:b/>
          <w:bCs/>
          <w:color w:val="1F4E79"/>
          <w:sz w:val="30"/>
          <w:szCs w:val="30"/>
        </w:rPr>
        <w:t xml:space="preserve">13. Quick checklist before publishing</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All targets verified against the latest results framework.</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Funder-fit logos cleared in writing.</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Theory-of-change diagrams updated and uploaded as accessible SVG with text equivalents.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Country table updated whenever a new pilot or scale-out lands.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Mid-term evaluation summaries linked once they exist.</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French and Kinyarwanda mirrors live (or "coming soon" with date).</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WCAG AA contrast verified for tables and tile blocks.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Pilot-proposal form tested end-to-end and feeds the CRM.</w:t>
      </w:r>
    </w:p>
    <w:sectPr>
      <w:headerReference w:type="default" r:id="rId7"/>
      <w:footerReference w:type="default" r:id="rId8"/>
      <w:pgSz w:w="12240" w:h="15840"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b/>
        <w:bCs/>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b/>
        <w:bC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SAICE / IFSS — Programs Page Content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2026-05-22T19:03:42.799Z</dcterms:created>
  <dcterms:modified xsi:type="dcterms:W3CDTF">2026-05-22T19:03:42.799Z</dcterms:modified>
</cp:coreProperties>
</file>

<file path=docProps/custom.xml><?xml version="1.0" encoding="utf-8"?>
<Properties xmlns="http://schemas.openxmlformats.org/officeDocument/2006/custom-properties" xmlns:vt="http://schemas.openxmlformats.org/officeDocument/2006/docPropsVTypes"/>
</file>