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80"/>
      </w:pPr>
      <w:r>
        <w:rPr>
          <w:rFonts w:ascii="Calibri" w:cs="Calibri" w:eastAsia="Calibri" w:hAnsi="Calibri"/>
          <w:b/>
          <w:bCs/>
          <w:color w:val="1F4E79"/>
          <w:spacing w:val="30"/>
          <w:sz w:val="18"/>
          <w:szCs w:val="18"/>
        </w:rPr>
        <w:t xml:space="preserve">SAICE — GOVERNANCE AND BOARD</w:t>
      </w:r>
    </w:p>
    <w:p>
      <w:pPr>
        <w:spacing w:after="120" w:before="120"/>
        <w:jc w:val="center"/>
      </w:pPr>
      <w:r>
        <w:rPr>
          <w:rFonts w:ascii="Calibri" w:cs="Calibri" w:eastAsia="Calibri" w:hAnsi="Calibri"/>
          <w:b/>
          <w:bCs/>
          <w:color w:val="1F4E79"/>
          <w:sz w:val="40"/>
          <w:szCs w:val="40"/>
        </w:rPr>
        <w:t xml:space="preserve">Led with care. Run with integrity.</w:t>
      </w:r>
    </w:p>
    <w:p>
      <w:pPr>
        <w:spacing w:after="60" w:before="60"/>
        <w:jc w:val="center"/>
      </w:pPr>
      <w:r>
        <w:rPr>
          <w:rFonts w:ascii="Calibri" w:cs="Calibri" w:eastAsia="Calibri" w:hAnsi="Calibri"/>
          <w:b/>
          <w:bCs/>
          <w:color w:val="1F4E79"/>
          <w:sz w:val="24"/>
          <w:szCs w:val="24"/>
        </w:rPr>
        <w:t xml:space="preserve">How SAICE is governed — the people, principles, and policies that hold us accountable to the communities we serve.</w:t>
      </w:r>
    </w:p>
    <w:p>
      <w:pPr>
        <w:spacing w:after="60" w:before="60"/>
        <w:jc w:val="center"/>
      </w:pPr>
      <w:r>
        <w:rPr>
          <w:rFonts w:ascii="Calibri" w:cs="Calibri" w:eastAsia="Calibri" w:hAnsi="Calibri"/>
          <w:i/>
          <w:iCs/>
          <w:color w:val="2E7D5B"/>
          <w:sz w:val="24"/>
          <w:szCs w:val="24"/>
        </w:rPr>
        <w:t xml:space="preserve">A non-profit centre, openly governed, openly reported</w:t>
      </w:r>
    </w:p>
    <w:p>
      <w:pPr>
        <w:spacing w:after="0" w:before="400"/>
      </w:pPr>
      <w:r>
        <w:t xml:space="preserve"/>
      </w:r>
    </w:p>
    <w:p>
      <w:pPr>
        <w:spacing w:after="0" w:before="60"/>
        <w:jc w:val="center"/>
      </w:pPr>
      <w:r>
        <w:rPr>
          <w:rFonts w:ascii="Calibri" w:cs="Calibri" w:eastAsia="Calibri" w:hAnsi="Calibri"/>
          <w:color w:val="595959"/>
          <w:sz w:val="20"/>
          <w:szCs w:val="20"/>
        </w:rPr>
        <w:t xml:space="preserve">SAICE  ·  A non-profit centre rooted in the Great Lakes Region</w:t>
      </w:r>
    </w:p>
    <w:p>
      <w:pPr>
        <w:spacing w:after="0" w:before="60"/>
        <w:jc w:val="center"/>
      </w:pPr>
      <w:r>
        <w:rPr>
          <w:rFonts w:ascii="Calibri" w:cs="Calibri" w:eastAsia="Calibri" w:hAnsi="Calibri"/>
          <w:color w:val="595959"/>
          <w:sz w:val="20"/>
          <w:szCs w:val="20"/>
        </w:rPr>
        <w:t xml:space="preserve">governance@saice.org  ·  www.saice.org</w:t>
      </w:r>
    </w:p>
    <w:p>
      <w:r>
        <w:br w:type="page"/>
      </w:r>
    </w:p>
    <w:p>
      <w:pPr>
        <w:pStyle w:val="Heading1"/>
        <w:spacing w:after="120" w:before="360"/>
      </w:pPr>
      <w:r>
        <w:rPr>
          <w:rFonts w:ascii="Calibri" w:cs="Calibri" w:eastAsia="Calibri" w:hAnsi="Calibri"/>
          <w:b/>
          <w:bCs/>
          <w:color w:val="1F4E79"/>
          <w:sz w:val="32"/>
          <w:szCs w:val="32"/>
        </w:rPr>
        <w:t xml:space="preserve">Our approach to governance</w:t>
      </w:r>
    </w:p>
    <w:p>
      <w:pPr>
        <w:spacing w:after="60" w:before="60"/>
      </w:pPr>
      <w:r>
        <w:rPr>
          <w:rFonts w:ascii="Calibri" w:cs="Calibri" w:eastAsia="Calibri" w:hAnsi="Calibri"/>
          <w:color w:val="262626"/>
          <w:sz w:val="22"/>
          <w:szCs w:val="22"/>
        </w:rPr>
        <w:t xml:space="preserve">SAICE is a community-rooted non-profit. The work we do — in food security, climate resilience, the circular economy, and inclusive livelihoods — is only as trustworthy as the way we are run. Good governance is not a separate layer on top of our programmes; it is part of how those programmes get designed, delivered, and reviewed.</w:t>
      </w:r>
    </w:p>
    <w:p>
      <w:pPr>
        <w:pBdr>
          <w:left w:val="single" w:color="1F4E79" w:sz="18" w:space="6"/>
        </w:pBdr>
        <w:shd w:fill="E8EEF4" w:color="auto" w:val="clear"/>
        <w:spacing w:after="80" w:before="80"/>
        <w:ind w:left="200" w:right="200"/>
      </w:pPr>
      <w:r>
        <w:rPr>
          <w:rFonts w:ascii="Calibri" w:cs="Calibri" w:eastAsia="Calibri" w:hAnsi="Calibri"/>
          <w:i/>
          <w:iCs/>
          <w:color w:val="1F4E79"/>
          <w:sz w:val="22"/>
          <w:szCs w:val="22"/>
        </w:rPr>
        <w:t xml:space="preserve">We govern as if our work depended on it — because it does. The communities we serve are entitled to know who decides what, how, and on what basis.</w:t>
      </w:r>
    </w:p>
    <w:p>
      <w:pPr>
        <w:pStyle w:val="Heading2"/>
        <w:spacing w:after="80" w:before="220"/>
      </w:pPr>
      <w:r>
        <w:rPr>
          <w:rFonts w:ascii="Calibri" w:cs="Calibri" w:eastAsia="Calibri" w:hAnsi="Calibri"/>
          <w:b/>
          <w:bCs/>
          <w:color w:val="1F4E79"/>
          <w:sz w:val="26"/>
          <w:szCs w:val="26"/>
        </w:rPr>
        <w:t xml:space="preserve">Five governance principles</w:t>
      </w:r>
    </w:p>
    <w:p>
      <w:pPr>
        <w:pStyle w:val="ListParagraph"/>
        <w:numPr>
          <w:ilvl w:val="0"/>
          <w:numId w:val="2"/>
        </w:numPr>
        <w:spacing w:after="30" w:before="30"/>
      </w:pPr>
      <w:r>
        <w:rPr>
          <w:rFonts w:ascii="Calibri" w:cs="Calibri" w:eastAsia="Calibri" w:hAnsi="Calibri"/>
          <w:b/>
          <w:bCs/>
          <w:color w:val="262626"/>
          <w:sz w:val="22"/>
          <w:szCs w:val="22"/>
        </w:rPr>
        <w:t xml:space="preserve">Public-interest first. </w:t>
      </w:r>
      <w:r>
        <w:rPr>
          <w:rFonts w:ascii="Calibri" w:cs="Calibri" w:eastAsia="Calibri" w:hAnsi="Calibri"/>
          <w:color w:val="262626"/>
          <w:sz w:val="22"/>
          <w:szCs w:val="22"/>
        </w:rPr>
        <w:t xml:space="preserve">Every decision is tested against a single question — does this serve the communities SAICE exists for?</w:t>
      </w:r>
    </w:p>
    <w:p>
      <w:pPr>
        <w:pStyle w:val="ListParagraph"/>
        <w:numPr>
          <w:ilvl w:val="0"/>
          <w:numId w:val="2"/>
        </w:numPr>
        <w:spacing w:after="30" w:before="30"/>
      </w:pPr>
      <w:r>
        <w:rPr>
          <w:rFonts w:ascii="Calibri" w:cs="Calibri" w:eastAsia="Calibri" w:hAnsi="Calibri"/>
          <w:b/>
          <w:bCs/>
          <w:color w:val="262626"/>
          <w:sz w:val="22"/>
          <w:szCs w:val="22"/>
        </w:rPr>
        <w:t xml:space="preserve">Independence with proximity. </w:t>
      </w:r>
      <w:r>
        <w:rPr>
          <w:rFonts w:ascii="Calibri" w:cs="Calibri" w:eastAsia="Calibri" w:hAnsi="Calibri"/>
          <w:color w:val="262626"/>
          <w:sz w:val="22"/>
          <w:szCs w:val="22"/>
        </w:rPr>
        <w:t xml:space="preserve">Our board is independent of any single funder, partner, or sector — but always close to the communities the work serves.</w:t>
      </w:r>
    </w:p>
    <w:p>
      <w:pPr>
        <w:pStyle w:val="ListParagraph"/>
        <w:numPr>
          <w:ilvl w:val="0"/>
          <w:numId w:val="2"/>
        </w:numPr>
        <w:spacing w:after="30" w:before="30"/>
      </w:pPr>
      <w:r>
        <w:rPr>
          <w:rFonts w:ascii="Calibri" w:cs="Calibri" w:eastAsia="Calibri" w:hAnsi="Calibri"/>
          <w:b/>
          <w:bCs/>
          <w:color w:val="262626"/>
          <w:sz w:val="22"/>
          <w:szCs w:val="22"/>
        </w:rPr>
        <w:t xml:space="preserve">Diversity by design. </w:t>
      </w:r>
      <w:r>
        <w:rPr>
          <w:rFonts w:ascii="Calibri" w:cs="Calibri" w:eastAsia="Calibri" w:hAnsi="Calibri"/>
          <w:color w:val="262626"/>
          <w:sz w:val="22"/>
          <w:szCs w:val="22"/>
        </w:rPr>
        <w:t xml:space="preserve">Voices from across Africa, the diaspora, and our partner geographies are present at every governance table — not as guests, but as decision-makers.</w:t>
      </w:r>
    </w:p>
    <w:p>
      <w:pPr>
        <w:pStyle w:val="ListParagraph"/>
        <w:numPr>
          <w:ilvl w:val="0"/>
          <w:numId w:val="2"/>
        </w:numPr>
        <w:spacing w:after="30" w:before="30"/>
      </w:pPr>
      <w:r>
        <w:rPr>
          <w:rFonts w:ascii="Calibri" w:cs="Calibri" w:eastAsia="Calibri" w:hAnsi="Calibri"/>
          <w:b/>
          <w:bCs/>
          <w:color w:val="262626"/>
          <w:sz w:val="22"/>
          <w:szCs w:val="22"/>
        </w:rPr>
        <w:t xml:space="preserve">Transparency by default. </w:t>
      </w:r>
      <w:r>
        <w:rPr>
          <w:rFonts w:ascii="Calibri" w:cs="Calibri" w:eastAsia="Calibri" w:hAnsi="Calibri"/>
          <w:color w:val="262626"/>
          <w:sz w:val="22"/>
          <w:szCs w:val="22"/>
        </w:rPr>
        <w:t xml:space="preserve">Statutes, board composition, policies, audited accounts, and major decisions are openly published. Confidentiality is the exception, not the rule.</w:t>
      </w:r>
    </w:p>
    <w:p>
      <w:pPr>
        <w:pStyle w:val="ListParagraph"/>
        <w:numPr>
          <w:ilvl w:val="0"/>
          <w:numId w:val="2"/>
        </w:numPr>
        <w:spacing w:after="30" w:before="30"/>
      </w:pPr>
      <w:r>
        <w:rPr>
          <w:rFonts w:ascii="Calibri" w:cs="Calibri" w:eastAsia="Calibri" w:hAnsi="Calibri"/>
          <w:b/>
          <w:bCs/>
          <w:color w:val="262626"/>
          <w:sz w:val="22"/>
          <w:szCs w:val="22"/>
        </w:rPr>
        <w:t xml:space="preserve">Accountability that bites. </w:t>
      </w:r>
      <w:r>
        <w:rPr>
          <w:rFonts w:ascii="Calibri" w:cs="Calibri" w:eastAsia="Calibri" w:hAnsi="Calibri"/>
          <w:color w:val="262626"/>
          <w:sz w:val="22"/>
          <w:szCs w:val="22"/>
        </w:rPr>
        <w:t xml:space="preserve">Conflicts are declared. Concerns are heard. Mistakes are corrected. Failures are documented and shared.</w:t>
      </w:r>
    </w:p>
    <w:p>
      <w:pPr>
        <w:pStyle w:val="Heading2"/>
        <w:spacing w:after="80" w:before="220"/>
      </w:pPr>
      <w:r>
        <w:rPr>
          <w:rFonts w:ascii="Calibri" w:cs="Calibri" w:eastAsia="Calibri" w:hAnsi="Calibri"/>
          <w:b/>
          <w:bCs/>
          <w:color w:val="1F4E79"/>
          <w:sz w:val="26"/>
          <w:szCs w:val="26"/>
        </w:rPr>
        <w:t xml:space="preserve">Legal form and jurisdiction</w:t>
      </w:r>
    </w:p>
    <w:p>
      <w:pPr>
        <w:pStyle w:val="ListParagraph"/>
        <w:numPr>
          <w:ilvl w:val="0"/>
          <w:numId w:val="2"/>
        </w:numPr>
        <w:spacing w:after="30" w:before="30"/>
      </w:pPr>
      <w:r>
        <w:rPr>
          <w:rFonts w:ascii="Calibri" w:cs="Calibri" w:eastAsia="Calibri" w:hAnsi="Calibri"/>
          <w:color w:val="262626"/>
          <w:sz w:val="22"/>
          <w:szCs w:val="22"/>
        </w:rPr>
        <w:t xml:space="preserve">SAICE is incorporated as a not-for-profit organisation under Canadian federal law, with registered status as a Canadian charity (CRA registration in progress).</w:t>
      </w:r>
    </w:p>
    <w:p>
      <w:pPr>
        <w:pStyle w:val="ListParagraph"/>
        <w:numPr>
          <w:ilvl w:val="0"/>
          <w:numId w:val="2"/>
        </w:numPr>
        <w:spacing w:after="30" w:before="30"/>
      </w:pPr>
      <w:r>
        <w:rPr>
          <w:rFonts w:ascii="Calibri" w:cs="Calibri" w:eastAsia="Calibri" w:hAnsi="Calibri"/>
          <w:color w:val="262626"/>
          <w:sz w:val="22"/>
          <w:szCs w:val="22"/>
        </w:rPr>
        <w:t xml:space="preserve">Registered head office — Toronto, Ontario, Canada.</w:t>
      </w:r>
    </w:p>
    <w:p>
      <w:pPr>
        <w:pStyle w:val="ListParagraph"/>
        <w:numPr>
          <w:ilvl w:val="0"/>
          <w:numId w:val="2"/>
        </w:numPr>
        <w:spacing w:after="30" w:before="30"/>
      </w:pPr>
      <w:r>
        <w:rPr>
          <w:rFonts w:ascii="Calibri" w:cs="Calibri" w:eastAsia="Calibri" w:hAnsi="Calibri"/>
          <w:color w:val="262626"/>
          <w:sz w:val="22"/>
          <w:szCs w:val="22"/>
        </w:rPr>
        <w:t xml:space="preserve">Operating presence — Bujumbura (Burundi) and Kigali (Rwanda), with additional partner sites across the Great Lakes Region and West Africa.</w:t>
      </w:r>
    </w:p>
    <w:p>
      <w:pPr>
        <w:pStyle w:val="ListParagraph"/>
        <w:numPr>
          <w:ilvl w:val="0"/>
          <w:numId w:val="2"/>
        </w:numPr>
        <w:spacing w:after="30" w:before="30"/>
      </w:pPr>
      <w:r>
        <w:rPr>
          <w:rFonts w:ascii="Calibri" w:cs="Calibri" w:eastAsia="Calibri" w:hAnsi="Calibri"/>
          <w:color w:val="262626"/>
          <w:sz w:val="22"/>
          <w:szCs w:val="22"/>
        </w:rPr>
        <w:t xml:space="preserve">Working languages — English and French, with programme delivery in Kirundi, Kinyarwanda, and other local languages as needed.</w:t>
      </w:r>
    </w:p>
    <w:p>
      <w:pPr>
        <w:pStyle w:val="ListParagraph"/>
        <w:numPr>
          <w:ilvl w:val="0"/>
          <w:numId w:val="2"/>
        </w:numPr>
        <w:spacing w:after="30" w:before="30"/>
      </w:pPr>
      <w:r>
        <w:rPr>
          <w:rFonts w:ascii="Calibri" w:cs="Calibri" w:eastAsia="Calibri" w:hAnsi="Calibri"/>
          <w:color w:val="262626"/>
          <w:sz w:val="22"/>
          <w:szCs w:val="22"/>
        </w:rPr>
        <w:t xml:space="preserve">Statutes, articles of incorporation, by-laws, and annual filings are openly available on the SAICE website and through CRA public records.</w:t>
      </w:r>
    </w:p>
    <w:p>
      <w:r>
        <w:br w:type="page"/>
      </w:r>
    </w:p>
    <w:p>
      <w:pPr>
        <w:pStyle w:val="Heading1"/>
        <w:spacing w:after="120" w:before="360"/>
      </w:pPr>
      <w:r>
        <w:rPr>
          <w:rFonts w:ascii="Calibri" w:cs="Calibri" w:eastAsia="Calibri" w:hAnsi="Calibri"/>
          <w:b/>
          <w:bCs/>
          <w:color w:val="1F4E79"/>
          <w:sz w:val="32"/>
          <w:szCs w:val="32"/>
        </w:rPr>
        <w:t xml:space="preserve">Board of Directors</w:t>
      </w:r>
    </w:p>
    <w:p>
      <w:pPr>
        <w:spacing w:after="60" w:before="60"/>
      </w:pPr>
      <w:r>
        <w:rPr>
          <w:rFonts w:ascii="Calibri" w:cs="Calibri" w:eastAsia="Calibri" w:hAnsi="Calibri"/>
          <w:color w:val="262626"/>
          <w:sz w:val="22"/>
          <w:szCs w:val="22"/>
        </w:rPr>
        <w:t xml:space="preserve">The Board of Directors holds ultimate responsibility for SAICE — its mission, its strategy, its finances, its safeguards, and its impact on the communities we serve.</w:t>
      </w:r>
    </w:p>
    <w:p>
      <w:pPr>
        <w:pStyle w:val="Heading2"/>
        <w:spacing w:after="80" w:before="220"/>
      </w:pPr>
      <w:r>
        <w:rPr>
          <w:rFonts w:ascii="Calibri" w:cs="Calibri" w:eastAsia="Calibri" w:hAnsi="Calibri"/>
          <w:b/>
          <w:bCs/>
          <w:color w:val="1F4E79"/>
          <w:sz w:val="26"/>
          <w:szCs w:val="26"/>
        </w:rPr>
        <w:t xml:space="preserve">Composition</w:t>
      </w:r>
    </w:p>
    <w:p>
      <w:pPr>
        <w:pStyle w:val="ListParagraph"/>
        <w:numPr>
          <w:ilvl w:val="0"/>
          <w:numId w:val="2"/>
        </w:numPr>
        <w:spacing w:after="30" w:before="30"/>
      </w:pPr>
      <w:r>
        <w:rPr>
          <w:rFonts w:ascii="Calibri" w:cs="Calibri" w:eastAsia="Calibri" w:hAnsi="Calibri"/>
          <w:color w:val="262626"/>
          <w:sz w:val="22"/>
          <w:szCs w:val="22"/>
        </w:rPr>
        <w:t xml:space="preserve">Seven to eleven members at any time, with a target of nine.</w:t>
      </w:r>
    </w:p>
    <w:p>
      <w:pPr>
        <w:pStyle w:val="ListParagraph"/>
        <w:numPr>
          <w:ilvl w:val="0"/>
          <w:numId w:val="2"/>
        </w:numPr>
        <w:spacing w:after="30" w:before="30"/>
      </w:pPr>
      <w:r>
        <w:rPr>
          <w:rFonts w:ascii="Calibri" w:cs="Calibri" w:eastAsia="Calibri" w:hAnsi="Calibri"/>
          <w:color w:val="262626"/>
          <w:sz w:val="22"/>
          <w:szCs w:val="22"/>
        </w:rPr>
        <w:t xml:space="preserve">At least 50 per cent of directors are women.</w:t>
      </w:r>
    </w:p>
    <w:p>
      <w:pPr>
        <w:pStyle w:val="ListParagraph"/>
        <w:numPr>
          <w:ilvl w:val="0"/>
          <w:numId w:val="2"/>
        </w:numPr>
        <w:spacing w:after="30" w:before="30"/>
      </w:pPr>
      <w:r>
        <w:rPr>
          <w:rFonts w:ascii="Calibri" w:cs="Calibri" w:eastAsia="Calibri" w:hAnsi="Calibri"/>
          <w:color w:val="262626"/>
          <w:sz w:val="22"/>
          <w:szCs w:val="22"/>
        </w:rPr>
        <w:t xml:space="preserve">At least 50 per cent of directors are based in Africa or are African-heritage members of the diaspora.</w:t>
      </w:r>
    </w:p>
    <w:p>
      <w:pPr>
        <w:pStyle w:val="ListParagraph"/>
        <w:numPr>
          <w:ilvl w:val="0"/>
          <w:numId w:val="2"/>
        </w:numPr>
        <w:spacing w:after="30" w:before="30"/>
      </w:pPr>
      <w:r>
        <w:rPr>
          <w:rFonts w:ascii="Calibri" w:cs="Calibri" w:eastAsia="Calibri" w:hAnsi="Calibri"/>
          <w:color w:val="262626"/>
          <w:sz w:val="22"/>
          <w:szCs w:val="22"/>
        </w:rPr>
        <w:t xml:space="preserve">At least one director under the age of 35 (the Youth Seat).</w:t>
      </w:r>
    </w:p>
    <w:p>
      <w:pPr>
        <w:pStyle w:val="ListParagraph"/>
        <w:numPr>
          <w:ilvl w:val="0"/>
          <w:numId w:val="2"/>
        </w:numPr>
        <w:spacing w:after="30" w:before="30"/>
      </w:pPr>
      <w:r>
        <w:rPr>
          <w:rFonts w:ascii="Calibri" w:cs="Calibri" w:eastAsia="Calibri" w:hAnsi="Calibri"/>
          <w:color w:val="262626"/>
          <w:sz w:val="22"/>
          <w:szCs w:val="22"/>
        </w:rPr>
        <w:t xml:space="preserve">At least one director with lived experience of community-led programmes in our purpose areas.</w:t>
      </w:r>
    </w:p>
    <w:p>
      <w:pPr>
        <w:pStyle w:val="ListParagraph"/>
        <w:numPr>
          <w:ilvl w:val="0"/>
          <w:numId w:val="2"/>
        </w:numPr>
        <w:spacing w:after="30" w:before="30"/>
      </w:pPr>
      <w:r>
        <w:rPr>
          <w:rFonts w:ascii="Calibri" w:cs="Calibri" w:eastAsia="Calibri" w:hAnsi="Calibri"/>
          <w:color w:val="262626"/>
          <w:sz w:val="22"/>
          <w:szCs w:val="22"/>
        </w:rPr>
        <w:t xml:space="preserve">A clear majority of independent directors at all times.</w:t>
      </w:r>
    </w:p>
    <w:p>
      <w:pPr>
        <w:pStyle w:val="ListParagraph"/>
        <w:numPr>
          <w:ilvl w:val="0"/>
          <w:numId w:val="2"/>
        </w:numPr>
        <w:spacing w:after="30" w:before="30"/>
      </w:pPr>
      <w:r>
        <w:rPr>
          <w:rFonts w:ascii="Calibri" w:cs="Calibri" w:eastAsia="Calibri" w:hAnsi="Calibri"/>
          <w:color w:val="262626"/>
          <w:sz w:val="22"/>
          <w:szCs w:val="22"/>
        </w:rPr>
        <w:t xml:space="preserve">No more than one staff director (typically the Executive Director, ex-officio, non-voting).</w:t>
      </w:r>
    </w:p>
    <w:p>
      <w:pPr>
        <w:pStyle w:val="Heading2"/>
        <w:spacing w:after="80" w:before="220"/>
      </w:pPr>
      <w:r>
        <w:rPr>
          <w:rFonts w:ascii="Calibri" w:cs="Calibri" w:eastAsia="Calibri" w:hAnsi="Calibri"/>
          <w:b/>
          <w:bCs/>
          <w:color w:val="1F4E79"/>
          <w:sz w:val="26"/>
          <w:szCs w:val="26"/>
        </w:rPr>
        <w:t xml:space="preserve">Skills mix</w:t>
      </w:r>
    </w:p>
    <w:p>
      <w:pPr>
        <w:spacing w:after="60" w:before="60"/>
      </w:pPr>
      <w:r>
        <w:rPr>
          <w:rFonts w:ascii="Calibri" w:cs="Calibri" w:eastAsia="Calibri" w:hAnsi="Calibri"/>
          <w:color w:val="262626"/>
          <w:sz w:val="22"/>
          <w:szCs w:val="22"/>
        </w:rPr>
        <w:t xml:space="preserve">We deliberately build a board with complementary skills, not duplicated ones. The board nominations process targets the following skill clusters: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Skill cluster</w:t>
            </w:r>
          </w:p>
        </w:tc>
        <w:tc>
          <w:tcPr>
            <w:tcW w:type="dxa" w:w="54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Why it matters at SAICE</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Strategy and governance</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Charity-sector strategy, board leadership, fiduciary duty, risk oversight.</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Finance, audit, and risk</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Non-profit accounting, audit, treasury, and enterprise risk management.</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Programme expertise — food and agriculture</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Smallholder systems, cooperatives, agribusiness, value chains.</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Programme expertise — climate, environment, and circular economy</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Climate adaptation, waste systems, biodiversity, carbon markets.</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Programme expertise — inclusive livelihoods</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Youth, women, refugee, and rural-urban inclusion.</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Research and education</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Academic governance, research ethics, applied research leadership.</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Technology, data, and digital ethics</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Responsible technology, data governance, digital public goods.</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Legal and compliance</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Canadian non-profit law, international charity law, partner-country law, safeguarding.</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Communications and fundraising</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Public communications, donor relations, partnership building.</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Community and lived experience</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First-hand insight into the realities of the communities SAICE serves.</w:t>
            </w:r>
          </w:p>
        </w:tc>
      </w:tr>
    </w:tbl>
    <w:p>
      <w:pPr>
        <w:pStyle w:val="Heading2"/>
        <w:spacing w:after="80" w:before="220"/>
      </w:pPr>
      <w:r>
        <w:rPr>
          <w:rFonts w:ascii="Calibri" w:cs="Calibri" w:eastAsia="Calibri" w:hAnsi="Calibri"/>
          <w:b/>
          <w:bCs/>
          <w:color w:val="1F4E79"/>
          <w:sz w:val="26"/>
          <w:szCs w:val="26"/>
        </w:rPr>
        <w:t xml:space="preserve">Officers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Role</w:t>
            </w:r>
          </w:p>
        </w:tc>
        <w:tc>
          <w:tcPr>
            <w:tcW w:type="dxa" w:w="675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Responsibility</w:t>
            </w:r>
          </w:p>
        </w:tc>
      </w:tr>
      <w:tr>
        <w:trPr>
          <w:tblHeader w:val="false"/>
        </w:trPr>
        <w:tc>
          <w:tcPr>
            <w:tcW w:type="dxa" w:w="22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Chair</w:t>
            </w:r>
          </w:p>
        </w:tc>
        <w:tc>
          <w:tcPr>
            <w:tcW w:type="dxa" w:w="67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Leads the board; sets the agenda; chairs board meetings; speaks for the board externally; ensures the board functions well as a team.</w:t>
            </w:r>
          </w:p>
        </w:tc>
      </w:tr>
      <w:tr>
        <w:trPr>
          <w:tblHeader w:val="false"/>
        </w:trPr>
        <w:tc>
          <w:tcPr>
            <w:tcW w:type="dxa" w:w="22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Vice-Chair</w:t>
            </w:r>
          </w:p>
        </w:tc>
        <w:tc>
          <w:tcPr>
            <w:tcW w:type="dxa" w:w="67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Supports the Chair; steps in when the Chair is unavailable; often chairs one of the board committees.</w:t>
            </w:r>
          </w:p>
        </w:tc>
      </w:tr>
      <w:tr>
        <w:trPr>
          <w:tblHeader w:val="false"/>
        </w:trPr>
        <w:tc>
          <w:tcPr>
            <w:tcW w:type="dxa" w:w="22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Treasurer</w:t>
            </w:r>
          </w:p>
        </w:tc>
        <w:tc>
          <w:tcPr>
            <w:tcW w:type="dxa" w:w="67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Oversees financial health, audit relationship, and chairs the Finance, Audit and Risk Committee.</w:t>
            </w:r>
          </w:p>
        </w:tc>
      </w:tr>
      <w:tr>
        <w:trPr>
          <w:tblHeader w:val="false"/>
        </w:trPr>
        <w:tc>
          <w:tcPr>
            <w:tcW w:type="dxa" w:w="22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Secretary</w:t>
            </w:r>
          </w:p>
        </w:tc>
        <w:tc>
          <w:tcPr>
            <w:tcW w:type="dxa" w:w="67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Maintains the integrity of board records, by-laws, and statutory filings.</w:t>
            </w:r>
          </w:p>
        </w:tc>
      </w:tr>
      <w:tr>
        <w:trPr>
          <w:tblHeader w:val="false"/>
        </w:trPr>
        <w:tc>
          <w:tcPr>
            <w:tcW w:type="dxa" w:w="22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Lead Independent Director</w:t>
            </w:r>
          </w:p>
        </w:tc>
        <w:tc>
          <w:tcPr>
            <w:tcW w:type="dxa" w:w="67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Acts as a sounding board for the Chair and Executive Director; ensures independence of board deliberations.</w:t>
            </w:r>
          </w:p>
        </w:tc>
      </w:tr>
    </w:tbl>
    <w:p>
      <w:pPr>
        <w:pStyle w:val="Heading2"/>
        <w:spacing w:after="80" w:before="220"/>
      </w:pPr>
      <w:r>
        <w:rPr>
          <w:rFonts w:ascii="Calibri" w:cs="Calibri" w:eastAsia="Calibri" w:hAnsi="Calibri"/>
          <w:b/>
          <w:bCs/>
          <w:color w:val="1F4E79"/>
          <w:sz w:val="26"/>
          <w:szCs w:val="26"/>
        </w:rPr>
        <w:t xml:space="preserve">Terms and limits</w:t>
      </w:r>
    </w:p>
    <w:p>
      <w:pPr>
        <w:pStyle w:val="ListParagraph"/>
        <w:numPr>
          <w:ilvl w:val="0"/>
          <w:numId w:val="2"/>
        </w:numPr>
        <w:spacing w:after="30" w:before="30"/>
      </w:pPr>
      <w:r>
        <w:rPr>
          <w:rFonts w:ascii="Calibri" w:cs="Calibri" w:eastAsia="Calibri" w:hAnsi="Calibri"/>
          <w:color w:val="262626"/>
          <w:sz w:val="22"/>
          <w:szCs w:val="22"/>
        </w:rPr>
        <w:t xml:space="preserve">Directors serve three-year terms, renewable once consecutively (maximum six years).</w:t>
      </w:r>
    </w:p>
    <w:p>
      <w:pPr>
        <w:pStyle w:val="ListParagraph"/>
        <w:numPr>
          <w:ilvl w:val="0"/>
          <w:numId w:val="2"/>
        </w:numPr>
        <w:spacing w:after="30" w:before="30"/>
      </w:pPr>
      <w:r>
        <w:rPr>
          <w:rFonts w:ascii="Calibri" w:cs="Calibri" w:eastAsia="Calibri" w:hAnsi="Calibri"/>
          <w:color w:val="262626"/>
          <w:sz w:val="22"/>
          <w:szCs w:val="22"/>
        </w:rPr>
        <w:t xml:space="preserve">After a six-year stretch, a director may rejoin only after a minimum two-year gap.</w:t>
      </w:r>
    </w:p>
    <w:p>
      <w:pPr>
        <w:pStyle w:val="ListParagraph"/>
        <w:numPr>
          <w:ilvl w:val="0"/>
          <w:numId w:val="2"/>
        </w:numPr>
        <w:spacing w:after="30" w:before="30"/>
      </w:pPr>
      <w:r>
        <w:rPr>
          <w:rFonts w:ascii="Calibri" w:cs="Calibri" w:eastAsia="Calibri" w:hAnsi="Calibri"/>
          <w:color w:val="262626"/>
          <w:sz w:val="22"/>
          <w:szCs w:val="22"/>
        </w:rPr>
        <w:t xml:space="preserve">The Chair serves a three-year term, renewable once.</w:t>
      </w:r>
    </w:p>
    <w:p>
      <w:pPr>
        <w:pStyle w:val="ListParagraph"/>
        <w:numPr>
          <w:ilvl w:val="0"/>
          <w:numId w:val="2"/>
        </w:numPr>
        <w:spacing w:after="30" w:before="30"/>
      </w:pPr>
      <w:r>
        <w:rPr>
          <w:rFonts w:ascii="Calibri" w:cs="Calibri" w:eastAsia="Calibri" w:hAnsi="Calibri"/>
          <w:color w:val="262626"/>
          <w:sz w:val="22"/>
          <w:szCs w:val="22"/>
        </w:rPr>
        <w:t xml:space="preserve">Annual board self-assessment, and an independent board review every three years.</w:t>
      </w:r>
    </w:p>
    <w:p>
      <w:pPr>
        <w:pStyle w:val="Heading2"/>
        <w:spacing w:after="80" w:before="220"/>
      </w:pPr>
      <w:r>
        <w:rPr>
          <w:rFonts w:ascii="Calibri" w:cs="Calibri" w:eastAsia="Calibri" w:hAnsi="Calibri"/>
          <w:b/>
          <w:bCs/>
          <w:color w:val="1F4E79"/>
          <w:sz w:val="26"/>
          <w:szCs w:val="26"/>
        </w:rPr>
        <w:t xml:space="preserve">How directors are selected</w:t>
      </w:r>
    </w:p>
    <w:p>
      <w:pPr>
        <w:spacing w:after="60" w:before="60"/>
      </w:pPr>
      <w:r>
        <w:rPr>
          <w:rFonts w:ascii="Calibri" w:cs="Calibri" w:eastAsia="Calibri" w:hAnsi="Calibri"/>
          <w:color w:val="262626"/>
          <w:sz w:val="22"/>
          <w:szCs w:val="22"/>
        </w:rPr>
        <w:t xml:space="preserve">Directors are appointed by the existing board on the recommendation of the Nominations and Governance Committee, following an open call, a structured skills-and-diversity gap analysis, and a transparent interview process. Founding directors are appointed by the founding members and confirmed at the first Annual General Meeting.</w:t>
      </w:r>
    </w:p>
    <w:p>
      <w:r>
        <w:br w:type="page"/>
      </w:r>
    </w:p>
    <w:p>
      <w:pPr>
        <w:pStyle w:val="Heading1"/>
        <w:spacing w:after="120" w:before="360"/>
      </w:pPr>
      <w:r>
        <w:rPr>
          <w:rFonts w:ascii="Calibri" w:cs="Calibri" w:eastAsia="Calibri" w:hAnsi="Calibri"/>
          <w:b/>
          <w:bCs/>
          <w:color w:val="1F4E79"/>
          <w:sz w:val="32"/>
          <w:szCs w:val="32"/>
        </w:rPr>
        <w:t xml:space="preserve">Board committees</w:t>
      </w:r>
    </w:p>
    <w:p>
      <w:pPr>
        <w:spacing w:after="60" w:before="60"/>
      </w:pPr>
      <w:r>
        <w:rPr>
          <w:rFonts w:ascii="Calibri" w:cs="Calibri" w:eastAsia="Calibri" w:hAnsi="Calibri"/>
          <w:color w:val="262626"/>
          <w:sz w:val="22"/>
          <w:szCs w:val="22"/>
        </w:rPr>
        <w:t xml:space="preserve">Detailed work is done in committees of the board. Each committee has a formal charter, a chair, a clear scope, and a regular reporting line into the full board.</w:t>
      </w:r>
    </w:p>
    <w:p>
      <w:pPr>
        <w:pStyle w:val="Heading2"/>
        <w:spacing w:after="80" w:before="220"/>
      </w:pPr>
      <w:r>
        <w:rPr>
          <w:rFonts w:ascii="Calibri" w:cs="Calibri" w:eastAsia="Calibri" w:hAnsi="Calibri"/>
          <w:b/>
          <w:bCs/>
          <w:color w:val="1F4E79"/>
          <w:sz w:val="26"/>
          <w:szCs w:val="26"/>
        </w:rPr>
        <w:t xml:space="preserve">Standing committees</w:t>
      </w:r>
    </w:p>
    <w:p>
      <w:pPr>
        <w:pStyle w:val="Heading3"/>
        <w:spacing w:after="60" w:before="160"/>
      </w:pPr>
      <w:r>
        <w:rPr>
          <w:rFonts w:ascii="Calibri" w:cs="Calibri" w:eastAsia="Calibri" w:hAnsi="Calibri"/>
          <w:b/>
          <w:bCs/>
          <w:color w:val="2E7D5B"/>
          <w:sz w:val="22"/>
          <w:szCs w:val="22"/>
        </w:rPr>
        <w:t xml:space="preserve">Finance, Audit and Risk Committee (FARC)</w:t>
      </w:r>
    </w:p>
    <w:p>
      <w:pPr>
        <w:pStyle w:val="ListParagraph"/>
        <w:numPr>
          <w:ilvl w:val="0"/>
          <w:numId w:val="2"/>
        </w:numPr>
        <w:spacing w:after="30" w:before="30"/>
      </w:pPr>
      <w:r>
        <w:rPr>
          <w:rFonts w:ascii="Calibri" w:cs="Calibri" w:eastAsia="Calibri" w:hAnsi="Calibri"/>
          <w:color w:val="262626"/>
          <w:sz w:val="22"/>
          <w:szCs w:val="22"/>
        </w:rPr>
        <w:t xml:space="preserve">Oversees the budget, audited financial statements, internal controls, and the external auditor relationship.</w:t>
      </w:r>
    </w:p>
    <w:p>
      <w:pPr>
        <w:pStyle w:val="ListParagraph"/>
        <w:numPr>
          <w:ilvl w:val="0"/>
          <w:numId w:val="2"/>
        </w:numPr>
        <w:spacing w:after="30" w:before="30"/>
      </w:pPr>
      <w:r>
        <w:rPr>
          <w:rFonts w:ascii="Calibri" w:cs="Calibri" w:eastAsia="Calibri" w:hAnsi="Calibri"/>
          <w:color w:val="262626"/>
          <w:sz w:val="22"/>
          <w:szCs w:val="22"/>
        </w:rPr>
        <w:t xml:space="preserve">Reviews enterprise risk register every quarter.</w:t>
      </w:r>
    </w:p>
    <w:p>
      <w:pPr>
        <w:pStyle w:val="ListParagraph"/>
        <w:numPr>
          <w:ilvl w:val="0"/>
          <w:numId w:val="2"/>
        </w:numPr>
        <w:spacing w:after="30" w:before="30"/>
      </w:pPr>
      <w:r>
        <w:rPr>
          <w:rFonts w:ascii="Calibri" w:cs="Calibri" w:eastAsia="Calibri" w:hAnsi="Calibri"/>
          <w:color w:val="262626"/>
          <w:sz w:val="22"/>
          <w:szCs w:val="22"/>
        </w:rPr>
        <w:t xml:space="preserve">Reviews compliance with Canadian charity rules, partner-country tax and reporting requirements, and donor agreements.</w:t>
      </w:r>
    </w:p>
    <w:p>
      <w:pPr>
        <w:pStyle w:val="ListParagraph"/>
        <w:numPr>
          <w:ilvl w:val="0"/>
          <w:numId w:val="2"/>
        </w:numPr>
        <w:spacing w:after="30" w:before="30"/>
      </w:pPr>
      <w:r>
        <w:rPr>
          <w:rFonts w:ascii="Calibri" w:cs="Calibri" w:eastAsia="Calibri" w:hAnsi="Calibri"/>
          <w:color w:val="262626"/>
          <w:sz w:val="22"/>
          <w:szCs w:val="22"/>
        </w:rPr>
        <w:t xml:space="preserve">Chaired by the Treasurer; minimum of three directors; meets at least quarterly.</w:t>
      </w:r>
    </w:p>
    <w:p>
      <w:pPr>
        <w:pStyle w:val="Heading3"/>
        <w:spacing w:after="60" w:before="160"/>
      </w:pPr>
      <w:r>
        <w:rPr>
          <w:rFonts w:ascii="Calibri" w:cs="Calibri" w:eastAsia="Calibri" w:hAnsi="Calibri"/>
          <w:b/>
          <w:bCs/>
          <w:color w:val="2E7D5B"/>
          <w:sz w:val="22"/>
          <w:szCs w:val="22"/>
        </w:rPr>
        <w:t xml:space="preserve">Programme and Impact Committee (PIC)</w:t>
      </w:r>
    </w:p>
    <w:p>
      <w:pPr>
        <w:pStyle w:val="ListParagraph"/>
        <w:numPr>
          <w:ilvl w:val="0"/>
          <w:numId w:val="2"/>
        </w:numPr>
        <w:spacing w:after="30" w:before="30"/>
      </w:pPr>
      <w:r>
        <w:rPr>
          <w:rFonts w:ascii="Calibri" w:cs="Calibri" w:eastAsia="Calibri" w:hAnsi="Calibri"/>
          <w:color w:val="262626"/>
          <w:sz w:val="22"/>
          <w:szCs w:val="22"/>
        </w:rPr>
        <w:t xml:space="preserve">Reviews programme strategy, design, and performance against the SAICE Theory of Change.</w:t>
      </w:r>
    </w:p>
    <w:p>
      <w:pPr>
        <w:pStyle w:val="ListParagraph"/>
        <w:numPr>
          <w:ilvl w:val="0"/>
          <w:numId w:val="2"/>
        </w:numPr>
        <w:spacing w:after="30" w:before="30"/>
      </w:pPr>
      <w:r>
        <w:rPr>
          <w:rFonts w:ascii="Calibri" w:cs="Calibri" w:eastAsia="Calibri" w:hAnsi="Calibri"/>
          <w:color w:val="262626"/>
          <w:sz w:val="22"/>
          <w:szCs w:val="22"/>
        </w:rPr>
        <w:t xml:space="preserve">Oversees the Monitoring, Evaluation, and Learning (MEL) framework and the annual impact report.</w:t>
      </w:r>
    </w:p>
    <w:p>
      <w:pPr>
        <w:pStyle w:val="ListParagraph"/>
        <w:numPr>
          <w:ilvl w:val="0"/>
          <w:numId w:val="2"/>
        </w:numPr>
        <w:spacing w:after="30" w:before="30"/>
      </w:pPr>
      <w:r>
        <w:rPr>
          <w:rFonts w:ascii="Calibri" w:cs="Calibri" w:eastAsia="Calibri" w:hAnsi="Calibri"/>
          <w:color w:val="262626"/>
          <w:sz w:val="22"/>
          <w:szCs w:val="22"/>
        </w:rPr>
        <w:t xml:space="preserve">Approves major new programmes and significant programme pivots.</w:t>
      </w:r>
    </w:p>
    <w:p>
      <w:pPr>
        <w:pStyle w:val="ListParagraph"/>
        <w:numPr>
          <w:ilvl w:val="0"/>
          <w:numId w:val="2"/>
        </w:numPr>
        <w:spacing w:after="30" w:before="30"/>
      </w:pPr>
      <w:r>
        <w:rPr>
          <w:rFonts w:ascii="Calibri" w:cs="Calibri" w:eastAsia="Calibri" w:hAnsi="Calibri"/>
          <w:color w:val="262626"/>
          <w:sz w:val="22"/>
          <w:szCs w:val="22"/>
        </w:rPr>
        <w:t xml:space="preserve">Meets at least three times per year.</w:t>
      </w:r>
    </w:p>
    <w:p>
      <w:pPr>
        <w:pStyle w:val="Heading3"/>
        <w:spacing w:after="60" w:before="160"/>
      </w:pPr>
      <w:r>
        <w:rPr>
          <w:rFonts w:ascii="Calibri" w:cs="Calibri" w:eastAsia="Calibri" w:hAnsi="Calibri"/>
          <w:b/>
          <w:bCs/>
          <w:color w:val="2E7D5B"/>
          <w:sz w:val="22"/>
          <w:szCs w:val="22"/>
        </w:rPr>
        <w:t xml:space="preserve">Nominations and Governance Committee (NGC)</w:t>
      </w:r>
    </w:p>
    <w:p>
      <w:pPr>
        <w:pStyle w:val="ListParagraph"/>
        <w:numPr>
          <w:ilvl w:val="0"/>
          <w:numId w:val="2"/>
        </w:numPr>
        <w:spacing w:after="30" w:before="30"/>
      </w:pPr>
      <w:r>
        <w:rPr>
          <w:rFonts w:ascii="Calibri" w:cs="Calibri" w:eastAsia="Calibri" w:hAnsi="Calibri"/>
          <w:color w:val="262626"/>
          <w:sz w:val="22"/>
          <w:szCs w:val="22"/>
        </w:rPr>
        <w:t xml:space="preserve">Manages board succession planning, board diversity targets, skills gap analysis, and recruitment.</w:t>
      </w:r>
    </w:p>
    <w:p>
      <w:pPr>
        <w:pStyle w:val="ListParagraph"/>
        <w:numPr>
          <w:ilvl w:val="0"/>
          <w:numId w:val="2"/>
        </w:numPr>
        <w:spacing w:after="30" w:before="30"/>
      </w:pPr>
      <w:r>
        <w:rPr>
          <w:rFonts w:ascii="Calibri" w:cs="Calibri" w:eastAsia="Calibri" w:hAnsi="Calibri"/>
          <w:color w:val="262626"/>
          <w:sz w:val="22"/>
          <w:szCs w:val="22"/>
        </w:rPr>
        <w:t xml:space="preserve">Reviews and updates by-laws, board charter, committee charters, and code of conduct.</w:t>
      </w:r>
    </w:p>
    <w:p>
      <w:pPr>
        <w:pStyle w:val="ListParagraph"/>
        <w:numPr>
          <w:ilvl w:val="0"/>
          <w:numId w:val="2"/>
        </w:numPr>
        <w:spacing w:after="30" w:before="30"/>
      </w:pPr>
      <w:r>
        <w:rPr>
          <w:rFonts w:ascii="Calibri" w:cs="Calibri" w:eastAsia="Calibri" w:hAnsi="Calibri"/>
          <w:color w:val="262626"/>
          <w:sz w:val="22"/>
          <w:szCs w:val="22"/>
        </w:rPr>
        <w:t xml:space="preserve">Oversees the annual board self-assessment and the independent board review.</w:t>
      </w:r>
    </w:p>
    <w:p>
      <w:pPr>
        <w:pStyle w:val="ListParagraph"/>
        <w:numPr>
          <w:ilvl w:val="0"/>
          <w:numId w:val="2"/>
        </w:numPr>
        <w:spacing w:after="30" w:before="30"/>
      </w:pPr>
      <w:r>
        <w:rPr>
          <w:rFonts w:ascii="Calibri" w:cs="Calibri" w:eastAsia="Calibri" w:hAnsi="Calibri"/>
          <w:color w:val="262626"/>
          <w:sz w:val="22"/>
          <w:szCs w:val="22"/>
        </w:rPr>
        <w:t xml:space="preserve">Meets at least twice per year.</w:t>
      </w:r>
    </w:p>
    <w:p>
      <w:pPr>
        <w:pStyle w:val="Heading3"/>
        <w:spacing w:after="60" w:before="160"/>
      </w:pPr>
      <w:r>
        <w:rPr>
          <w:rFonts w:ascii="Calibri" w:cs="Calibri" w:eastAsia="Calibri" w:hAnsi="Calibri"/>
          <w:b/>
          <w:bCs/>
          <w:color w:val="2E7D5B"/>
          <w:sz w:val="22"/>
          <w:szCs w:val="22"/>
        </w:rPr>
        <w:t xml:space="preserve">Ethics, Safeguarding and Integrity Committee (ESIC)</w:t>
      </w:r>
    </w:p>
    <w:p>
      <w:pPr>
        <w:pStyle w:val="ListParagraph"/>
        <w:numPr>
          <w:ilvl w:val="0"/>
          <w:numId w:val="2"/>
        </w:numPr>
        <w:spacing w:after="30" w:before="30"/>
      </w:pPr>
      <w:r>
        <w:rPr>
          <w:rFonts w:ascii="Calibri" w:cs="Calibri" w:eastAsia="Calibri" w:hAnsi="Calibri"/>
          <w:color w:val="262626"/>
          <w:sz w:val="22"/>
          <w:szCs w:val="22"/>
        </w:rPr>
        <w:t xml:space="preserve">Oversees the Code of Conduct, Safeguarding Policy, Whistleblower Policy, and Data Ethics framework.</w:t>
      </w:r>
    </w:p>
    <w:p>
      <w:pPr>
        <w:pStyle w:val="ListParagraph"/>
        <w:numPr>
          <w:ilvl w:val="0"/>
          <w:numId w:val="2"/>
        </w:numPr>
        <w:spacing w:after="30" w:before="30"/>
      </w:pPr>
      <w:r>
        <w:rPr>
          <w:rFonts w:ascii="Calibri" w:cs="Calibri" w:eastAsia="Calibri" w:hAnsi="Calibri"/>
          <w:color w:val="262626"/>
          <w:sz w:val="22"/>
          <w:szCs w:val="22"/>
        </w:rPr>
        <w:t xml:space="preserve">Receives quarterly reports on safeguarding cases, whistleblower disclosures, and integrity concerns.</w:t>
      </w:r>
    </w:p>
    <w:p>
      <w:pPr>
        <w:pStyle w:val="ListParagraph"/>
        <w:numPr>
          <w:ilvl w:val="0"/>
          <w:numId w:val="2"/>
        </w:numPr>
        <w:spacing w:after="30" w:before="30"/>
      </w:pPr>
      <w:r>
        <w:rPr>
          <w:rFonts w:ascii="Calibri" w:cs="Calibri" w:eastAsia="Calibri" w:hAnsi="Calibri"/>
          <w:color w:val="262626"/>
          <w:sz w:val="22"/>
          <w:szCs w:val="22"/>
        </w:rPr>
        <w:t xml:space="preserve">Has a direct, unfiltered reporting line from the Safeguarding Officer.</w:t>
      </w:r>
    </w:p>
    <w:p>
      <w:pPr>
        <w:pStyle w:val="ListParagraph"/>
        <w:numPr>
          <w:ilvl w:val="0"/>
          <w:numId w:val="2"/>
        </w:numPr>
        <w:spacing w:after="30" w:before="30"/>
      </w:pPr>
      <w:r>
        <w:rPr>
          <w:rFonts w:ascii="Calibri" w:cs="Calibri" w:eastAsia="Calibri" w:hAnsi="Calibri"/>
          <w:color w:val="262626"/>
          <w:sz w:val="22"/>
          <w:szCs w:val="22"/>
        </w:rPr>
        <w:t xml:space="preserve">At least one committee member must have professional safeguarding or human-rights expertise.</w:t>
      </w:r>
    </w:p>
    <w:p>
      <w:pPr>
        <w:pStyle w:val="ListParagraph"/>
        <w:numPr>
          <w:ilvl w:val="0"/>
          <w:numId w:val="2"/>
        </w:numPr>
        <w:spacing w:after="30" w:before="30"/>
      </w:pPr>
      <w:r>
        <w:rPr>
          <w:rFonts w:ascii="Calibri" w:cs="Calibri" w:eastAsia="Calibri" w:hAnsi="Calibri"/>
          <w:color w:val="262626"/>
          <w:sz w:val="22"/>
          <w:szCs w:val="22"/>
        </w:rPr>
        <w:t xml:space="preserve">Meets at least quarterly; convenes ad-hoc for significant disclosures.</w:t>
      </w:r>
    </w:p>
    <w:p>
      <w:pPr>
        <w:pStyle w:val="Heading3"/>
        <w:spacing w:after="60" w:before="160"/>
      </w:pPr>
      <w:r>
        <w:rPr>
          <w:rFonts w:ascii="Calibri" w:cs="Calibri" w:eastAsia="Calibri" w:hAnsi="Calibri"/>
          <w:b/>
          <w:bCs/>
          <w:color w:val="2E7D5B"/>
          <w:sz w:val="22"/>
          <w:szCs w:val="22"/>
        </w:rPr>
        <w:t xml:space="preserve">Compensation and People Committee (CPC)</w:t>
      </w:r>
    </w:p>
    <w:p>
      <w:pPr>
        <w:pStyle w:val="ListParagraph"/>
        <w:numPr>
          <w:ilvl w:val="0"/>
          <w:numId w:val="2"/>
        </w:numPr>
        <w:spacing w:after="30" w:before="30"/>
      </w:pPr>
      <w:r>
        <w:rPr>
          <w:rFonts w:ascii="Calibri" w:cs="Calibri" w:eastAsia="Calibri" w:hAnsi="Calibri"/>
          <w:color w:val="262626"/>
          <w:sz w:val="22"/>
          <w:szCs w:val="22"/>
        </w:rPr>
        <w:t xml:space="preserve">Reviews staff compensation philosophy, salary scales, and senior staff appointments.</w:t>
      </w:r>
    </w:p>
    <w:p>
      <w:pPr>
        <w:pStyle w:val="ListParagraph"/>
        <w:numPr>
          <w:ilvl w:val="0"/>
          <w:numId w:val="2"/>
        </w:numPr>
        <w:spacing w:after="30" w:before="30"/>
      </w:pPr>
      <w:r>
        <w:rPr>
          <w:rFonts w:ascii="Calibri" w:cs="Calibri" w:eastAsia="Calibri" w:hAnsi="Calibri"/>
          <w:color w:val="262626"/>
          <w:sz w:val="22"/>
          <w:szCs w:val="22"/>
        </w:rPr>
        <w:t xml:space="preserve">Sets and reviews Executive Director compensation against the SAICE compensation policy and Canadian non-profit benchmarks.</w:t>
      </w:r>
    </w:p>
    <w:p>
      <w:pPr>
        <w:pStyle w:val="ListParagraph"/>
        <w:numPr>
          <w:ilvl w:val="0"/>
          <w:numId w:val="2"/>
        </w:numPr>
        <w:spacing w:after="30" w:before="30"/>
      </w:pPr>
      <w:r>
        <w:rPr>
          <w:rFonts w:ascii="Calibri" w:cs="Calibri" w:eastAsia="Calibri" w:hAnsi="Calibri"/>
          <w:color w:val="262626"/>
          <w:sz w:val="22"/>
          <w:szCs w:val="22"/>
        </w:rPr>
        <w:t xml:space="preserve">Oversees the people strategy — diversity, equity and inclusion, well-being, and learning.</w:t>
      </w:r>
    </w:p>
    <w:p>
      <w:pPr>
        <w:pStyle w:val="ListParagraph"/>
        <w:numPr>
          <w:ilvl w:val="0"/>
          <w:numId w:val="2"/>
        </w:numPr>
        <w:spacing w:after="30" w:before="30"/>
      </w:pPr>
      <w:r>
        <w:rPr>
          <w:rFonts w:ascii="Calibri" w:cs="Calibri" w:eastAsia="Calibri" w:hAnsi="Calibri"/>
          <w:color w:val="262626"/>
          <w:sz w:val="22"/>
          <w:szCs w:val="22"/>
        </w:rPr>
        <w:t xml:space="preserve">Meets at least twice per year.</w:t>
      </w:r>
    </w:p>
    <w:p>
      <w:pPr>
        <w:pStyle w:val="Heading2"/>
        <w:spacing w:after="80" w:before="220"/>
      </w:pPr>
      <w:r>
        <w:rPr>
          <w:rFonts w:ascii="Calibri" w:cs="Calibri" w:eastAsia="Calibri" w:hAnsi="Calibri"/>
          <w:b/>
          <w:bCs/>
          <w:color w:val="1F4E79"/>
          <w:sz w:val="26"/>
          <w:szCs w:val="26"/>
        </w:rPr>
        <w:t xml:space="preserve">Ad-hoc and ex-officio bodies</w:t>
      </w:r>
    </w:p>
    <w:p>
      <w:pPr>
        <w:pStyle w:val="ListParagraph"/>
        <w:numPr>
          <w:ilvl w:val="0"/>
          <w:numId w:val="2"/>
        </w:numPr>
        <w:spacing w:after="30" w:before="30"/>
      </w:pPr>
      <w:r>
        <w:rPr>
          <w:rFonts w:ascii="Calibri" w:cs="Calibri" w:eastAsia="Calibri" w:hAnsi="Calibri"/>
          <w:color w:val="262626"/>
          <w:sz w:val="22"/>
          <w:szCs w:val="22"/>
        </w:rPr>
        <w:t xml:space="preserve">Search committees — convened for Executive Director and other senior leadership transitions.</w:t>
      </w:r>
    </w:p>
    <w:p>
      <w:pPr>
        <w:pStyle w:val="ListParagraph"/>
        <w:numPr>
          <w:ilvl w:val="0"/>
          <w:numId w:val="2"/>
        </w:numPr>
        <w:spacing w:after="30" w:before="30"/>
      </w:pPr>
      <w:r>
        <w:rPr>
          <w:rFonts w:ascii="Calibri" w:cs="Calibri" w:eastAsia="Calibri" w:hAnsi="Calibri"/>
          <w:color w:val="262626"/>
          <w:sz w:val="22"/>
          <w:szCs w:val="22"/>
        </w:rPr>
        <w:t xml:space="preserve">Special task forces — convened for time-limited topics (for example, a new country strategy, a major partnership negotiation, or a serious safeguarding issue).</w:t>
      </w:r>
    </w:p>
    <w:p>
      <w:pPr>
        <w:pStyle w:val="ListParagraph"/>
        <w:numPr>
          <w:ilvl w:val="0"/>
          <w:numId w:val="2"/>
        </w:numPr>
        <w:spacing w:after="30" w:before="30"/>
      </w:pPr>
      <w:r>
        <w:rPr>
          <w:rFonts w:ascii="Calibri" w:cs="Calibri" w:eastAsia="Calibri" w:hAnsi="Calibri"/>
          <w:color w:val="262626"/>
          <w:sz w:val="22"/>
          <w:szCs w:val="22"/>
        </w:rPr>
        <w:t xml:space="preserve">Investment committee — convened if and when SAICE develops a meaningful endowment.</w:t>
      </w:r>
    </w:p>
    <w:p>
      <w:r>
        <w:br w:type="page"/>
      </w:r>
    </w:p>
    <w:p>
      <w:pPr>
        <w:pStyle w:val="Heading1"/>
        <w:spacing w:after="120" w:before="360"/>
      </w:pPr>
      <w:r>
        <w:rPr>
          <w:rFonts w:ascii="Calibri" w:cs="Calibri" w:eastAsia="Calibri" w:hAnsi="Calibri"/>
          <w:b/>
          <w:bCs/>
          <w:color w:val="1F4E79"/>
          <w:sz w:val="32"/>
          <w:szCs w:val="32"/>
        </w:rPr>
        <w:t xml:space="preserve">Executive leadership</w:t>
      </w:r>
    </w:p>
    <w:p>
      <w:pPr>
        <w:spacing w:after="60" w:before="60"/>
      </w:pPr>
      <w:r>
        <w:rPr>
          <w:rFonts w:ascii="Calibri" w:cs="Calibri" w:eastAsia="Calibri" w:hAnsi="Calibri"/>
          <w:color w:val="262626"/>
          <w:sz w:val="22"/>
          <w:szCs w:val="22"/>
        </w:rPr>
        <w:t xml:space="preserve">Day-to-day leadership of SAICE rests with the Executive Director and a small executive team, accountable to the Board of Directors.</w:t>
      </w:r>
    </w:p>
    <w:p>
      <w:pPr>
        <w:pStyle w:val="Heading2"/>
        <w:spacing w:after="80" w:before="220"/>
      </w:pPr>
      <w:r>
        <w:rPr>
          <w:rFonts w:ascii="Calibri" w:cs="Calibri" w:eastAsia="Calibri" w:hAnsi="Calibri"/>
          <w:b/>
          <w:bCs/>
          <w:color w:val="1F4E79"/>
          <w:sz w:val="26"/>
          <w:szCs w:val="26"/>
        </w:rPr>
        <w:t xml:space="preserve">Executive Director (ED)</w:t>
      </w:r>
    </w:p>
    <w:p>
      <w:pPr>
        <w:pStyle w:val="ListParagraph"/>
        <w:numPr>
          <w:ilvl w:val="0"/>
          <w:numId w:val="2"/>
        </w:numPr>
        <w:spacing w:after="30" w:before="30"/>
      </w:pPr>
      <w:r>
        <w:rPr>
          <w:rFonts w:ascii="Calibri" w:cs="Calibri" w:eastAsia="Calibri" w:hAnsi="Calibri"/>
          <w:color w:val="262626"/>
          <w:sz w:val="22"/>
          <w:szCs w:val="22"/>
        </w:rPr>
        <w:t xml:space="preserve">Appointed by the Board of Directors on the recommendation of the Nominations and Governance Committee, after open recruitment.</w:t>
      </w:r>
    </w:p>
    <w:p>
      <w:pPr>
        <w:pStyle w:val="ListParagraph"/>
        <w:numPr>
          <w:ilvl w:val="0"/>
          <w:numId w:val="2"/>
        </w:numPr>
        <w:spacing w:after="30" w:before="30"/>
      </w:pPr>
      <w:r>
        <w:rPr>
          <w:rFonts w:ascii="Calibri" w:cs="Calibri" w:eastAsia="Calibri" w:hAnsi="Calibri"/>
          <w:color w:val="262626"/>
          <w:sz w:val="22"/>
          <w:szCs w:val="22"/>
        </w:rPr>
        <w:t xml:space="preserve">Holds the formal accountability for delivery of the SAICE strategy, finances, programmes, people, and safeguards.</w:t>
      </w:r>
    </w:p>
    <w:p>
      <w:pPr>
        <w:pStyle w:val="ListParagraph"/>
        <w:numPr>
          <w:ilvl w:val="0"/>
          <w:numId w:val="2"/>
        </w:numPr>
        <w:spacing w:after="30" w:before="30"/>
      </w:pPr>
      <w:r>
        <w:rPr>
          <w:rFonts w:ascii="Calibri" w:cs="Calibri" w:eastAsia="Calibri" w:hAnsi="Calibri"/>
          <w:color w:val="262626"/>
          <w:sz w:val="22"/>
          <w:szCs w:val="22"/>
        </w:rPr>
        <w:t xml:space="preserve">Attends every board meeting (ex-officio, non-voting) and reports to the board at least quarterly.</w:t>
      </w:r>
    </w:p>
    <w:p>
      <w:pPr>
        <w:pStyle w:val="ListParagraph"/>
        <w:numPr>
          <w:ilvl w:val="0"/>
          <w:numId w:val="2"/>
        </w:numPr>
        <w:spacing w:after="30" w:before="30"/>
      </w:pPr>
      <w:r>
        <w:rPr>
          <w:rFonts w:ascii="Calibri" w:cs="Calibri" w:eastAsia="Calibri" w:hAnsi="Calibri"/>
          <w:color w:val="262626"/>
          <w:sz w:val="22"/>
          <w:szCs w:val="22"/>
        </w:rPr>
        <w:t xml:space="preserve">Subject to a written performance agreement reviewed annually by the Compensation and People Committee.</w:t>
      </w:r>
    </w:p>
    <w:p>
      <w:pPr>
        <w:pStyle w:val="Heading2"/>
        <w:spacing w:after="80" w:before="220"/>
      </w:pPr>
      <w:r>
        <w:rPr>
          <w:rFonts w:ascii="Calibri" w:cs="Calibri" w:eastAsia="Calibri" w:hAnsi="Calibri"/>
          <w:b/>
          <w:bCs/>
          <w:color w:val="1F4E79"/>
          <w:sz w:val="26"/>
          <w:szCs w:val="26"/>
        </w:rPr>
        <w:t xml:space="preserve">Senior leadership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Role</w:t>
            </w:r>
          </w:p>
        </w:tc>
        <w:tc>
          <w:tcPr>
            <w:tcW w:type="dxa" w:w="54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Scope</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Overall leadership; strategy; representation; final operational authority.</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Director of Programmes</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Programme design, delivery, and quality across countries and purpose areas.</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Director of Research, Learning and Policy</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Applied research, MEL, evidence, policy engagement, and knowledge products.</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Director of Operations and Finance</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Finance, HR, IT, legal, procurement, compliance, and country administration.</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Director of Partnerships and Communications</w:t>
            </w:r>
          </w:p>
        </w:tc>
        <w:tc>
          <w:tcPr>
            <w:tcW w:type="dxa" w:w="5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Partnerships, fundraising, communications, and convening.</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Safeguarding Officer</w:t>
            </w:r>
          </w:p>
        </w:tc>
        <w:tc>
          <w:tcPr>
            <w:tcW w:type="dxa" w:w="54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Independent reporting line into the Ethics, Safeguarding and Integrity Committee for all safeguarding matters.</w:t>
            </w:r>
          </w:p>
        </w:tc>
      </w:tr>
    </w:tbl>
    <w:p>
      <w:pPr>
        <w:pStyle w:val="Heading2"/>
        <w:spacing w:after="80" w:before="220"/>
      </w:pPr>
      <w:r>
        <w:rPr>
          <w:rFonts w:ascii="Calibri" w:cs="Calibri" w:eastAsia="Calibri" w:hAnsi="Calibri"/>
          <w:b/>
          <w:bCs/>
          <w:color w:val="1F4E79"/>
          <w:sz w:val="26"/>
          <w:szCs w:val="26"/>
        </w:rPr>
        <w:t xml:space="preserve">Country and programme leadership</w:t>
      </w:r>
    </w:p>
    <w:p>
      <w:pPr>
        <w:pStyle w:val="ListParagraph"/>
        <w:numPr>
          <w:ilvl w:val="0"/>
          <w:numId w:val="2"/>
        </w:numPr>
        <w:spacing w:after="30" w:before="30"/>
      </w:pPr>
      <w:r>
        <w:rPr>
          <w:rFonts w:ascii="Calibri" w:cs="Calibri" w:eastAsia="Calibri" w:hAnsi="Calibri"/>
          <w:color w:val="262626"/>
          <w:sz w:val="22"/>
          <w:szCs w:val="22"/>
        </w:rPr>
        <w:t xml:space="preserve">Country Director (Burundi) — leads in-country team, government and partner relations, programme delivery.</w:t>
      </w:r>
    </w:p>
    <w:p>
      <w:pPr>
        <w:pStyle w:val="ListParagraph"/>
        <w:numPr>
          <w:ilvl w:val="0"/>
          <w:numId w:val="2"/>
        </w:numPr>
        <w:spacing w:after="30" w:before="30"/>
      </w:pPr>
      <w:r>
        <w:rPr>
          <w:rFonts w:ascii="Calibri" w:cs="Calibri" w:eastAsia="Calibri" w:hAnsi="Calibri"/>
          <w:color w:val="262626"/>
          <w:sz w:val="22"/>
          <w:szCs w:val="22"/>
        </w:rPr>
        <w:t xml:space="preserve">Country Director (Rwanda) — same scope, in the Rwandan context.</w:t>
      </w:r>
    </w:p>
    <w:p>
      <w:pPr>
        <w:pStyle w:val="ListParagraph"/>
        <w:numPr>
          <w:ilvl w:val="0"/>
          <w:numId w:val="2"/>
        </w:numPr>
        <w:spacing w:after="30" w:before="30"/>
      </w:pPr>
      <w:r>
        <w:rPr>
          <w:rFonts w:ascii="Calibri" w:cs="Calibri" w:eastAsia="Calibri" w:hAnsi="Calibri"/>
          <w:color w:val="262626"/>
          <w:sz w:val="22"/>
          <w:szCs w:val="22"/>
        </w:rPr>
        <w:t xml:space="preserve">Programme Leads — accountable for individual flagship programmes (PAGES, ICES, and future flagships) across countries.</w:t>
      </w:r>
    </w:p>
    <w:p>
      <w:pPr>
        <w:pStyle w:val="ListParagraph"/>
        <w:numPr>
          <w:ilvl w:val="0"/>
          <w:numId w:val="2"/>
        </w:numPr>
        <w:spacing w:after="30" w:before="30"/>
      </w:pPr>
      <w:r>
        <w:rPr>
          <w:rFonts w:ascii="Calibri" w:cs="Calibri" w:eastAsia="Calibri" w:hAnsi="Calibri"/>
          <w:color w:val="262626"/>
          <w:sz w:val="22"/>
          <w:szCs w:val="22"/>
        </w:rPr>
        <w:t xml:space="preserve">Field site leads and cooperative liaisons — present in every active community where we work.</w:t>
      </w:r>
    </w:p>
    <w:p>
      <w:r>
        <w:br w:type="page"/>
      </w:r>
    </w:p>
    <w:p>
      <w:pPr>
        <w:pStyle w:val="Heading1"/>
        <w:spacing w:after="120" w:before="360"/>
      </w:pPr>
      <w:r>
        <w:rPr>
          <w:rFonts w:ascii="Calibri" w:cs="Calibri" w:eastAsia="Calibri" w:hAnsi="Calibri"/>
          <w:b/>
          <w:bCs/>
          <w:color w:val="1F4E79"/>
          <w:sz w:val="32"/>
          <w:szCs w:val="32"/>
        </w:rPr>
        <w:t xml:space="preserve">Advisory bodies</w:t>
      </w:r>
    </w:p>
    <w:p>
      <w:pPr>
        <w:spacing w:after="60" w:before="60"/>
      </w:pPr>
      <w:r>
        <w:rPr>
          <w:rFonts w:ascii="Calibri" w:cs="Calibri" w:eastAsia="Calibri" w:hAnsi="Calibri"/>
          <w:color w:val="262626"/>
          <w:sz w:val="22"/>
          <w:szCs w:val="22"/>
        </w:rPr>
        <w:t xml:space="preserve">The Board of Directors is the formal decision-making body. To stay close to the communities we serve and the disciplines we draw on, SAICE convenes three standing advisory bodies.</w:t>
      </w:r>
    </w:p>
    <w:p>
      <w:pPr>
        <w:pStyle w:val="Heading2"/>
        <w:spacing w:after="80" w:before="220"/>
      </w:pPr>
      <w:r>
        <w:rPr>
          <w:rFonts w:ascii="Calibri" w:cs="Calibri" w:eastAsia="Calibri" w:hAnsi="Calibri"/>
          <w:b/>
          <w:bCs/>
          <w:color w:val="1F4E79"/>
          <w:sz w:val="26"/>
          <w:szCs w:val="26"/>
        </w:rPr>
        <w:t xml:space="preserve">Academic and Research Advisory Council (ARAC)</w:t>
      </w:r>
    </w:p>
    <w:p>
      <w:pPr>
        <w:pStyle w:val="ListParagraph"/>
        <w:numPr>
          <w:ilvl w:val="0"/>
          <w:numId w:val="2"/>
        </w:numPr>
        <w:spacing w:after="30" w:before="30"/>
      </w:pPr>
      <w:r>
        <w:rPr>
          <w:rFonts w:ascii="Calibri" w:cs="Calibri" w:eastAsia="Calibri" w:hAnsi="Calibri"/>
          <w:color w:val="262626"/>
          <w:sz w:val="22"/>
          <w:szCs w:val="22"/>
        </w:rPr>
        <w:t xml:space="preserve">Provides scientific guidance on applied research, MEL, and knowledge products.</w:t>
      </w:r>
    </w:p>
    <w:p>
      <w:pPr>
        <w:pStyle w:val="ListParagraph"/>
        <w:numPr>
          <w:ilvl w:val="0"/>
          <w:numId w:val="2"/>
        </w:numPr>
        <w:spacing w:after="30" w:before="30"/>
      </w:pPr>
      <w:r>
        <w:rPr>
          <w:rFonts w:ascii="Calibri" w:cs="Calibri" w:eastAsia="Calibri" w:hAnsi="Calibri"/>
          <w:color w:val="262626"/>
          <w:sz w:val="22"/>
          <w:szCs w:val="22"/>
        </w:rPr>
        <w:t xml:space="preserve">Chaired by a senior academic from outside the executive team.</w:t>
      </w:r>
    </w:p>
    <w:p>
      <w:pPr>
        <w:pStyle w:val="ListParagraph"/>
        <w:numPr>
          <w:ilvl w:val="0"/>
          <w:numId w:val="2"/>
        </w:numPr>
        <w:spacing w:after="30" w:before="30"/>
      </w:pPr>
      <w:r>
        <w:rPr>
          <w:rFonts w:ascii="Calibri" w:cs="Calibri" w:eastAsia="Calibri" w:hAnsi="Calibri"/>
          <w:color w:val="262626"/>
          <w:sz w:val="22"/>
          <w:szCs w:val="22"/>
        </w:rPr>
        <w:t xml:space="preserve">Includes representatives from cornerstone academic partners — including McGill University (Desautels MMA), RCID-Rwanda, South Eastern Kenya University (SEKU), Ripen, and other selected universities.</w:t>
      </w:r>
    </w:p>
    <w:p>
      <w:pPr>
        <w:pStyle w:val="ListParagraph"/>
        <w:numPr>
          <w:ilvl w:val="0"/>
          <w:numId w:val="2"/>
        </w:numPr>
        <w:spacing w:after="30" w:before="30"/>
      </w:pPr>
      <w:r>
        <w:rPr>
          <w:rFonts w:ascii="Calibri" w:cs="Calibri" w:eastAsia="Calibri" w:hAnsi="Calibri"/>
          <w:color w:val="262626"/>
          <w:sz w:val="22"/>
          <w:szCs w:val="22"/>
        </w:rPr>
        <w:t xml:space="preserve">Meets at least twice per year; reports into the Programme and Impact Committee.</w:t>
      </w:r>
    </w:p>
    <w:p>
      <w:pPr>
        <w:pStyle w:val="Heading2"/>
        <w:spacing w:after="80" w:before="220"/>
      </w:pPr>
      <w:r>
        <w:rPr>
          <w:rFonts w:ascii="Calibri" w:cs="Calibri" w:eastAsia="Calibri" w:hAnsi="Calibri"/>
          <w:b/>
          <w:bCs/>
          <w:color w:val="1F4E79"/>
          <w:sz w:val="26"/>
          <w:szCs w:val="26"/>
        </w:rPr>
        <w:t xml:space="preserve">Community and Youth Advisory Panel (CYAP)</w:t>
      </w:r>
    </w:p>
    <w:p>
      <w:pPr>
        <w:pStyle w:val="ListParagraph"/>
        <w:numPr>
          <w:ilvl w:val="0"/>
          <w:numId w:val="2"/>
        </w:numPr>
        <w:spacing w:after="30" w:before="30"/>
      </w:pPr>
      <w:r>
        <w:rPr>
          <w:rFonts w:ascii="Calibri" w:cs="Calibri" w:eastAsia="Calibri" w:hAnsi="Calibri"/>
          <w:color w:val="262626"/>
          <w:sz w:val="22"/>
          <w:szCs w:val="22"/>
        </w:rPr>
        <w:t xml:space="preserve">A standing panel of farmer cooperative leaders, women cooperative members, youth founders, and community representatives from our active programme sites.</w:t>
      </w:r>
    </w:p>
    <w:p>
      <w:pPr>
        <w:pStyle w:val="ListParagraph"/>
        <w:numPr>
          <w:ilvl w:val="0"/>
          <w:numId w:val="2"/>
        </w:numPr>
        <w:spacing w:after="30" w:before="30"/>
      </w:pPr>
      <w:r>
        <w:rPr>
          <w:rFonts w:ascii="Calibri" w:cs="Calibri" w:eastAsia="Calibri" w:hAnsi="Calibri"/>
          <w:color w:val="262626"/>
          <w:sz w:val="22"/>
          <w:szCs w:val="22"/>
        </w:rPr>
        <w:t xml:space="preserve">Reviews proposed new programmes and major programme changes from a community-experience perspective.</w:t>
      </w:r>
    </w:p>
    <w:p>
      <w:pPr>
        <w:pStyle w:val="ListParagraph"/>
        <w:numPr>
          <w:ilvl w:val="0"/>
          <w:numId w:val="2"/>
        </w:numPr>
        <w:spacing w:after="30" w:before="30"/>
      </w:pPr>
      <w:r>
        <w:rPr>
          <w:rFonts w:ascii="Calibri" w:cs="Calibri" w:eastAsia="Calibri" w:hAnsi="Calibri"/>
          <w:color w:val="262626"/>
          <w:sz w:val="22"/>
          <w:szCs w:val="22"/>
        </w:rPr>
        <w:t xml:space="preserve">At least 50 per cent women, at least 50 per cent under 35, with refugee and host-community representation where relevant.</w:t>
      </w:r>
    </w:p>
    <w:p>
      <w:pPr>
        <w:pStyle w:val="ListParagraph"/>
        <w:numPr>
          <w:ilvl w:val="0"/>
          <w:numId w:val="2"/>
        </w:numPr>
        <w:spacing w:after="30" w:before="30"/>
      </w:pPr>
      <w:r>
        <w:rPr>
          <w:rFonts w:ascii="Calibri" w:cs="Calibri" w:eastAsia="Calibri" w:hAnsi="Calibri"/>
          <w:color w:val="262626"/>
          <w:sz w:val="22"/>
          <w:szCs w:val="22"/>
        </w:rPr>
        <w:t xml:space="preserve">Meets at least three times per year; reports into the Programme and Impact Committee.</w:t>
      </w:r>
    </w:p>
    <w:p>
      <w:pPr>
        <w:pStyle w:val="Heading2"/>
        <w:spacing w:after="80" w:before="220"/>
      </w:pPr>
      <w:r>
        <w:rPr>
          <w:rFonts w:ascii="Calibri" w:cs="Calibri" w:eastAsia="Calibri" w:hAnsi="Calibri"/>
          <w:b/>
          <w:bCs/>
          <w:color w:val="1F4E79"/>
          <w:sz w:val="26"/>
          <w:szCs w:val="26"/>
        </w:rPr>
        <w:t xml:space="preserve">Policy and Ecosystem Advisory Group (PEAG)</w:t>
      </w:r>
    </w:p>
    <w:p>
      <w:pPr>
        <w:pStyle w:val="ListParagraph"/>
        <w:numPr>
          <w:ilvl w:val="0"/>
          <w:numId w:val="2"/>
        </w:numPr>
        <w:spacing w:after="30" w:before="30"/>
      </w:pPr>
      <w:r>
        <w:rPr>
          <w:rFonts w:ascii="Calibri" w:cs="Calibri" w:eastAsia="Calibri" w:hAnsi="Calibri"/>
          <w:color w:val="262626"/>
          <w:sz w:val="22"/>
          <w:szCs w:val="22"/>
        </w:rPr>
        <w:t xml:space="preserve">Convenes senior figures from regional and continental institutions (ICGLR, AUDA-NEPAD, AU, EAC) and partner-country governments.</w:t>
      </w:r>
    </w:p>
    <w:p>
      <w:pPr>
        <w:pStyle w:val="ListParagraph"/>
        <w:numPr>
          <w:ilvl w:val="0"/>
          <w:numId w:val="2"/>
        </w:numPr>
        <w:spacing w:after="30" w:before="30"/>
      </w:pPr>
      <w:r>
        <w:rPr>
          <w:rFonts w:ascii="Calibri" w:cs="Calibri" w:eastAsia="Calibri" w:hAnsi="Calibri"/>
          <w:color w:val="262626"/>
          <w:sz w:val="22"/>
          <w:szCs w:val="22"/>
        </w:rPr>
        <w:t xml:space="preserve">Provides perspective on how SAICE's work connects to national, regional, and continental priorities.</w:t>
      </w:r>
    </w:p>
    <w:p>
      <w:pPr>
        <w:pStyle w:val="ListParagraph"/>
        <w:numPr>
          <w:ilvl w:val="0"/>
          <w:numId w:val="2"/>
        </w:numPr>
        <w:spacing w:after="30" w:before="30"/>
      </w:pPr>
      <w:r>
        <w:rPr>
          <w:rFonts w:ascii="Calibri" w:cs="Calibri" w:eastAsia="Calibri" w:hAnsi="Calibri"/>
          <w:color w:val="262626"/>
          <w:sz w:val="22"/>
          <w:szCs w:val="22"/>
        </w:rPr>
        <w:t xml:space="preserve">Meets at least twice per year; reports into the Board.</w:t>
      </w:r>
    </w:p>
    <w:p>
      <w:pPr>
        <w:pStyle w:val="Heading2"/>
        <w:spacing w:after="80" w:before="220"/>
      </w:pPr>
      <w:r>
        <w:rPr>
          <w:rFonts w:ascii="Calibri" w:cs="Calibri" w:eastAsia="Calibri" w:hAnsi="Calibri"/>
          <w:b/>
          <w:bCs/>
          <w:color w:val="1F4E79"/>
          <w:sz w:val="26"/>
          <w:szCs w:val="26"/>
        </w:rPr>
        <w:t xml:space="preserve">Honorary patrons and ambassadors</w:t>
      </w:r>
    </w:p>
    <w:p>
      <w:pPr>
        <w:spacing w:after="60" w:before="60"/>
      </w:pPr>
      <w:r>
        <w:rPr>
          <w:rFonts w:ascii="Calibri" w:cs="Calibri" w:eastAsia="Calibri" w:hAnsi="Calibri"/>
          <w:color w:val="262626"/>
          <w:sz w:val="22"/>
          <w:szCs w:val="22"/>
        </w:rPr>
        <w:t xml:space="preserve">SAICE may recognise a small number of honorary patrons and ambassadors — distinguished individuals who lend their voice and credibility to the mission. Patrons and ambassadors do not have governance roles or decision-making authority, and are appointed by the Board for renewable two-year terms.</w:t>
      </w:r>
    </w:p>
    <w:p>
      <w:r>
        <w:br w:type="page"/>
      </w:r>
    </w:p>
    <w:p>
      <w:pPr>
        <w:pStyle w:val="Heading1"/>
        <w:spacing w:after="120" w:before="360"/>
      </w:pPr>
      <w:r>
        <w:rPr>
          <w:rFonts w:ascii="Calibri" w:cs="Calibri" w:eastAsia="Calibri" w:hAnsi="Calibri"/>
          <w:b/>
          <w:bCs/>
          <w:color w:val="1F4E79"/>
          <w:sz w:val="32"/>
          <w:szCs w:val="32"/>
        </w:rPr>
        <w:t xml:space="preserve">How decisions are made</w:t>
      </w:r>
    </w:p>
    <w:p>
      <w:pPr>
        <w:pStyle w:val="Heading2"/>
        <w:spacing w:after="80" w:before="220"/>
      </w:pPr>
      <w:r>
        <w:rPr>
          <w:rFonts w:ascii="Calibri" w:cs="Calibri" w:eastAsia="Calibri" w:hAnsi="Calibri"/>
          <w:b/>
          <w:bCs/>
          <w:color w:val="1F4E79"/>
          <w:sz w:val="26"/>
          <w:szCs w:val="26"/>
        </w:rPr>
        <w:t xml:space="preserve">Decision rights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5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Decision</w:t>
            </w:r>
          </w:p>
        </w:tc>
        <w:tc>
          <w:tcPr>
            <w:tcW w:type="dxa" w:w="27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Decided by</w:t>
            </w:r>
          </w:p>
        </w:tc>
        <w:tc>
          <w:tcPr>
            <w:tcW w:type="dxa" w:w="315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Informed by</w:t>
            </w:r>
          </w:p>
        </w:tc>
      </w:tr>
      <w:tr>
        <w:trPr>
          <w:tblHeader w:val="false"/>
        </w:trPr>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Mission, vision, values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Board</w:t>
            </w:r>
          </w:p>
        </w:tc>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Members at Annual General Meeting</w:t>
            </w:r>
          </w:p>
        </w:tc>
      </w:tr>
      <w:tr>
        <w:trPr>
          <w:tblHeader w:val="false"/>
        </w:trPr>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Strategic plan and country strategies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Board</w:t>
            </w:r>
          </w:p>
        </w:tc>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 and senior team</w:t>
            </w:r>
          </w:p>
        </w:tc>
      </w:tr>
      <w:tr>
        <w:trPr>
          <w:tblHeader w:val="false"/>
        </w:trPr>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Annual budget and audited accounts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Board (FARC recommends)</w:t>
            </w:r>
          </w:p>
        </w:tc>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 and Director of Operations</w:t>
            </w:r>
          </w:p>
        </w:tc>
      </w:tr>
      <w:tr>
        <w:trPr>
          <w:tblHeader w:val="false"/>
        </w:trPr>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Major new programmes or country entries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Board (PIC recommends)</w:t>
            </w:r>
          </w:p>
        </w:tc>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 and Community and Youth Advisory Panel</w:t>
            </w:r>
          </w:p>
        </w:tc>
      </w:tr>
      <w:tr>
        <w:trPr>
          <w:tblHeader w:val="false"/>
        </w:trPr>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Senior leadership appointments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Board (CPC recommends)</w:t>
            </w:r>
          </w:p>
        </w:tc>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w:t>
            </w:r>
          </w:p>
        </w:tc>
      </w:tr>
      <w:tr>
        <w:trPr>
          <w:tblHeader w:val="false"/>
        </w:trPr>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Day-to-day programme delivery</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 and senior team</w:t>
            </w:r>
          </w:p>
        </w:tc>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Country Directors, Programme Leads</w:t>
            </w:r>
          </w:p>
        </w:tc>
      </w:tr>
      <w:tr>
        <w:trPr>
          <w:tblHeader w:val="false"/>
        </w:trPr>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Procurement above threshold</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FARC-approved procurement panel</w:t>
            </w:r>
          </w:p>
        </w:tc>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Director of Operations and Finance</w:t>
            </w:r>
          </w:p>
        </w:tc>
      </w:tr>
      <w:tr>
        <w:trPr>
          <w:tblHeader w:val="false"/>
        </w:trPr>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Safeguarding cases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Safeguarding Officer with ESIC oversight</w:t>
            </w:r>
          </w:p>
        </w:tc>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Independent investigators where required</w:t>
            </w:r>
          </w:p>
        </w:tc>
      </w:tr>
      <w:tr>
        <w:trPr>
          <w:tblHeader w:val="false"/>
        </w:trPr>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Whistleblower disclosures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Whistleblower Officer with ESIC and Board oversight</w:t>
            </w:r>
          </w:p>
        </w:tc>
        <w:tc>
          <w:tcPr>
            <w:tcW w:type="dxa" w:w="3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Independent counsel where required</w:t>
            </w:r>
          </w:p>
        </w:tc>
      </w:tr>
      <w:tr>
        <w:trPr>
          <w:tblHeader w:val="false"/>
        </w:trPr>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Policy positions and public advocacy</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Executive Director with Board approval for major positions</w:t>
            </w:r>
          </w:p>
        </w:tc>
        <w:tc>
          <w:tcPr>
            <w:tcW w:type="dxa" w:w="315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Policy and Ecosystem Advisory Group</w:t>
            </w:r>
          </w:p>
        </w:tc>
      </w:tr>
    </w:tbl>
    <w:p>
      <w:pPr>
        <w:pStyle w:val="Heading2"/>
        <w:spacing w:after="80" w:before="220"/>
      </w:pPr>
      <w:r>
        <w:rPr>
          <w:rFonts w:ascii="Calibri" w:cs="Calibri" w:eastAsia="Calibri" w:hAnsi="Calibri"/>
          <w:b/>
          <w:bCs/>
          <w:color w:val="1F4E79"/>
          <w:sz w:val="26"/>
          <w:szCs w:val="26"/>
        </w:rPr>
        <w:t xml:space="preserve">How the board meets</w:t>
      </w:r>
    </w:p>
    <w:p>
      <w:pPr>
        <w:pStyle w:val="ListParagraph"/>
        <w:numPr>
          <w:ilvl w:val="0"/>
          <w:numId w:val="2"/>
        </w:numPr>
        <w:spacing w:after="30" w:before="30"/>
      </w:pPr>
      <w:r>
        <w:rPr>
          <w:rFonts w:ascii="Calibri" w:cs="Calibri" w:eastAsia="Calibri" w:hAnsi="Calibri"/>
          <w:color w:val="262626"/>
          <w:sz w:val="22"/>
          <w:szCs w:val="22"/>
        </w:rPr>
        <w:t xml:space="preserve">Full board meets at least four times per year, including one in-person meeting in a SAICE country (Canada, Burundi, or Rwanda) when feasible.</w:t>
      </w:r>
    </w:p>
    <w:p>
      <w:pPr>
        <w:pStyle w:val="ListParagraph"/>
        <w:numPr>
          <w:ilvl w:val="0"/>
          <w:numId w:val="2"/>
        </w:numPr>
        <w:spacing w:after="30" w:before="30"/>
      </w:pPr>
      <w:r>
        <w:rPr>
          <w:rFonts w:ascii="Calibri" w:cs="Calibri" w:eastAsia="Calibri" w:hAnsi="Calibri"/>
          <w:color w:val="262626"/>
          <w:sz w:val="22"/>
          <w:szCs w:val="22"/>
        </w:rPr>
        <w:t xml:space="preserve">At least one strategic retreat per year.</w:t>
      </w:r>
    </w:p>
    <w:p>
      <w:pPr>
        <w:pStyle w:val="ListParagraph"/>
        <w:numPr>
          <w:ilvl w:val="0"/>
          <w:numId w:val="2"/>
        </w:numPr>
        <w:spacing w:after="30" w:before="30"/>
      </w:pPr>
      <w:r>
        <w:rPr>
          <w:rFonts w:ascii="Calibri" w:cs="Calibri" w:eastAsia="Calibri" w:hAnsi="Calibri"/>
          <w:color w:val="262626"/>
          <w:sz w:val="22"/>
          <w:szCs w:val="22"/>
        </w:rPr>
        <w:t xml:space="preserve">Quorum is a majority of voting directors, of whom at least one third must be Africa-based or African-heritage diaspora.</w:t>
      </w:r>
    </w:p>
    <w:p>
      <w:pPr>
        <w:pStyle w:val="ListParagraph"/>
        <w:numPr>
          <w:ilvl w:val="0"/>
          <w:numId w:val="2"/>
        </w:numPr>
        <w:spacing w:after="30" w:before="30"/>
      </w:pPr>
      <w:r>
        <w:rPr>
          <w:rFonts w:ascii="Calibri" w:cs="Calibri" w:eastAsia="Calibri" w:hAnsi="Calibri"/>
          <w:color w:val="262626"/>
          <w:sz w:val="22"/>
          <w:szCs w:val="22"/>
        </w:rPr>
        <w:t xml:space="preserve">Decisions normally by consensus; formal votes recorded for any contested decision.</w:t>
      </w:r>
    </w:p>
    <w:p>
      <w:pPr>
        <w:pStyle w:val="ListParagraph"/>
        <w:numPr>
          <w:ilvl w:val="0"/>
          <w:numId w:val="2"/>
        </w:numPr>
        <w:spacing w:after="30" w:before="30"/>
      </w:pPr>
      <w:r>
        <w:rPr>
          <w:rFonts w:ascii="Calibri" w:cs="Calibri" w:eastAsia="Calibri" w:hAnsi="Calibri"/>
          <w:color w:val="262626"/>
          <w:sz w:val="22"/>
          <w:szCs w:val="22"/>
        </w:rPr>
        <w:t xml:space="preserve">Written board materials shared at least seven days before each meeting; minutes circulated within ten business days.</w:t>
      </w:r>
    </w:p>
    <w:p>
      <w:r>
        <w:br w:type="page"/>
      </w:r>
    </w:p>
    <w:p>
      <w:pPr>
        <w:pStyle w:val="Heading1"/>
        <w:spacing w:after="120" w:before="360"/>
      </w:pPr>
      <w:r>
        <w:rPr>
          <w:rFonts w:ascii="Calibri" w:cs="Calibri" w:eastAsia="Calibri" w:hAnsi="Calibri"/>
          <w:b/>
          <w:bCs/>
          <w:color w:val="1F4E79"/>
          <w:sz w:val="32"/>
          <w:szCs w:val="32"/>
        </w:rPr>
        <w:t xml:space="preserve">Policies that hold us accountable</w:t>
      </w:r>
    </w:p>
    <w:p>
      <w:pPr>
        <w:spacing w:after="60" w:before="60"/>
      </w:pPr>
      <w:r>
        <w:rPr>
          <w:rFonts w:ascii="Calibri" w:cs="Calibri" w:eastAsia="Calibri" w:hAnsi="Calibri"/>
          <w:color w:val="262626"/>
          <w:sz w:val="22"/>
          <w:szCs w:val="22"/>
        </w:rPr>
        <w:t xml:space="preserve">Our governance is anchored in a written suite of policies. Every staff member, every director, and every partner is expected to know and follow them. The full text of each policy is openly available on the SAICE website.</w:t>
      </w:r>
    </w:p>
    <w:p>
      <w:pPr>
        <w:pStyle w:val="Heading2"/>
        <w:spacing w:after="80" w:before="220"/>
      </w:pPr>
      <w:r>
        <w:rPr>
          <w:rFonts w:ascii="Calibri" w:cs="Calibri" w:eastAsia="Calibri" w:hAnsi="Calibri"/>
          <w:b/>
          <w:bCs/>
          <w:color w:val="1F4E79"/>
          <w:sz w:val="26"/>
          <w:szCs w:val="26"/>
        </w:rPr>
        <w:t xml:space="preserve">Foundational policies</w:t>
      </w:r>
    </w:p>
    <w:p>
      <w:pPr>
        <w:pStyle w:val="ListParagraph"/>
        <w:numPr>
          <w:ilvl w:val="0"/>
          <w:numId w:val="2"/>
        </w:numPr>
        <w:spacing w:after="30" w:before="30"/>
      </w:pPr>
      <w:r>
        <w:rPr>
          <w:rFonts w:ascii="Calibri" w:cs="Calibri" w:eastAsia="Calibri" w:hAnsi="Calibri"/>
          <w:b/>
          <w:bCs/>
          <w:color w:val="262626"/>
          <w:sz w:val="22"/>
          <w:szCs w:val="22"/>
        </w:rPr>
        <w:t xml:space="preserve">Code of Conduct. </w:t>
      </w:r>
      <w:r>
        <w:rPr>
          <w:rFonts w:ascii="Calibri" w:cs="Calibri" w:eastAsia="Calibri" w:hAnsi="Calibri"/>
          <w:color w:val="262626"/>
          <w:sz w:val="22"/>
          <w:szCs w:val="22"/>
        </w:rPr>
        <w:t xml:space="preserve">Sets the behavioural standards expected of every staff member, director, advisor, partner staff embedded with SAICE, and supplier.</w:t>
      </w:r>
    </w:p>
    <w:p>
      <w:pPr>
        <w:pStyle w:val="ListParagraph"/>
        <w:numPr>
          <w:ilvl w:val="0"/>
          <w:numId w:val="2"/>
        </w:numPr>
        <w:spacing w:after="30" w:before="30"/>
      </w:pPr>
      <w:r>
        <w:rPr>
          <w:rFonts w:ascii="Calibri" w:cs="Calibri" w:eastAsia="Calibri" w:hAnsi="Calibri"/>
          <w:b/>
          <w:bCs/>
          <w:color w:val="262626"/>
          <w:sz w:val="22"/>
          <w:szCs w:val="22"/>
        </w:rPr>
        <w:t xml:space="preserve">Conflicts of Interest Policy. </w:t>
      </w:r>
      <w:r>
        <w:rPr>
          <w:rFonts w:ascii="Calibri" w:cs="Calibri" w:eastAsia="Calibri" w:hAnsi="Calibri"/>
          <w:color w:val="262626"/>
          <w:sz w:val="22"/>
          <w:szCs w:val="22"/>
        </w:rPr>
        <w:t xml:space="preserve">Requires every director, executive, and advisor to declare actual, potential, and perceived conflicts at appointment and on a rolling basis; sets recusal rules.</w:t>
      </w:r>
    </w:p>
    <w:p>
      <w:pPr>
        <w:pStyle w:val="ListParagraph"/>
        <w:numPr>
          <w:ilvl w:val="0"/>
          <w:numId w:val="2"/>
        </w:numPr>
        <w:spacing w:after="30" w:before="30"/>
      </w:pPr>
      <w:r>
        <w:rPr>
          <w:rFonts w:ascii="Calibri" w:cs="Calibri" w:eastAsia="Calibri" w:hAnsi="Calibri"/>
          <w:b/>
          <w:bCs/>
          <w:color w:val="262626"/>
          <w:sz w:val="22"/>
          <w:szCs w:val="22"/>
        </w:rPr>
        <w:t xml:space="preserve">Gifts and Hospitality Policy. </w:t>
      </w:r>
      <w:r>
        <w:rPr>
          <w:rFonts w:ascii="Calibri" w:cs="Calibri" w:eastAsia="Calibri" w:hAnsi="Calibri"/>
          <w:color w:val="262626"/>
          <w:sz w:val="22"/>
          <w:szCs w:val="22"/>
        </w:rPr>
        <w:t xml:space="preserve">Caps acceptable gifts and hospitality; requires registration of anything above a modest threshold.</w:t>
      </w:r>
    </w:p>
    <w:p>
      <w:pPr>
        <w:pStyle w:val="ListParagraph"/>
        <w:numPr>
          <w:ilvl w:val="0"/>
          <w:numId w:val="2"/>
        </w:numPr>
        <w:spacing w:after="30" w:before="30"/>
      </w:pPr>
      <w:r>
        <w:rPr>
          <w:rFonts w:ascii="Calibri" w:cs="Calibri" w:eastAsia="Calibri" w:hAnsi="Calibri"/>
          <w:b/>
          <w:bCs/>
          <w:color w:val="262626"/>
          <w:sz w:val="22"/>
          <w:szCs w:val="22"/>
        </w:rPr>
        <w:t xml:space="preserve">Anti-Bribery and Anti-Corruption Policy. </w:t>
      </w:r>
      <w:r>
        <w:rPr>
          <w:rFonts w:ascii="Calibri" w:cs="Calibri" w:eastAsia="Calibri" w:hAnsi="Calibri"/>
          <w:color w:val="262626"/>
          <w:sz w:val="22"/>
          <w:szCs w:val="22"/>
        </w:rPr>
        <w:t xml:space="preserve">Zero tolerance for facilitation payments, kickbacks, or any form of corruption.</w:t>
      </w:r>
    </w:p>
    <w:p>
      <w:pPr>
        <w:pStyle w:val="ListParagraph"/>
        <w:numPr>
          <w:ilvl w:val="0"/>
          <w:numId w:val="2"/>
        </w:numPr>
        <w:spacing w:after="30" w:before="30"/>
      </w:pPr>
      <w:r>
        <w:rPr>
          <w:rFonts w:ascii="Calibri" w:cs="Calibri" w:eastAsia="Calibri" w:hAnsi="Calibri"/>
          <w:b/>
          <w:bCs/>
          <w:color w:val="262626"/>
          <w:sz w:val="22"/>
          <w:szCs w:val="22"/>
        </w:rPr>
        <w:t xml:space="preserve">Whistleblower Policy. </w:t>
      </w:r>
      <w:r>
        <w:rPr>
          <w:rFonts w:ascii="Calibri" w:cs="Calibri" w:eastAsia="Calibri" w:hAnsi="Calibri"/>
          <w:color w:val="262626"/>
          <w:sz w:val="22"/>
          <w:szCs w:val="22"/>
        </w:rPr>
        <w:t xml:space="preserve">Confidential and protected channel for raising concerns about misconduct, fraud, or safeguarding breaches — without fear of retaliation.</w:t>
      </w:r>
    </w:p>
    <w:p>
      <w:pPr>
        <w:pStyle w:val="Heading2"/>
        <w:spacing w:after="80" w:before="220"/>
      </w:pPr>
      <w:r>
        <w:rPr>
          <w:rFonts w:ascii="Calibri" w:cs="Calibri" w:eastAsia="Calibri" w:hAnsi="Calibri"/>
          <w:b/>
          <w:bCs/>
          <w:color w:val="1F4E79"/>
          <w:sz w:val="26"/>
          <w:szCs w:val="26"/>
        </w:rPr>
        <w:t xml:space="preserve">Safeguarding and people policies</w:t>
      </w:r>
    </w:p>
    <w:p>
      <w:pPr>
        <w:pStyle w:val="ListParagraph"/>
        <w:numPr>
          <w:ilvl w:val="0"/>
          <w:numId w:val="2"/>
        </w:numPr>
        <w:spacing w:after="30" w:before="30"/>
      </w:pPr>
      <w:r>
        <w:rPr>
          <w:rFonts w:ascii="Calibri" w:cs="Calibri" w:eastAsia="Calibri" w:hAnsi="Calibri"/>
          <w:b/>
          <w:bCs/>
          <w:color w:val="262626"/>
          <w:sz w:val="22"/>
          <w:szCs w:val="22"/>
        </w:rPr>
        <w:t xml:space="preserve">Safeguarding Policy. </w:t>
      </w:r>
      <w:r>
        <w:rPr>
          <w:rFonts w:ascii="Calibri" w:cs="Calibri" w:eastAsia="Calibri" w:hAnsi="Calibri"/>
          <w:color w:val="262626"/>
          <w:sz w:val="22"/>
          <w:szCs w:val="22"/>
        </w:rPr>
        <w:t xml:space="preserve">Covers protection from sexual exploitation, abuse, and harassment (PSEAH); protection of children and vulnerable adults; safe community engagement.</w:t>
      </w:r>
    </w:p>
    <w:p>
      <w:pPr>
        <w:pStyle w:val="ListParagraph"/>
        <w:numPr>
          <w:ilvl w:val="0"/>
          <w:numId w:val="2"/>
        </w:numPr>
        <w:spacing w:after="30" w:before="30"/>
      </w:pPr>
      <w:r>
        <w:rPr>
          <w:rFonts w:ascii="Calibri" w:cs="Calibri" w:eastAsia="Calibri" w:hAnsi="Calibri"/>
          <w:b/>
          <w:bCs/>
          <w:color w:val="262626"/>
          <w:sz w:val="22"/>
          <w:szCs w:val="22"/>
        </w:rPr>
        <w:t xml:space="preserve">Diversity, Equity, and Inclusion Policy. </w:t>
      </w:r>
      <w:r>
        <w:rPr>
          <w:rFonts w:ascii="Calibri" w:cs="Calibri" w:eastAsia="Calibri" w:hAnsi="Calibri"/>
          <w:color w:val="262626"/>
          <w:sz w:val="22"/>
          <w:szCs w:val="22"/>
        </w:rPr>
        <w:t xml:space="preserve">Sets diversity targets, inclusion practices, and accountability for the board, staff, and partner ecosystem.</w:t>
      </w:r>
    </w:p>
    <w:p>
      <w:pPr>
        <w:pStyle w:val="ListParagraph"/>
        <w:numPr>
          <w:ilvl w:val="0"/>
          <w:numId w:val="2"/>
        </w:numPr>
        <w:spacing w:after="30" w:before="30"/>
      </w:pPr>
      <w:r>
        <w:rPr>
          <w:rFonts w:ascii="Calibri" w:cs="Calibri" w:eastAsia="Calibri" w:hAnsi="Calibri"/>
          <w:b/>
          <w:bCs/>
          <w:color w:val="262626"/>
          <w:sz w:val="22"/>
          <w:szCs w:val="22"/>
        </w:rPr>
        <w:t xml:space="preserve">Anti-Harassment and Anti-Discrimination Policy. </w:t>
      </w:r>
      <w:r>
        <w:rPr>
          <w:rFonts w:ascii="Calibri" w:cs="Calibri" w:eastAsia="Calibri" w:hAnsi="Calibri"/>
          <w:color w:val="262626"/>
          <w:sz w:val="22"/>
          <w:szCs w:val="22"/>
        </w:rPr>
        <w:t xml:space="preserve">Sets the standards for a workplace and partner environment free of harassment and discrimination.</w:t>
      </w:r>
    </w:p>
    <w:p>
      <w:pPr>
        <w:pStyle w:val="ListParagraph"/>
        <w:numPr>
          <w:ilvl w:val="0"/>
          <w:numId w:val="2"/>
        </w:numPr>
        <w:spacing w:after="30" w:before="30"/>
      </w:pPr>
      <w:r>
        <w:rPr>
          <w:rFonts w:ascii="Calibri" w:cs="Calibri" w:eastAsia="Calibri" w:hAnsi="Calibri"/>
          <w:b/>
          <w:bCs/>
          <w:color w:val="262626"/>
          <w:sz w:val="22"/>
          <w:szCs w:val="22"/>
        </w:rPr>
        <w:t xml:space="preserve">Volunteer and Fellow Policy. </w:t>
      </w:r>
      <w:r>
        <w:rPr>
          <w:rFonts w:ascii="Calibri" w:cs="Calibri" w:eastAsia="Calibri" w:hAnsi="Calibri"/>
          <w:color w:val="262626"/>
          <w:sz w:val="22"/>
          <w:szCs w:val="22"/>
        </w:rPr>
        <w:t xml:space="preserve">Defines rights, responsibilities, and expectations for volunteers, fellows, and interns.</w:t>
      </w:r>
    </w:p>
    <w:p>
      <w:pPr>
        <w:pStyle w:val="Heading2"/>
        <w:spacing w:after="80" w:before="220"/>
      </w:pPr>
      <w:r>
        <w:rPr>
          <w:rFonts w:ascii="Calibri" w:cs="Calibri" w:eastAsia="Calibri" w:hAnsi="Calibri"/>
          <w:b/>
          <w:bCs/>
          <w:color w:val="1F4E79"/>
          <w:sz w:val="26"/>
          <w:szCs w:val="26"/>
        </w:rPr>
        <w:t xml:space="preserve">Programme and partner policies</w:t>
      </w:r>
    </w:p>
    <w:p>
      <w:pPr>
        <w:pStyle w:val="ListParagraph"/>
        <w:numPr>
          <w:ilvl w:val="0"/>
          <w:numId w:val="2"/>
        </w:numPr>
        <w:spacing w:after="30" w:before="30"/>
      </w:pPr>
      <w:r>
        <w:rPr>
          <w:rFonts w:ascii="Calibri" w:cs="Calibri" w:eastAsia="Calibri" w:hAnsi="Calibri"/>
          <w:b/>
          <w:bCs/>
          <w:color w:val="262626"/>
          <w:sz w:val="22"/>
          <w:szCs w:val="22"/>
        </w:rPr>
        <w:t xml:space="preserve">Partnership Policy. </w:t>
      </w:r>
      <w:r>
        <w:rPr>
          <w:rFonts w:ascii="Calibri" w:cs="Calibri" w:eastAsia="Calibri" w:hAnsi="Calibri"/>
          <w:color w:val="262626"/>
          <w:sz w:val="22"/>
          <w:szCs w:val="22"/>
        </w:rPr>
        <w:t xml:space="preserve">Sets criteria for entering, maintaining, and exiting partnerships; required MoU content; conflict-of-interest rules.</w:t>
      </w:r>
    </w:p>
    <w:p>
      <w:pPr>
        <w:pStyle w:val="ListParagraph"/>
        <w:numPr>
          <w:ilvl w:val="0"/>
          <w:numId w:val="2"/>
        </w:numPr>
        <w:spacing w:after="30" w:before="30"/>
      </w:pPr>
      <w:r>
        <w:rPr>
          <w:rFonts w:ascii="Calibri" w:cs="Calibri" w:eastAsia="Calibri" w:hAnsi="Calibri"/>
          <w:b/>
          <w:bCs/>
          <w:color w:val="262626"/>
          <w:sz w:val="22"/>
          <w:szCs w:val="22"/>
        </w:rPr>
        <w:t xml:space="preserve">Procurement Policy. </w:t>
      </w:r>
      <w:r>
        <w:rPr>
          <w:rFonts w:ascii="Calibri" w:cs="Calibri" w:eastAsia="Calibri" w:hAnsi="Calibri"/>
          <w:color w:val="262626"/>
          <w:sz w:val="22"/>
          <w:szCs w:val="22"/>
        </w:rPr>
        <w:t xml:space="preserve">Open, competitive, value-for-money procurement; thresholds; segregation of duties; alignment with donor procurement rules.</w:t>
      </w:r>
    </w:p>
    <w:p>
      <w:pPr>
        <w:pStyle w:val="ListParagraph"/>
        <w:numPr>
          <w:ilvl w:val="0"/>
          <w:numId w:val="2"/>
        </w:numPr>
        <w:spacing w:after="30" w:before="30"/>
      </w:pPr>
      <w:r>
        <w:rPr>
          <w:rFonts w:ascii="Calibri" w:cs="Calibri" w:eastAsia="Calibri" w:hAnsi="Calibri"/>
          <w:b/>
          <w:bCs/>
          <w:color w:val="262626"/>
          <w:sz w:val="22"/>
          <w:szCs w:val="22"/>
        </w:rPr>
        <w:t xml:space="preserve">Donor and Funder Policy. </w:t>
      </w:r>
      <w:r>
        <w:rPr>
          <w:rFonts w:ascii="Calibri" w:cs="Calibri" w:eastAsia="Calibri" w:hAnsi="Calibri"/>
          <w:color w:val="262626"/>
          <w:sz w:val="22"/>
          <w:szCs w:val="22"/>
        </w:rPr>
        <w:t xml:space="preserve">Standards for donor due diligence, donor independence, and refusal of funding that conflicts with our mission.</w:t>
      </w:r>
    </w:p>
    <w:p>
      <w:pPr>
        <w:pStyle w:val="ListParagraph"/>
        <w:numPr>
          <w:ilvl w:val="0"/>
          <w:numId w:val="2"/>
        </w:numPr>
        <w:spacing w:after="30" w:before="30"/>
      </w:pPr>
      <w:r>
        <w:rPr>
          <w:rFonts w:ascii="Calibri" w:cs="Calibri" w:eastAsia="Calibri" w:hAnsi="Calibri"/>
          <w:b/>
          <w:bCs/>
          <w:color w:val="262626"/>
          <w:sz w:val="22"/>
          <w:szCs w:val="22"/>
        </w:rPr>
        <w:t xml:space="preserve">Environmental and Social Safeguards. </w:t>
      </w:r>
      <w:r>
        <w:rPr>
          <w:rFonts w:ascii="Calibri" w:cs="Calibri" w:eastAsia="Calibri" w:hAnsi="Calibri"/>
          <w:color w:val="262626"/>
          <w:sz w:val="22"/>
          <w:szCs w:val="22"/>
        </w:rPr>
        <w:t xml:space="preserve">Aligned with multilateral standards; ensures our programmes do no harm to people or planet.</w:t>
      </w:r>
    </w:p>
    <w:p>
      <w:pPr>
        <w:pStyle w:val="Heading2"/>
        <w:spacing w:after="80" w:before="220"/>
      </w:pPr>
      <w:r>
        <w:rPr>
          <w:rFonts w:ascii="Calibri" w:cs="Calibri" w:eastAsia="Calibri" w:hAnsi="Calibri"/>
          <w:b/>
          <w:bCs/>
          <w:color w:val="1F4E79"/>
          <w:sz w:val="26"/>
          <w:szCs w:val="26"/>
        </w:rPr>
        <w:t xml:space="preserve">Data, technology, and openness policies</w:t>
      </w:r>
    </w:p>
    <w:p>
      <w:pPr>
        <w:pStyle w:val="ListParagraph"/>
        <w:numPr>
          <w:ilvl w:val="0"/>
          <w:numId w:val="2"/>
        </w:numPr>
        <w:spacing w:after="30" w:before="30"/>
      </w:pPr>
      <w:r>
        <w:rPr>
          <w:rFonts w:ascii="Calibri" w:cs="Calibri" w:eastAsia="Calibri" w:hAnsi="Calibri"/>
          <w:b/>
          <w:bCs/>
          <w:color w:val="262626"/>
          <w:sz w:val="22"/>
          <w:szCs w:val="22"/>
        </w:rPr>
        <w:t xml:space="preserve">Data Protection and Privacy Policy. </w:t>
      </w:r>
      <w:r>
        <w:rPr>
          <w:rFonts w:ascii="Calibri" w:cs="Calibri" w:eastAsia="Calibri" w:hAnsi="Calibri"/>
          <w:color w:val="262626"/>
          <w:sz w:val="22"/>
          <w:szCs w:val="22"/>
        </w:rPr>
        <w:t xml:space="preserve">Aligned with Canadian PIPEDA, the African Union Malabo Convention, partner-country data-protection laws, and EU GDPR where relevant.</w:t>
      </w:r>
    </w:p>
    <w:p>
      <w:pPr>
        <w:pStyle w:val="ListParagraph"/>
        <w:numPr>
          <w:ilvl w:val="0"/>
          <w:numId w:val="2"/>
        </w:numPr>
        <w:spacing w:after="30" w:before="30"/>
      </w:pPr>
      <w:r>
        <w:rPr>
          <w:rFonts w:ascii="Calibri" w:cs="Calibri" w:eastAsia="Calibri" w:hAnsi="Calibri"/>
          <w:b/>
          <w:bCs/>
          <w:color w:val="262626"/>
          <w:sz w:val="22"/>
          <w:szCs w:val="22"/>
        </w:rPr>
        <w:t xml:space="preserve">Data Ethics Framework. </w:t>
      </w:r>
      <w:r>
        <w:rPr>
          <w:rFonts w:ascii="Calibri" w:cs="Calibri" w:eastAsia="Calibri" w:hAnsi="Calibri"/>
          <w:color w:val="262626"/>
          <w:sz w:val="22"/>
          <w:szCs w:val="22"/>
        </w:rPr>
        <w:t xml:space="preserve">Governs collection, use, and sharing of data — with particular care for community-generated and personal data.</w:t>
      </w:r>
    </w:p>
    <w:p>
      <w:pPr>
        <w:pStyle w:val="ListParagraph"/>
        <w:numPr>
          <w:ilvl w:val="0"/>
          <w:numId w:val="2"/>
        </w:numPr>
        <w:spacing w:after="30" w:before="30"/>
      </w:pPr>
      <w:r>
        <w:rPr>
          <w:rFonts w:ascii="Calibri" w:cs="Calibri" w:eastAsia="Calibri" w:hAnsi="Calibri"/>
          <w:b/>
          <w:bCs/>
          <w:color w:val="262626"/>
          <w:sz w:val="22"/>
          <w:szCs w:val="22"/>
        </w:rPr>
        <w:t xml:space="preserve">Open Data and Open Source Policy. </w:t>
      </w:r>
      <w:r>
        <w:rPr>
          <w:rFonts w:ascii="Calibri" w:cs="Calibri" w:eastAsia="Calibri" w:hAnsi="Calibri"/>
          <w:color w:val="262626"/>
          <w:sz w:val="22"/>
          <w:szCs w:val="22"/>
        </w:rPr>
        <w:t xml:space="preserve">Default position is openly licensed data, code, methods, and curricula, with documented exceptions.</w:t>
      </w:r>
    </w:p>
    <w:p>
      <w:pPr>
        <w:pStyle w:val="ListParagraph"/>
        <w:numPr>
          <w:ilvl w:val="0"/>
          <w:numId w:val="2"/>
        </w:numPr>
        <w:spacing w:after="30" w:before="30"/>
      </w:pPr>
      <w:r>
        <w:rPr>
          <w:rFonts w:ascii="Calibri" w:cs="Calibri" w:eastAsia="Calibri" w:hAnsi="Calibri"/>
          <w:b/>
          <w:bCs/>
          <w:color w:val="262626"/>
          <w:sz w:val="22"/>
          <w:szCs w:val="22"/>
        </w:rPr>
        <w:t xml:space="preserve">Responsible Technology Policy. </w:t>
      </w:r>
      <w:r>
        <w:rPr>
          <w:rFonts w:ascii="Calibri" w:cs="Calibri" w:eastAsia="Calibri" w:hAnsi="Calibri"/>
          <w:color w:val="262626"/>
          <w:sz w:val="22"/>
          <w:szCs w:val="22"/>
        </w:rPr>
        <w:t xml:space="preserve">Sets expectations for any technology SAICE designs, deploys, or stewards — including audits, model documentation, and grievance channels.</w:t>
      </w:r>
    </w:p>
    <w:p>
      <w:pPr>
        <w:pStyle w:val="Heading2"/>
        <w:spacing w:after="80" w:before="220"/>
      </w:pPr>
      <w:r>
        <w:rPr>
          <w:rFonts w:ascii="Calibri" w:cs="Calibri" w:eastAsia="Calibri" w:hAnsi="Calibri"/>
          <w:b/>
          <w:bCs/>
          <w:color w:val="1F4E79"/>
          <w:sz w:val="26"/>
          <w:szCs w:val="26"/>
        </w:rPr>
        <w:t xml:space="preserve">Crisis and resilience policies</w:t>
      </w:r>
    </w:p>
    <w:p>
      <w:pPr>
        <w:pStyle w:val="ListParagraph"/>
        <w:numPr>
          <w:ilvl w:val="0"/>
          <w:numId w:val="2"/>
        </w:numPr>
        <w:spacing w:after="30" w:before="30"/>
      </w:pPr>
      <w:r>
        <w:rPr>
          <w:rFonts w:ascii="Calibri" w:cs="Calibri" w:eastAsia="Calibri" w:hAnsi="Calibri"/>
          <w:b/>
          <w:bCs/>
          <w:color w:val="262626"/>
          <w:sz w:val="22"/>
          <w:szCs w:val="22"/>
        </w:rPr>
        <w:t xml:space="preserve">Security and Duty of Care Policy. </w:t>
      </w:r>
      <w:r>
        <w:rPr>
          <w:rFonts w:ascii="Calibri" w:cs="Calibri" w:eastAsia="Calibri" w:hAnsi="Calibri"/>
          <w:color w:val="262626"/>
          <w:sz w:val="22"/>
          <w:szCs w:val="22"/>
        </w:rPr>
        <w:t xml:space="preserve">Sets standards for staff and partner safety in fragile and post-conflict contexts.</w:t>
      </w:r>
    </w:p>
    <w:p>
      <w:pPr>
        <w:pStyle w:val="ListParagraph"/>
        <w:numPr>
          <w:ilvl w:val="0"/>
          <w:numId w:val="2"/>
        </w:numPr>
        <w:spacing w:after="30" w:before="30"/>
      </w:pPr>
      <w:r>
        <w:rPr>
          <w:rFonts w:ascii="Calibri" w:cs="Calibri" w:eastAsia="Calibri" w:hAnsi="Calibri"/>
          <w:b/>
          <w:bCs/>
          <w:color w:val="262626"/>
          <w:sz w:val="22"/>
          <w:szCs w:val="22"/>
        </w:rPr>
        <w:t xml:space="preserve">Crisis and Business-Continuity Policy. </w:t>
      </w:r>
      <w:r>
        <w:rPr>
          <w:rFonts w:ascii="Calibri" w:cs="Calibri" w:eastAsia="Calibri" w:hAnsi="Calibri"/>
          <w:color w:val="262626"/>
          <w:sz w:val="22"/>
          <w:szCs w:val="22"/>
        </w:rPr>
        <w:t xml:space="preserve">How SAICE responds to emergencies — humanitarian, security, financial, reputational.</w:t>
      </w:r>
    </w:p>
    <w:p>
      <w:pPr>
        <w:pStyle w:val="ListParagraph"/>
        <w:numPr>
          <w:ilvl w:val="0"/>
          <w:numId w:val="2"/>
        </w:numPr>
        <w:spacing w:after="30" w:before="30"/>
      </w:pPr>
      <w:r>
        <w:rPr>
          <w:rFonts w:ascii="Calibri" w:cs="Calibri" w:eastAsia="Calibri" w:hAnsi="Calibri"/>
          <w:b/>
          <w:bCs/>
          <w:color w:val="262626"/>
          <w:sz w:val="22"/>
          <w:szCs w:val="22"/>
        </w:rPr>
        <w:t xml:space="preserve">Records Retention and Disposal Policy. </w:t>
      </w:r>
      <w:r>
        <w:rPr>
          <w:rFonts w:ascii="Calibri" w:cs="Calibri" w:eastAsia="Calibri" w:hAnsi="Calibri"/>
          <w:color w:val="262626"/>
          <w:sz w:val="22"/>
          <w:szCs w:val="22"/>
        </w:rPr>
        <w:t xml:space="preserve">How long we keep documents, and how we dispose of them responsibly.</w:t>
      </w:r>
    </w:p>
    <w:p>
      <w:r>
        <w:br w:type="page"/>
      </w:r>
    </w:p>
    <w:p>
      <w:pPr>
        <w:pStyle w:val="Heading1"/>
        <w:spacing w:after="120" w:before="360"/>
      </w:pPr>
      <w:r>
        <w:rPr>
          <w:rFonts w:ascii="Calibri" w:cs="Calibri" w:eastAsia="Calibri" w:hAnsi="Calibri"/>
          <w:b/>
          <w:bCs/>
          <w:color w:val="1F4E79"/>
          <w:sz w:val="32"/>
          <w:szCs w:val="32"/>
        </w:rPr>
        <w:t xml:space="preserve">Transparency, reporting, and accountability</w:t>
      </w:r>
    </w:p>
    <w:p>
      <w:pPr>
        <w:pStyle w:val="Heading2"/>
        <w:spacing w:after="80" w:before="220"/>
      </w:pPr>
      <w:r>
        <w:rPr>
          <w:rFonts w:ascii="Calibri" w:cs="Calibri" w:eastAsia="Calibri" w:hAnsi="Calibri"/>
          <w:b/>
          <w:bCs/>
          <w:color w:val="1F4E79"/>
          <w:sz w:val="26"/>
          <w:szCs w:val="26"/>
        </w:rPr>
        <w:t xml:space="preserve">What we publish, and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What</w:t>
            </w:r>
          </w:p>
        </w:tc>
        <w:tc>
          <w:tcPr>
            <w:tcW w:type="dxa" w:w="27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Where</w:t>
            </w:r>
          </w:p>
        </w:tc>
        <w:tc>
          <w:tcPr>
            <w:tcW w:type="dxa" w:w="27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How often</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Statutes, articles, and by-laws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On adoption; on any amendment</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Names and short biographies of directors and senior staff</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On appointment; on change</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Conflicts-of-interest register summary</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Annually</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Audited financial statements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 and CRA filings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Annually within nine months of year-end</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Annual report and impact narrative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Annually</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Programme MEL summaries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Annually; major programmes also publish mid-term updates</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Independent external evaluations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Per grant cycle, on completion</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Board meeting summaries (non-confidential decisions)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Within ten business days of each meeting</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Policy register and full text</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On adoption; on each material update</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Whistleblower channel and contact details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SAICE website</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Always live</w:t>
            </w:r>
          </w:p>
        </w:tc>
      </w:tr>
    </w:tbl>
    <w:p>
      <w:pPr>
        <w:pStyle w:val="Heading2"/>
        <w:spacing w:after="80" w:before="220"/>
      </w:pPr>
      <w:r>
        <w:rPr>
          <w:rFonts w:ascii="Calibri" w:cs="Calibri" w:eastAsia="Calibri" w:hAnsi="Calibri"/>
          <w:b/>
          <w:bCs/>
          <w:color w:val="1F4E79"/>
          <w:sz w:val="26"/>
          <w:szCs w:val="26"/>
        </w:rPr>
        <w:t xml:space="preserve">Audit and assurance</w:t>
      </w:r>
    </w:p>
    <w:p>
      <w:pPr>
        <w:pStyle w:val="ListParagraph"/>
        <w:numPr>
          <w:ilvl w:val="0"/>
          <w:numId w:val="2"/>
        </w:numPr>
        <w:spacing w:after="30" w:before="30"/>
      </w:pPr>
      <w:r>
        <w:rPr>
          <w:rFonts w:ascii="Calibri" w:cs="Calibri" w:eastAsia="Calibri" w:hAnsi="Calibri"/>
          <w:color w:val="262626"/>
          <w:sz w:val="22"/>
          <w:szCs w:val="22"/>
        </w:rPr>
        <w:t xml:space="preserve">External financial audit every year by a qualified independent auditor appointed by the Board on the recommendation of the FARC.</w:t>
      </w:r>
    </w:p>
    <w:p>
      <w:pPr>
        <w:pStyle w:val="ListParagraph"/>
        <w:numPr>
          <w:ilvl w:val="0"/>
          <w:numId w:val="2"/>
        </w:numPr>
        <w:spacing w:after="30" w:before="30"/>
      </w:pPr>
      <w:r>
        <w:rPr>
          <w:rFonts w:ascii="Calibri" w:cs="Calibri" w:eastAsia="Calibri" w:hAnsi="Calibri"/>
          <w:color w:val="262626"/>
          <w:sz w:val="22"/>
          <w:szCs w:val="22"/>
        </w:rPr>
        <w:t xml:space="preserve">Programme audits and independent external evaluations on each major grant cycle.</w:t>
      </w:r>
    </w:p>
    <w:p>
      <w:pPr>
        <w:pStyle w:val="ListParagraph"/>
        <w:numPr>
          <w:ilvl w:val="0"/>
          <w:numId w:val="2"/>
        </w:numPr>
        <w:spacing w:after="30" w:before="30"/>
      </w:pPr>
      <w:r>
        <w:rPr>
          <w:rFonts w:ascii="Calibri" w:cs="Calibri" w:eastAsia="Calibri" w:hAnsi="Calibri"/>
          <w:color w:val="262626"/>
          <w:sz w:val="22"/>
          <w:szCs w:val="22"/>
        </w:rPr>
        <w:t xml:space="preserve">Safeguarding case audit annually, reviewed by the Ethics, Safeguarding and Integrity Committee.</w:t>
      </w:r>
    </w:p>
    <w:p>
      <w:pPr>
        <w:pStyle w:val="ListParagraph"/>
        <w:numPr>
          <w:ilvl w:val="0"/>
          <w:numId w:val="2"/>
        </w:numPr>
        <w:spacing w:after="30" w:before="30"/>
      </w:pPr>
      <w:r>
        <w:rPr>
          <w:rFonts w:ascii="Calibri" w:cs="Calibri" w:eastAsia="Calibri" w:hAnsi="Calibri"/>
          <w:color w:val="262626"/>
          <w:sz w:val="22"/>
          <w:szCs w:val="22"/>
        </w:rPr>
        <w:t xml:space="preserve">Data and digital-system audit at least every two years.</w:t>
      </w:r>
    </w:p>
    <w:p>
      <w:pPr>
        <w:pStyle w:val="ListParagraph"/>
        <w:numPr>
          <w:ilvl w:val="0"/>
          <w:numId w:val="2"/>
        </w:numPr>
        <w:spacing w:after="30" w:before="30"/>
      </w:pPr>
      <w:r>
        <w:rPr>
          <w:rFonts w:ascii="Calibri" w:cs="Calibri" w:eastAsia="Calibri" w:hAnsi="Calibri"/>
          <w:color w:val="262626"/>
          <w:sz w:val="22"/>
          <w:szCs w:val="22"/>
        </w:rPr>
        <w:t xml:space="preserve">Board self-assessment annually; independent board review every three years.</w:t>
      </w:r>
    </w:p>
    <w:p>
      <w:pPr>
        <w:pStyle w:val="Heading2"/>
        <w:spacing w:after="80" w:before="220"/>
      </w:pPr>
      <w:r>
        <w:rPr>
          <w:rFonts w:ascii="Calibri" w:cs="Calibri" w:eastAsia="Calibri" w:hAnsi="Calibri"/>
          <w:b/>
          <w:bCs/>
          <w:color w:val="1F4E79"/>
          <w:sz w:val="26"/>
          <w:szCs w:val="26"/>
        </w:rPr>
        <w:t xml:space="preserve">Raising a concern</w:t>
      </w:r>
    </w:p>
    <w:p>
      <w:pPr>
        <w:spacing w:after="60" w:before="60"/>
      </w:pPr>
      <w:r>
        <w:rPr>
          <w:rFonts w:ascii="Calibri" w:cs="Calibri" w:eastAsia="Calibri" w:hAnsi="Calibri"/>
          <w:color w:val="262626"/>
          <w:sz w:val="22"/>
          <w:szCs w:val="22"/>
        </w:rPr>
        <w:t xml:space="preserve">Anyone — a staff member, a partner, a community member, a supplier, or a member of the public — can raise a concern about SAICE's work or conduct through these channels:</w:t>
      </w:r>
    </w:p>
    <w:p>
      <w:pPr>
        <w:pStyle w:val="ListParagraph"/>
        <w:numPr>
          <w:ilvl w:val="0"/>
          <w:numId w:val="2"/>
        </w:numPr>
        <w:spacing w:after="30" w:before="30"/>
      </w:pPr>
      <w:r>
        <w:rPr>
          <w:rFonts w:ascii="Calibri" w:cs="Calibri" w:eastAsia="Calibri" w:hAnsi="Calibri"/>
          <w:color w:val="262626"/>
          <w:sz w:val="22"/>
          <w:szCs w:val="22"/>
        </w:rPr>
        <w:t xml:space="preserve">General concerns — feedback@saice.org.</w:t>
      </w:r>
    </w:p>
    <w:p>
      <w:pPr>
        <w:pStyle w:val="ListParagraph"/>
        <w:numPr>
          <w:ilvl w:val="0"/>
          <w:numId w:val="2"/>
        </w:numPr>
        <w:spacing w:after="30" w:before="30"/>
      </w:pPr>
      <w:r>
        <w:rPr>
          <w:rFonts w:ascii="Calibri" w:cs="Calibri" w:eastAsia="Calibri" w:hAnsi="Calibri"/>
          <w:color w:val="262626"/>
          <w:sz w:val="22"/>
          <w:szCs w:val="22"/>
        </w:rPr>
        <w:t xml:space="preserve">Safeguarding concerns — safeguarding@saice.org (handled directly by the Safeguarding Officer).</w:t>
      </w:r>
    </w:p>
    <w:p>
      <w:pPr>
        <w:pStyle w:val="ListParagraph"/>
        <w:numPr>
          <w:ilvl w:val="0"/>
          <w:numId w:val="2"/>
        </w:numPr>
        <w:spacing w:after="30" w:before="30"/>
      </w:pPr>
      <w:r>
        <w:rPr>
          <w:rFonts w:ascii="Calibri" w:cs="Calibri" w:eastAsia="Calibri" w:hAnsi="Calibri"/>
          <w:color w:val="262626"/>
          <w:sz w:val="22"/>
          <w:szCs w:val="22"/>
        </w:rPr>
        <w:t xml:space="preserve">Whistleblower disclosures — whistleblower@saice.org (independent intake, protected from retaliation).</w:t>
      </w:r>
    </w:p>
    <w:p>
      <w:pPr>
        <w:pStyle w:val="ListParagraph"/>
        <w:numPr>
          <w:ilvl w:val="0"/>
          <w:numId w:val="2"/>
        </w:numPr>
        <w:spacing w:after="30" w:before="30"/>
      </w:pPr>
      <w:r>
        <w:rPr>
          <w:rFonts w:ascii="Calibri" w:cs="Calibri" w:eastAsia="Calibri" w:hAnsi="Calibri"/>
          <w:color w:val="262626"/>
          <w:sz w:val="22"/>
          <w:szCs w:val="22"/>
        </w:rPr>
        <w:t xml:space="preserve">Concerns about the board or Executive Director — chair@saice.org (handled by the Board Chair).</w:t>
      </w:r>
    </w:p>
    <w:p>
      <w:pPr>
        <w:pBdr>
          <w:left w:val="single" w:color="1F4E79" w:sz="18" w:space="6"/>
        </w:pBdr>
        <w:shd w:fill="E8EEF4" w:color="auto" w:val="clear"/>
        <w:spacing w:after="80" w:before="80"/>
        <w:ind w:left="200" w:right="200"/>
      </w:pPr>
      <w:r>
        <w:rPr>
          <w:rFonts w:ascii="Calibri" w:cs="Calibri" w:eastAsia="Calibri" w:hAnsi="Calibri"/>
          <w:i/>
          <w:iCs/>
          <w:color w:val="1F4E79"/>
          <w:sz w:val="22"/>
          <w:szCs w:val="22"/>
        </w:rPr>
        <w:t xml:space="preserve">Every concern is acknowledged within five working days. Every concern is taken seriously. Retaliation against anyone raising a concern in good faith is itself a violation of our Code of Conduct.</w:t>
      </w:r>
    </w:p>
    <w:p>
      <w:r>
        <w:br w:type="page"/>
      </w:r>
    </w:p>
    <w:p>
      <w:pPr>
        <w:pStyle w:val="Heading1"/>
        <w:spacing w:after="120" w:before="360"/>
      </w:pPr>
      <w:r>
        <w:rPr>
          <w:rFonts w:ascii="Calibri" w:cs="Calibri" w:eastAsia="Calibri" w:hAnsi="Calibri"/>
          <w:b/>
          <w:bCs/>
          <w:color w:val="1F4E79"/>
          <w:sz w:val="32"/>
          <w:szCs w:val="32"/>
        </w:rPr>
        <w:t xml:space="preserve">Membership and the Annual General Meeting</w:t>
      </w:r>
    </w:p>
    <w:p>
      <w:pPr>
        <w:pStyle w:val="Heading2"/>
        <w:spacing w:after="80" w:before="220"/>
      </w:pPr>
      <w:r>
        <w:rPr>
          <w:rFonts w:ascii="Calibri" w:cs="Calibri" w:eastAsia="Calibri" w:hAnsi="Calibri"/>
          <w:b/>
          <w:bCs/>
          <w:color w:val="1F4E79"/>
          <w:sz w:val="26"/>
          <w:szCs w:val="26"/>
        </w:rPr>
        <w:t xml:space="preserve">Members of SAICE</w:t>
      </w:r>
    </w:p>
    <w:p>
      <w:pPr>
        <w:pStyle w:val="ListParagraph"/>
        <w:numPr>
          <w:ilvl w:val="0"/>
          <w:numId w:val="2"/>
        </w:numPr>
        <w:spacing w:after="30" w:before="30"/>
      </w:pPr>
      <w:r>
        <w:rPr>
          <w:rFonts w:ascii="Calibri" w:cs="Calibri" w:eastAsia="Calibri" w:hAnsi="Calibri"/>
          <w:color w:val="262626"/>
          <w:sz w:val="22"/>
          <w:szCs w:val="22"/>
        </w:rPr>
        <w:t xml:space="preserve">SAICE is a member-based non-profit, with member categories defined in the by-laws.</w:t>
      </w:r>
    </w:p>
    <w:p>
      <w:pPr>
        <w:pStyle w:val="ListParagraph"/>
        <w:numPr>
          <w:ilvl w:val="0"/>
          <w:numId w:val="2"/>
        </w:numPr>
        <w:spacing w:after="30" w:before="30"/>
      </w:pPr>
      <w:r>
        <w:rPr>
          <w:rFonts w:ascii="Calibri" w:cs="Calibri" w:eastAsia="Calibri" w:hAnsi="Calibri"/>
          <w:color w:val="262626"/>
          <w:sz w:val="22"/>
          <w:szCs w:val="22"/>
        </w:rPr>
        <w:t xml:space="preserve">Founding members hold initial membership and are joined by additional members admitted by the Board over time.</w:t>
      </w:r>
    </w:p>
    <w:p>
      <w:pPr>
        <w:pStyle w:val="ListParagraph"/>
        <w:numPr>
          <w:ilvl w:val="0"/>
          <w:numId w:val="2"/>
        </w:numPr>
        <w:spacing w:after="30" w:before="30"/>
      </w:pPr>
      <w:r>
        <w:rPr>
          <w:rFonts w:ascii="Calibri" w:cs="Calibri" w:eastAsia="Calibri" w:hAnsi="Calibri"/>
          <w:color w:val="262626"/>
          <w:sz w:val="22"/>
          <w:szCs w:val="22"/>
        </w:rPr>
        <w:t xml:space="preserve">Members elect the directors at the Annual General Meeting and vote on by-law changes, the appointment of the auditor, and other matters reserved to the membership.</w:t>
      </w:r>
    </w:p>
    <w:p>
      <w:pPr>
        <w:pStyle w:val="Heading2"/>
        <w:spacing w:after="80" w:before="220"/>
      </w:pPr>
      <w:r>
        <w:rPr>
          <w:rFonts w:ascii="Calibri" w:cs="Calibri" w:eastAsia="Calibri" w:hAnsi="Calibri"/>
          <w:b/>
          <w:bCs/>
          <w:color w:val="1F4E79"/>
          <w:sz w:val="26"/>
          <w:szCs w:val="26"/>
        </w:rPr>
        <w:t xml:space="preserve">Annual General Meeting (AGM)</w:t>
      </w:r>
    </w:p>
    <w:p>
      <w:pPr>
        <w:pStyle w:val="ListParagraph"/>
        <w:numPr>
          <w:ilvl w:val="0"/>
          <w:numId w:val="2"/>
        </w:numPr>
        <w:spacing w:after="30" w:before="30"/>
      </w:pPr>
      <w:r>
        <w:rPr>
          <w:rFonts w:ascii="Calibri" w:cs="Calibri" w:eastAsia="Calibri" w:hAnsi="Calibri"/>
          <w:color w:val="262626"/>
          <w:sz w:val="22"/>
          <w:szCs w:val="22"/>
        </w:rPr>
        <w:t xml:space="preserve">Held once each year, with at least 21 days' notice to members.</w:t>
      </w:r>
    </w:p>
    <w:p>
      <w:pPr>
        <w:pStyle w:val="ListParagraph"/>
        <w:numPr>
          <w:ilvl w:val="0"/>
          <w:numId w:val="2"/>
        </w:numPr>
        <w:spacing w:after="30" w:before="30"/>
      </w:pPr>
      <w:r>
        <w:rPr>
          <w:rFonts w:ascii="Calibri" w:cs="Calibri" w:eastAsia="Calibri" w:hAnsi="Calibri"/>
          <w:color w:val="262626"/>
          <w:sz w:val="22"/>
          <w:szCs w:val="22"/>
        </w:rPr>
        <w:t xml:space="preserve">Agenda includes the audited financial statements, the annual report, the board election cycle, appointment of the auditor, and any other reserved matters.</w:t>
      </w:r>
    </w:p>
    <w:p>
      <w:pPr>
        <w:pStyle w:val="ListParagraph"/>
        <w:numPr>
          <w:ilvl w:val="0"/>
          <w:numId w:val="2"/>
        </w:numPr>
        <w:spacing w:after="30" w:before="30"/>
      </w:pPr>
      <w:r>
        <w:rPr>
          <w:rFonts w:ascii="Calibri" w:cs="Calibri" w:eastAsia="Calibri" w:hAnsi="Calibri"/>
          <w:color w:val="262626"/>
          <w:sz w:val="22"/>
          <w:szCs w:val="22"/>
        </w:rPr>
        <w:t xml:space="preserve">Open in part to the public via a livestream where feasible.</w:t>
      </w:r>
    </w:p>
    <w:p>
      <w:pPr>
        <w:pStyle w:val="ListParagraph"/>
        <w:numPr>
          <w:ilvl w:val="0"/>
          <w:numId w:val="2"/>
        </w:numPr>
        <w:spacing w:after="30" w:before="30"/>
      </w:pPr>
      <w:r>
        <w:rPr>
          <w:rFonts w:ascii="Calibri" w:cs="Calibri" w:eastAsia="Calibri" w:hAnsi="Calibri"/>
          <w:color w:val="262626"/>
          <w:sz w:val="22"/>
          <w:szCs w:val="22"/>
        </w:rPr>
        <w:t xml:space="preserve">Minutes published on the SAICE website within ten business days.</w:t>
      </w:r>
    </w:p>
    <w:p>
      <w:pPr>
        <w:pStyle w:val="Heading2"/>
        <w:spacing w:after="80" w:before="220"/>
      </w:pPr>
      <w:r>
        <w:rPr>
          <w:rFonts w:ascii="Calibri" w:cs="Calibri" w:eastAsia="Calibri" w:hAnsi="Calibri"/>
          <w:b/>
          <w:bCs/>
          <w:color w:val="1F4E79"/>
          <w:sz w:val="26"/>
          <w:szCs w:val="26"/>
        </w:rPr>
        <w:t xml:space="preserve">Joining as a member</w:t>
      </w:r>
    </w:p>
    <w:p>
      <w:pPr>
        <w:spacing w:after="60" w:before="60"/>
      </w:pPr>
      <w:r>
        <w:rPr>
          <w:rFonts w:ascii="Calibri" w:cs="Calibri" w:eastAsia="Calibri" w:hAnsi="Calibri"/>
          <w:color w:val="262626"/>
          <w:sz w:val="22"/>
          <w:szCs w:val="22"/>
        </w:rPr>
        <w:t xml:space="preserve">Membership is open to individuals and organisations aligned with the SAICE mission, subject to a short application and the Board's admission criteria. Membership confers voting rights at the AGM and does not entitle the member to any share in SAICE's assets.</w:t>
      </w:r>
    </w:p>
    <w:p>
      <w:r>
        <w:br w:type="page"/>
      </w:r>
    </w:p>
    <w:p>
      <w:pPr>
        <w:pStyle w:val="Heading1"/>
        <w:spacing w:after="120" w:before="360"/>
      </w:pPr>
      <w:r>
        <w:rPr>
          <w:rFonts w:ascii="Calibri" w:cs="Calibri" w:eastAsia="Calibri" w:hAnsi="Calibri"/>
          <w:b/>
          <w:bCs/>
          <w:color w:val="1F4E79"/>
          <w:sz w:val="32"/>
          <w:szCs w:val="32"/>
        </w:rPr>
        <w:t xml:space="preserve">Where we are today — the founding governance roadmap</w:t>
      </w:r>
    </w:p>
    <w:p>
      <w:pPr>
        <w:spacing w:after="60" w:before="60"/>
      </w:pPr>
      <w:r>
        <w:rPr>
          <w:rFonts w:ascii="Calibri" w:cs="Calibri" w:eastAsia="Calibri" w:hAnsi="Calibri"/>
          <w:color w:val="262626"/>
          <w:sz w:val="22"/>
          <w:szCs w:val="22"/>
        </w:rPr>
        <w:t xml:space="preserve">SAICE is in its founding phase. We are open about what is already in place and what is still under construction. This roadmap is updated quarterly on the SAICE website.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Element</w:t>
            </w:r>
          </w:p>
        </w:tc>
        <w:tc>
          <w:tcPr>
            <w:tcW w:type="dxa" w:w="27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Status today</w:t>
            </w:r>
          </w:p>
        </w:tc>
        <w:tc>
          <w:tcPr>
            <w:tcW w:type="dxa" w:w="2700"/>
            <w:tcBorders>
              <w:top w:val="single" w:color="BFBFBF" w:sz="4"/>
              <w:left w:val="single" w:color="BFBFBF" w:sz="4"/>
              <w:bottom w:val="single" w:color="BFBFBF" w:sz="4"/>
              <w:right w:val="single" w:color="BFBFBF" w:sz="4"/>
            </w:tcBorders>
            <w:shd w:fill="E8EEF4" w:color="auto" w:val="clear"/>
            <w:tcMar>
              <w:top w:type="dxa" w:w="80"/>
              <w:left w:type="dxa" w:w="100"/>
              <w:bottom w:type="dxa" w:w="80"/>
              <w:right w:type="dxa" w:w="100"/>
            </w:tcMar>
          </w:tcPr>
          <w:p>
            <w:pPr>
              <w:spacing w:after="30" w:before="30"/>
            </w:pPr>
            <w:r>
              <w:rPr>
                <w:rFonts w:ascii="Calibri" w:cs="Calibri" w:eastAsia="Calibri" w:hAnsi="Calibri"/>
                <w:b/>
                <w:bCs/>
                <w:color w:val="1F4E79"/>
                <w:sz w:val="20"/>
                <w:szCs w:val="20"/>
              </w:rPr>
              <w:t xml:space="preserve">Target</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Incorporation as a Canadian non-profit</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 place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Confirmed</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Articles, by-laws, and policy suite v1</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Drafted</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Adopted at founding board meeting</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Founding Board of Directors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Recruitment under way</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Full founding board seated within 6 months of incorporation</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Founding Chair and Officers</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Selection process under way</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Confirmed at the first board meeting</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Standing committees and charters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Drafted</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Confirmed at the first board meeting</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Academic and Research Advisory Council (ARAC)</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Outreach to cornerstone partners under way</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Inaugural meeting within 9 months</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Community and Youth Advisory Panel (CYAP)</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Cohort design under way</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Inaugural meeting within 9 months</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Policy and Ecosystem Advisory Group (PEAG)</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Outreach to ICGLR, AUDA-NEPAD, governments under way</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Inaugural meeting within 12 months</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First external audit</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Auditor selection under way</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Within the first full financial year</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First annual report and AGM</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In planning</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Within the first full financial year</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CRA charity registration</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Application in progress</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On approval</w:t>
            </w:r>
          </w:p>
        </w:tc>
      </w:tr>
      <w:tr>
        <w:trPr>
          <w:tblHeader w:val="false"/>
        </w:trPr>
        <w:tc>
          <w:tcPr>
            <w:tcW w:type="dxa" w:w="36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Full policy suite published</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Published progressively</w:t>
            </w:r>
          </w:p>
        </w:tc>
        <w:tc>
          <w:tcPr>
            <w:tcW w:type="dxa" w:w="2700"/>
            <w:tcBorders>
              <w:top w:val="single" w:color="BFBFBF" w:sz="4"/>
              <w:left w:val="single" w:color="BFBFBF" w:sz="4"/>
              <w:bottom w:val="single" w:color="BFBFBF" w:sz="4"/>
              <w:right w:val="single" w:color="BFBFBF" w:sz="4"/>
            </w:tcBorders>
            <w:shd w:fill="F5F8FB" w:color="auto" w:val="clear"/>
            <w:tcMar>
              <w:top w:type="dxa" w:w="80"/>
              <w:left w:type="dxa" w:w="100"/>
              <w:bottom w:type="dxa" w:w="80"/>
              <w:right w:type="dxa" w:w="100"/>
            </w:tcMar>
          </w:tcPr>
          <w:p>
            <w:pPr>
              <w:spacing w:after="30" w:before="30"/>
            </w:pPr>
            <w:r>
              <w:rPr>
                <w:rFonts w:ascii="Calibri" w:cs="Calibri" w:eastAsia="Calibri" w:hAnsi="Calibri"/>
                <w:b w:val="false"/>
                <w:bCs w:val="false"/>
                <w:color w:val="262626"/>
                <w:sz w:val="22"/>
                <w:szCs w:val="22"/>
              </w:rPr>
              <w:t xml:space="preserve">All policies online before the first AGM</w:t>
            </w:r>
          </w:p>
        </w:tc>
      </w:tr>
    </w:tbl>
    <w:p>
      <w:pPr>
        <w:pBdr>
          <w:left w:val="single" w:color="1F4E79" w:sz="18" w:space="6"/>
        </w:pBdr>
        <w:shd w:fill="E8EEF4" w:color="auto" w:val="clear"/>
        <w:spacing w:after="80" w:before="80"/>
        <w:ind w:left="200" w:right="200"/>
      </w:pPr>
      <w:r>
        <w:rPr>
          <w:rFonts w:ascii="Calibri" w:cs="Calibri" w:eastAsia="Calibri" w:hAnsi="Calibri"/>
          <w:i/>
          <w:iCs/>
          <w:color w:val="1F4E79"/>
          <w:sz w:val="22"/>
          <w:szCs w:val="22"/>
        </w:rPr>
        <w:t xml:space="preserve">We will not over-promise on governance. We will only claim a structure or a policy when it is real, written, adopted, and being followed. Until then, we will tell you exactly where we are.</w:t>
      </w:r>
    </w:p>
    <w:p>
      <w:r>
        <w:br w:type="page"/>
      </w:r>
    </w:p>
    <w:p>
      <w:pPr>
        <w:pStyle w:val="Heading1"/>
        <w:spacing w:after="120" w:before="360"/>
      </w:pPr>
      <w:r>
        <w:rPr>
          <w:rFonts w:ascii="Calibri" w:cs="Calibri" w:eastAsia="Calibri" w:hAnsi="Calibri"/>
          <w:b/>
          <w:bCs/>
          <w:color w:val="1F4E79"/>
          <w:sz w:val="32"/>
          <w:szCs w:val="32"/>
        </w:rPr>
        <w:t xml:space="preserve">Get in touch</w:t>
      </w:r>
    </w:p>
    <w:p>
      <w:pPr>
        <w:spacing w:after="60" w:before="60"/>
      </w:pPr>
      <w:r>
        <w:rPr>
          <w:rFonts w:ascii="Calibri" w:cs="Calibri" w:eastAsia="Calibri" w:hAnsi="Calibri"/>
          <w:color w:val="262626"/>
          <w:sz w:val="22"/>
          <w:szCs w:val="22"/>
        </w:rPr>
        <w:t xml:space="preserve">Questions about governance, board composition, policies, or how to raise a concern — write to us. Every email is read.</w:t>
      </w:r>
    </w:p>
    <w:p>
      <w:pPr>
        <w:pStyle w:val="Heading2"/>
        <w:spacing w:after="80" w:before="220"/>
      </w:pPr>
      <w:r>
        <w:rPr>
          <w:rFonts w:ascii="Calibri" w:cs="Calibri" w:eastAsia="Calibri" w:hAnsi="Calibri"/>
          <w:b/>
          <w:bCs/>
          <w:color w:val="1F4E79"/>
          <w:sz w:val="26"/>
          <w:szCs w:val="26"/>
        </w:rPr>
        <w:t xml:space="preserve">Contact</w:t>
      </w:r>
    </w:p>
    <w:p>
      <w:pPr>
        <w:spacing w:after="60" w:before="60"/>
      </w:pPr>
      <w:r>
        <w:rPr>
          <w:rFonts w:ascii="Calibri" w:cs="Calibri" w:eastAsia="Calibri" w:hAnsi="Calibri"/>
          <w:color w:val="262626"/>
          <w:sz w:val="22"/>
          <w:szCs w:val="22"/>
        </w:rPr>
        <w:t xml:space="preserve">Governance and board enquiries — governance@saice.org</w:t>
      </w:r>
    </w:p>
    <w:p>
      <w:pPr>
        <w:spacing w:after="60" w:before="60"/>
      </w:pPr>
      <w:r>
        <w:rPr>
          <w:rFonts w:ascii="Calibri" w:cs="Calibri" w:eastAsia="Calibri" w:hAnsi="Calibri"/>
          <w:color w:val="262626"/>
          <w:sz w:val="22"/>
          <w:szCs w:val="22"/>
        </w:rPr>
        <w:t xml:space="preserve">Board Chair — chair@saice.org</w:t>
      </w:r>
    </w:p>
    <w:p>
      <w:pPr>
        <w:spacing w:after="60" w:before="60"/>
      </w:pPr>
      <w:r>
        <w:rPr>
          <w:rFonts w:ascii="Calibri" w:cs="Calibri" w:eastAsia="Calibri" w:hAnsi="Calibri"/>
          <w:color w:val="262626"/>
          <w:sz w:val="22"/>
          <w:szCs w:val="22"/>
        </w:rPr>
        <w:t xml:space="preserve">Safeguarding — safeguarding@saice.org</w:t>
      </w:r>
    </w:p>
    <w:p>
      <w:pPr>
        <w:spacing w:after="60" w:before="60"/>
      </w:pPr>
      <w:r>
        <w:rPr>
          <w:rFonts w:ascii="Calibri" w:cs="Calibri" w:eastAsia="Calibri" w:hAnsi="Calibri"/>
          <w:color w:val="262626"/>
          <w:sz w:val="22"/>
          <w:szCs w:val="22"/>
        </w:rPr>
        <w:t xml:space="preserve">Whistleblower — whistleblower@saice.org</w:t>
      </w:r>
    </w:p>
    <w:p>
      <w:pPr>
        <w:spacing w:after="60" w:before="60"/>
      </w:pPr>
      <w:r>
        <w:rPr>
          <w:rFonts w:ascii="Calibri" w:cs="Calibri" w:eastAsia="Calibri" w:hAnsi="Calibri"/>
          <w:color w:val="262626"/>
          <w:sz w:val="22"/>
          <w:szCs w:val="22"/>
        </w:rPr>
        <w:t xml:space="preserve">Membership — members@saice.org</w:t>
      </w:r>
    </w:p>
    <w:p>
      <w:pPr>
        <w:spacing w:after="60" w:before="60"/>
      </w:pPr>
      <w:r>
        <w:rPr>
          <w:rFonts w:ascii="Calibri" w:cs="Calibri" w:eastAsia="Calibri" w:hAnsi="Calibri"/>
          <w:color w:val="262626"/>
          <w:sz w:val="22"/>
          <w:szCs w:val="22"/>
        </w:rPr>
        <w:t xml:space="preserve">General feedback — feedback@saice.org</w:t>
      </w:r>
    </w:p>
    <w:p>
      <w:pPr>
        <w:spacing w:after="0" w:before="240"/>
      </w:pPr>
      <w:r>
        <w:t xml:space="preserve"/>
      </w:r>
    </w:p>
    <w:p>
      <w:pPr>
        <w:spacing w:after="0" w:before="60"/>
        <w:jc w:val="center"/>
      </w:pPr>
      <w:r>
        <w:rPr>
          <w:rFonts w:ascii="Calibri" w:cs="Calibri" w:eastAsia="Calibri" w:hAnsi="Calibri"/>
          <w:color w:val="595959"/>
          <w:sz w:val="20"/>
          <w:szCs w:val="20"/>
        </w:rPr>
        <w:t xml:space="preserve">SAICE   ·   Led with care. Run with integrity.   ·   A future of dignity, prosperity, and resilience — built in Africa, by Africans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SAICE  ·  Governance and Board  ·  Led with care. Run with integrity.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SAICE — Governance and Board Page</dc:title>
  <dc:creator>SAICE</dc:creator>
  <cp:lastModifiedBy>Un-named</cp:lastModifiedBy>
  <cp:revision>1</cp:revision>
  <dcterms:created xsi:type="dcterms:W3CDTF">2026-05-26T04:46:57.534Z</dcterms:created>
  <dcterms:modified xsi:type="dcterms:W3CDTF">2026-05-26T04:46:57.534Z</dcterms:modified>
</cp:coreProperties>
</file>

<file path=docProps/custom.xml><?xml version="1.0" encoding="utf-8"?>
<Properties xmlns="http://schemas.openxmlformats.org/officeDocument/2006/custom-properties" xmlns:vt="http://schemas.openxmlformats.org/officeDocument/2006/docPropsVTypes"/>
</file>