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595959"/>
          <w:spacing w:val="80"/>
          <w:sz w:val="22"/>
          <w:szCs w:val="22"/>
        </w:rPr>
        <w:t xml:space="preserve">OUR SERVICES PAGE CONTENT</w:t>
      </w:r>
    </w:p>
    <w:p>
      <w:pPr>
        <w:spacing w:after="200" w:before="100"/>
        <w:jc w:val="center"/>
      </w:pPr>
      <w:r>
        <w:rPr>
          <w:rFonts w:ascii="Calibri" w:cs="Calibri" w:eastAsia="Calibri" w:hAnsi="Calibri"/>
          <w:b/>
          <w:bCs/>
          <w:color w:val="1F4E79"/>
          <w:sz w:val="44"/>
          <w:szCs w:val="44"/>
        </w:rPr>
        <w:t xml:space="preserve">ifssgoal.org — Services</w:t>
      </w:r>
    </w:p>
    <w:p>
      <w:pPr>
        <w:spacing w:after="200" w:before="0"/>
        <w:jc w:val="center"/>
      </w:pPr>
      <w:r>
        <w:rPr>
          <w:rFonts w:ascii="Calibri" w:cs="Calibri" w:eastAsia="Calibri" w:hAnsi="Calibri"/>
          <w:b/>
          <w:bCs/>
          <w:color w:val="1F4E79"/>
          <w:sz w:val="26"/>
          <w:szCs w:val="26"/>
        </w:rPr>
        <w:t xml:space="preserve">IFSS Inc. (operating arm of SAICE)</w:t>
      </w:r>
    </w:p>
    <w:p>
      <w:pPr>
        <w:spacing w:after="200" w:before="0"/>
        <w:jc w:val="center"/>
      </w:pPr>
      <w:r>
        <w:rPr>
          <w:rFonts w:ascii="Calibri" w:cs="Calibri" w:eastAsia="Calibri" w:hAnsi="Calibri"/>
          <w:i/>
          <w:iCs/>
          <w:color w:val="2E7D5B"/>
          <w:sz w:val="24"/>
          <w:szCs w:val="24"/>
        </w:rPr>
        <w:t xml:space="preserve">Ready-to-set copy for the new Our Services page</w:t>
      </w:r>
    </w:p>
    <w:p>
      <w:pPr>
        <w:spacing w:before="4200"/>
        <w:jc w:val="center"/>
      </w:pPr>
      <w:r>
        <w:rPr>
          <w:rFonts w:ascii="Calibri" w:cs="Calibri" w:eastAsia="Calibri" w:hAnsi="Calibri"/>
          <w:color w:val="595959"/>
          <w:sz w:val="20"/>
          <w:szCs w:val="20"/>
        </w:rPr>
        <w:t xml:space="preserve">SAICE · IFSS Inc.   ·   May 2026</w:t>
      </w:r>
    </w:p>
    <w:p>
      <w:r>
        <w:br w:type="page"/>
      </w:r>
    </w:p>
    <w:p>
      <w:pPr>
        <w:spacing w:after="140" w:before="360"/>
      </w:pPr>
      <w:r>
        <w:rPr>
          <w:rFonts w:ascii="Calibri" w:cs="Calibri" w:eastAsia="Calibri" w:hAnsi="Calibri"/>
          <w:b/>
          <w:bCs/>
          <w:color w:val="1F4E79"/>
          <w:sz w:val="30"/>
          <w:szCs w:val="30"/>
        </w:rPr>
        <w:t xml:space="preserve">1. Page metadata</w:t>
      </w:r>
    </w:p>
    <w:p>
      <w:pPr>
        <w:pStyle w:val="ListParagraph"/>
        <w:numPr>
          <w:ilvl w:val="0"/>
          <w:numId w:val="2"/>
        </w:numPr>
        <w:spacing w:after="60" w:before="40" w:line="290"/>
      </w:pPr>
      <w:r>
        <w:rPr>
          <w:rFonts w:ascii="Calibri" w:cs="Calibri" w:eastAsia="Calibri" w:hAnsi="Calibri"/>
          <w:b/>
          <w:bCs/>
          <w:sz w:val="22"/>
          <w:szCs w:val="22"/>
        </w:rPr>
        <w:t xml:space="preserve">URL</w:t>
      </w:r>
      <w:r>
        <w:rPr>
          <w:rFonts w:ascii="Calibri" w:cs="Calibri" w:eastAsia="Calibri" w:hAnsi="Calibri"/>
          <w:sz w:val="22"/>
          <w:szCs w:val="22"/>
        </w:rPr>
        <w:t xml:space="preserve"> — /services  (redirects in place from the existing /our-services)</w:t>
      </w:r>
    </w:p>
    <w:p>
      <w:pPr>
        <w:pStyle w:val="ListParagraph"/>
        <w:numPr>
          <w:ilvl w:val="0"/>
          <w:numId w:val="2"/>
        </w:numPr>
        <w:spacing w:after="60" w:before="40" w:line="290"/>
      </w:pPr>
      <w:r>
        <w:rPr>
          <w:rFonts w:ascii="Calibri" w:cs="Calibri" w:eastAsia="Calibri" w:hAnsi="Calibri"/>
          <w:b/>
          <w:bCs/>
          <w:sz w:val="22"/>
          <w:szCs w:val="22"/>
        </w:rPr>
        <w:t xml:space="preserve">Title tag</w:t>
      </w:r>
      <w:r>
        <w:rPr>
          <w:rFonts w:ascii="Calibri" w:cs="Calibri" w:eastAsia="Calibri" w:hAnsi="Calibri"/>
          <w:sz w:val="22"/>
          <w:szCs w:val="22"/>
        </w:rPr>
        <w:t xml:space="preserve"> — Our Services — IFSS Inc. · Consulting, Advisory and Enterprise SaaS</w:t>
      </w:r>
    </w:p>
    <w:p>
      <w:pPr>
        <w:pStyle w:val="ListParagraph"/>
        <w:numPr>
          <w:ilvl w:val="0"/>
          <w:numId w:val="2"/>
        </w:numPr>
        <w:spacing w:after="60" w:before="40" w:line="290"/>
      </w:pPr>
      <w:r>
        <w:rPr>
          <w:rFonts w:ascii="Calibri" w:cs="Calibri" w:eastAsia="Calibri" w:hAnsi="Calibri"/>
          <w:b/>
          <w:bCs/>
          <w:sz w:val="22"/>
          <w:szCs w:val="22"/>
        </w:rPr>
        <w:t xml:space="preserve">Meta description</w:t>
      </w:r>
      <w:r>
        <w:rPr>
          <w:rFonts w:ascii="Calibri" w:cs="Calibri" w:eastAsia="Calibri" w:hAnsi="Calibri"/>
          <w:sz w:val="22"/>
          <w:szCs w:val="22"/>
        </w:rPr>
        <w:t xml:space="preserve"> — IFSS Inc. is the operating arm of SAICE. We deliver ESG advisory, agri value-chain work, digital transformation, monitoring &amp; evaluation, reports and proposals, and enterprise licences of the PAGES and ICES platforms. Built for ministries, donors, cooperatives, and enterprises across Africa and beyond.</w:t>
      </w:r>
    </w:p>
    <w:p>
      <w:pPr>
        <w:pStyle w:val="ListParagraph"/>
        <w:numPr>
          <w:ilvl w:val="0"/>
          <w:numId w:val="2"/>
        </w:numPr>
        <w:spacing w:after="60" w:before="40" w:line="290"/>
      </w:pPr>
      <w:r>
        <w:rPr>
          <w:rFonts w:ascii="Calibri" w:cs="Calibri" w:eastAsia="Calibri" w:hAnsi="Calibri"/>
          <w:b/>
          <w:bCs/>
          <w:sz w:val="22"/>
          <w:szCs w:val="22"/>
        </w:rPr>
        <w:t xml:space="preserve">OG image</w:t>
      </w:r>
      <w:r>
        <w:rPr>
          <w:rFonts w:ascii="Calibri" w:cs="Calibri" w:eastAsia="Calibri" w:hAnsi="Calibri"/>
          <w:sz w:val="22"/>
          <w:szCs w:val="22"/>
        </w:rPr>
        <w:t xml:space="preserve"> — split shot — an IFSS analyst with a cooperative manager reviewing a dashboard on a tablet; SAICE wordmark over both.</w:t>
      </w:r>
    </w:p>
    <w:p>
      <w:pPr>
        <w:pStyle w:val="ListParagraph"/>
        <w:numPr>
          <w:ilvl w:val="0"/>
          <w:numId w:val="2"/>
        </w:numPr>
        <w:spacing w:after="60" w:before="40" w:line="290"/>
      </w:pPr>
      <w:r>
        <w:rPr>
          <w:rFonts w:ascii="Calibri" w:cs="Calibri" w:eastAsia="Calibri" w:hAnsi="Calibri"/>
          <w:b/>
          <w:bCs/>
          <w:sz w:val="22"/>
          <w:szCs w:val="22"/>
        </w:rPr>
        <w:t xml:space="preserve">Canonical</w:t>
      </w:r>
      <w:r>
        <w:rPr>
          <w:rFonts w:ascii="Calibri" w:cs="Calibri" w:eastAsia="Calibri" w:hAnsi="Calibri"/>
          <w:sz w:val="22"/>
          <w:szCs w:val="22"/>
        </w:rPr>
        <w:t xml:space="preserve"> — https://ifssgoal.org/services</w:t>
      </w:r>
    </w:p>
    <w:p>
      <w:pPr>
        <w:pStyle w:val="ListParagraph"/>
        <w:numPr>
          <w:ilvl w:val="0"/>
          <w:numId w:val="2"/>
        </w:numPr>
        <w:spacing w:after="60" w:before="40" w:line="290"/>
      </w:pPr>
      <w:r>
        <w:rPr>
          <w:rFonts w:ascii="Calibri" w:cs="Calibri" w:eastAsia="Calibri" w:hAnsi="Calibri"/>
          <w:b/>
          <w:bCs/>
          <w:sz w:val="22"/>
          <w:szCs w:val="22"/>
        </w:rPr>
        <w:t xml:space="preserve">Robots</w:t>
      </w:r>
      <w:r>
        <w:rPr>
          <w:rFonts w:ascii="Calibri" w:cs="Calibri" w:eastAsia="Calibri" w:hAnsi="Calibri"/>
          <w:sz w:val="22"/>
          <w:szCs w:val="22"/>
        </w:rPr>
        <w:t xml:space="preserve"> — index, follow</w:t>
      </w:r>
    </w:p>
    <w:p>
      <w:pPr>
        <w:spacing w:after="140" w:before="360"/>
      </w:pPr>
      <w:r>
        <w:rPr>
          <w:rFonts w:ascii="Calibri" w:cs="Calibri" w:eastAsia="Calibri" w:hAnsi="Calibri"/>
          <w:b/>
          <w:bCs/>
          <w:color w:val="1F4E79"/>
          <w:sz w:val="30"/>
          <w:szCs w:val="30"/>
        </w:rPr>
        <w:t xml:space="preserve">2. Hero</w:t>
      </w:r>
    </w:p>
    <w:p>
      <w:pPr>
        <w:spacing w:after="40" w:before="200"/>
      </w:pPr>
      <w:r>
        <w:rPr>
          <w:rFonts w:ascii="Calibri" w:cs="Calibri" w:eastAsia="Calibri" w:hAnsi="Calibri"/>
          <w:b/>
          <w:bCs/>
          <w:color w:val="2E7D5B"/>
          <w:spacing w:val="60"/>
          <w:sz w:val="18"/>
          <w:szCs w:val="18"/>
        </w:rPr>
        <w:t xml:space="preserve">EYEBROW</w:t>
      </w:r>
    </w:p>
    <w:p>
      <w:pPr>
        <w:spacing w:after="80" w:before="60" w:line="300"/>
      </w:pPr>
      <w:r>
        <w:rPr>
          <w:rFonts w:ascii="Calibri" w:cs="Calibri" w:eastAsia="Calibri" w:hAnsi="Calibri"/>
          <w:sz w:val="22"/>
          <w:szCs w:val="22"/>
        </w:rPr>
        <w:t xml:space="preserve">OUR SERVICES  ·  IFSS Inc.</w:t>
      </w:r>
    </w:p>
    <w:p>
      <w:pPr>
        <w:spacing w:after="20" w:before="100"/>
      </w:pPr>
      <w:r>
        <w:rPr>
          <w:rFonts w:ascii="Calibri" w:cs="Calibri" w:eastAsia="Calibri" w:hAnsi="Calibri"/>
          <w:b/>
          <w:bCs/>
          <w:color w:val="595959"/>
          <w:spacing w:val="30"/>
          <w:sz w:val="19"/>
          <w:szCs w:val="19"/>
        </w:rPr>
        <w:t xml:space="preserve">Headline (H1)</w:t>
      </w:r>
    </w:p>
    <w:p>
      <w:pPr>
        <w:spacing w:after="80" w:before="60" w:line="300"/>
      </w:pPr>
      <w:r>
        <w:rPr>
          <w:rFonts w:ascii="Calibri" w:cs="Calibri" w:eastAsia="Calibri" w:hAnsi="Calibri"/>
          <w:b/>
          <w:bCs/>
          <w:color w:val="1F4E79"/>
          <w:sz w:val="28"/>
          <w:szCs w:val="28"/>
        </w:rPr>
        <w:t xml:space="preserve">Research-grade technical work, delivered by the operating arm that funds the mission.</w:t>
      </w:r>
    </w:p>
    <w:p>
      <w:pPr>
        <w:spacing w:after="20" w:before="100"/>
      </w:pPr>
      <w:r>
        <w:rPr>
          <w:rFonts w:ascii="Calibri" w:cs="Calibri" w:eastAsia="Calibri" w:hAnsi="Calibri"/>
          <w:b/>
          <w:bCs/>
          <w:color w:val="595959"/>
          <w:spacing w:val="30"/>
          <w:sz w:val="19"/>
          <w:szCs w:val="19"/>
        </w:rPr>
        <w:t xml:space="preserve">Sub-headline</w:t>
      </w:r>
    </w:p>
    <w:p>
      <w:pPr>
        <w:spacing w:after="80" w:before="60" w:line="300"/>
      </w:pPr>
      <w:r>
        <w:rPr>
          <w:rFonts w:ascii="Calibri" w:cs="Calibri" w:eastAsia="Calibri" w:hAnsi="Calibri"/>
          <w:sz w:val="22"/>
          <w:szCs w:val="22"/>
        </w:rPr>
        <w:t xml:space="preserve">IFSS Inc. is the taxable operating subsidiary of SAICE, our Canadian registered charity. We sell the same expertise our charity programmes are built on — ESG, agri value chains, digital transformation, monitoring and evaluation, reports and proposals, and enterprise licences of PAGES and ICES. Every contract you sign with IFSS Inc. pays a revenue share back to SAICE to fund mission work.</w:t>
      </w:r>
    </w:p>
    <w:p>
      <w:pPr>
        <w:spacing w:after="20" w:before="100"/>
      </w:pPr>
      <w:r>
        <w:rPr>
          <w:rFonts w:ascii="Calibri" w:cs="Calibri" w:eastAsia="Calibri" w:hAnsi="Calibri"/>
          <w:b/>
          <w:bCs/>
          <w:color w:val="595959"/>
          <w:spacing w:val="30"/>
          <w:sz w:val="19"/>
          <w:szCs w:val="19"/>
        </w:rPr>
        <w:t xml:space="preserve">Primary CTAs</w:t>
      </w:r>
    </w:p>
    <w:p>
      <w:pPr>
        <w:spacing w:after="80" w:before="60" w:line="300"/>
      </w:pPr>
      <w:r>
        <w:rPr>
          <w:rFonts w:ascii="Calibri" w:cs="Calibri" w:eastAsia="Calibri" w:hAnsi="Calibri"/>
          <w:sz w:val="22"/>
          <w:szCs w:val="22"/>
        </w:rPr>
        <w:t xml:space="preserve">Request a proposal  ·  Talk to a specialist  ·  Download our capability statement (PDF)</w:t>
      </w:r>
    </w:p>
    <w:p>
      <w:pPr>
        <w:spacing w:after="20" w:before="100"/>
      </w:pPr>
      <w:r>
        <w:rPr>
          <w:rFonts w:ascii="Calibri" w:cs="Calibri" w:eastAsia="Calibri" w:hAnsi="Calibri"/>
          <w:b/>
          <w:bCs/>
          <w:color w:val="595959"/>
          <w:spacing w:val="30"/>
          <w:sz w:val="19"/>
          <w:szCs w:val="19"/>
        </w:rPr>
        <w:t xml:space="preserve">Quick-link strip</w:t>
      </w:r>
    </w:p>
    <w:p>
      <w:pPr>
        <w:spacing w:after="80" w:before="60" w:line="300"/>
      </w:pPr>
      <w:r>
        <w:rPr>
          <w:rFonts w:ascii="Calibri" w:cs="Calibri" w:eastAsia="Calibri" w:hAnsi="Calibri"/>
          <w:sz w:val="22"/>
          <w:szCs w:val="22"/>
        </w:rPr>
        <w:t xml:space="preserve">Services at a glance · ESG · Agri value chains · Digital transformation · M&amp;E · Reports &amp; proposals · Enterprise SaaS · Why us · How we engage · Get a proposal</w:t>
      </w:r>
    </w:p>
    <w:p>
      <w:pPr>
        <w:spacing w:after="140" w:before="360"/>
      </w:pPr>
      <w:r>
        <w:rPr>
          <w:rFonts w:ascii="Calibri" w:cs="Calibri" w:eastAsia="Calibri" w:hAnsi="Calibri"/>
          <w:b/>
          <w:bCs/>
          <w:color w:val="1F4E79"/>
          <w:sz w:val="30"/>
          <w:szCs w:val="30"/>
        </w:rPr>
        <w:t xml:space="preserve">3. Trust strip (just under the hero)</w:t>
      </w:r>
    </w:p>
    <w:p>
      <w:pPr>
        <w:spacing w:after="20" w:before="100"/>
      </w:pPr>
      <w:r>
        <w:rPr>
          <w:rFonts w:ascii="Calibri" w:cs="Calibri" w:eastAsia="Calibri" w:hAnsi="Calibri"/>
          <w:b/>
          <w:bCs/>
          <w:color w:val="595959"/>
          <w:spacing w:val="30"/>
          <w:sz w:val="19"/>
          <w:szCs w:val="19"/>
        </w:rPr>
        <w:t xml:space="preserve">Section copy</w:t>
      </w:r>
    </w:p>
    <w:p>
      <w:pPr>
        <w:spacing w:after="80" w:before="60" w:line="300"/>
      </w:pPr>
      <w:r>
        <w:rPr>
          <w:rFonts w:ascii="Calibri" w:cs="Calibri" w:eastAsia="Calibri" w:hAnsi="Calibri"/>
          <w:sz w:val="22"/>
          <w:szCs w:val="22"/>
        </w:rPr>
        <w:t xml:space="preserve">A short band of credibility cues — visible before the visitor scrolls.</w:t>
      </w:r>
    </w:p>
    <w:p>
      <w:pPr>
        <w:pStyle w:val="ListParagraph"/>
        <w:numPr>
          <w:ilvl w:val="0"/>
          <w:numId w:val="2"/>
        </w:numPr>
        <w:spacing w:after="60" w:before="40" w:line="290"/>
      </w:pPr>
      <w:r>
        <w:rPr>
          <w:rFonts w:ascii="Calibri" w:cs="Calibri" w:eastAsia="Calibri" w:hAnsi="Calibri"/>
          <w:b/>
          <w:bCs/>
          <w:sz w:val="22"/>
          <w:szCs w:val="22"/>
        </w:rPr>
        <w:t xml:space="preserve">Years</w:t>
      </w:r>
      <w:r>
        <w:rPr>
          <w:rFonts w:ascii="Calibri" w:cs="Calibri" w:eastAsia="Calibri" w:hAnsi="Calibri"/>
          <w:sz w:val="22"/>
          <w:szCs w:val="22"/>
        </w:rPr>
        <w:t xml:space="preserve"> — A decade-plus track record across Canada, the US, Rwanda, Kenya, Uganda, Burundi, DRC, Togo.</w:t>
      </w:r>
    </w:p>
    <w:p>
      <w:pPr>
        <w:pStyle w:val="ListParagraph"/>
        <w:numPr>
          <w:ilvl w:val="0"/>
          <w:numId w:val="2"/>
        </w:numPr>
        <w:spacing w:after="60" w:before="40" w:line="290"/>
      </w:pPr>
      <w:r>
        <w:rPr>
          <w:rFonts w:ascii="Calibri" w:cs="Calibri" w:eastAsia="Calibri" w:hAnsi="Calibri"/>
          <w:b/>
          <w:bCs/>
          <w:sz w:val="22"/>
          <w:szCs w:val="22"/>
        </w:rPr>
        <w:t xml:space="preserve">Clients</w:t>
      </w:r>
      <w:r>
        <w:rPr>
          <w:rFonts w:ascii="Calibri" w:cs="Calibri" w:eastAsia="Calibri" w:hAnsi="Calibri"/>
          <w:sz w:val="22"/>
          <w:szCs w:val="22"/>
        </w:rPr>
        <w:t xml:space="preserve"> — Government ministries, UN agencies, multilateral donors, cooperatives, start-ups, universities.</w:t>
      </w:r>
    </w:p>
    <w:p>
      <w:pPr>
        <w:pStyle w:val="ListParagraph"/>
        <w:numPr>
          <w:ilvl w:val="0"/>
          <w:numId w:val="2"/>
        </w:numPr>
        <w:spacing w:after="60" w:before="40" w:line="290"/>
      </w:pPr>
      <w:r>
        <w:rPr>
          <w:rFonts w:ascii="Calibri" w:cs="Calibri" w:eastAsia="Calibri" w:hAnsi="Calibri"/>
          <w:b/>
          <w:bCs/>
          <w:sz w:val="22"/>
          <w:szCs w:val="22"/>
        </w:rPr>
        <w:t xml:space="preserve">Partners</w:t>
      </w:r>
      <w:r>
        <w:rPr>
          <w:rFonts w:ascii="Calibri" w:cs="Calibri" w:eastAsia="Calibri" w:hAnsi="Calibri"/>
          <w:sz w:val="22"/>
          <w:szCs w:val="22"/>
        </w:rPr>
        <w:t xml:space="preserve"> — McGill University · RCID-Rwanda · South Eastern Kenya University · Terre des Jeunes Togo · Ripen · ICGLR · AUDA-NEPAD.</w:t>
      </w:r>
    </w:p>
    <w:p>
      <w:pPr>
        <w:pStyle w:val="ListParagraph"/>
        <w:numPr>
          <w:ilvl w:val="0"/>
          <w:numId w:val="2"/>
        </w:numPr>
        <w:spacing w:after="60" w:before="40" w:line="290"/>
      </w:pPr>
      <w:r>
        <w:rPr>
          <w:rFonts w:ascii="Calibri" w:cs="Calibri" w:eastAsia="Calibri" w:hAnsi="Calibri"/>
          <w:b/>
          <w:bCs/>
          <w:sz w:val="22"/>
          <w:szCs w:val="22"/>
        </w:rPr>
        <w:t xml:space="preserve">Frameworks</w:t>
      </w:r>
      <w:r>
        <w:rPr>
          <w:rFonts w:ascii="Calibri" w:cs="Calibri" w:eastAsia="Calibri" w:hAnsi="Calibri"/>
          <w:sz w:val="22"/>
          <w:szCs w:val="22"/>
        </w:rPr>
        <w:t xml:space="preserve"> — OECD-DAC criteria · GRI · UNESCO AI Ethics · FAIR · Principles for Digital Development · CAADP Kampala · AU Agenda 2063.</w:t>
      </w:r>
    </w:p>
    <w:p>
      <w:pPr>
        <w:pStyle w:val="ListParagraph"/>
        <w:numPr>
          <w:ilvl w:val="0"/>
          <w:numId w:val="2"/>
        </w:numPr>
        <w:spacing w:after="60" w:before="40" w:line="290"/>
      </w:pPr>
      <w:r>
        <w:rPr>
          <w:rFonts w:ascii="Calibri" w:cs="Calibri" w:eastAsia="Calibri" w:hAnsi="Calibri"/>
          <w:b/>
          <w:bCs/>
          <w:sz w:val="22"/>
          <w:szCs w:val="22"/>
        </w:rPr>
        <w:t xml:space="preserve">Confidentiality</w:t>
      </w:r>
      <w:r>
        <w:rPr>
          <w:rFonts w:ascii="Calibri" w:cs="Calibri" w:eastAsia="Calibri" w:hAnsi="Calibri"/>
          <w:sz w:val="22"/>
          <w:szCs w:val="22"/>
        </w:rPr>
        <w:t xml:space="preserve"> — NDA on every engagement. Data protection to Rwanda Law 058/2021, Kenya DPA 2019, PIPEDA, GDPR — whichever is stricter.</w:t>
      </w:r>
    </w:p>
    <w:p>
      <w:pPr>
        <w:spacing w:after="120" w:before="120" w:line="300"/>
      </w:pPr>
      <w:r>
        <w:rPr>
          <w:rFonts w:ascii="Calibri" w:cs="Calibri" w:eastAsia="Calibri" w:hAnsi="Calibri"/>
          <w:i/>
          <w:iCs/>
          <w:color w:val="595959"/>
          <w:sz w:val="22"/>
          <w:szCs w:val="22"/>
        </w:rPr>
        <w:t xml:space="preserve">Logo band: client and donor logos in mono-tone strip, all cleared in writing before publishing.</w:t>
      </w:r>
    </w:p>
    <w:p>
      <w:pPr>
        <w:spacing w:after="140" w:before="360"/>
      </w:pPr>
      <w:r>
        <w:rPr>
          <w:rFonts w:ascii="Calibri" w:cs="Calibri" w:eastAsia="Calibri" w:hAnsi="Calibri"/>
          <w:b/>
          <w:bCs/>
          <w:color w:val="1F4E79"/>
          <w:sz w:val="30"/>
          <w:szCs w:val="30"/>
        </w:rPr>
        <w:t xml:space="preserve">4. Our services at a glance</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Six service lines. One accountable team.</w:t>
      </w:r>
    </w:p>
    <w:p>
      <w:pPr>
        <w:spacing w:after="80" w:before="60" w:line="300"/>
      </w:pPr>
      <w:r>
        <w:rPr>
          <w:rFonts w:ascii="Calibri" w:cs="Calibri" w:eastAsia="Calibri" w:hAnsi="Calibri"/>
          <w:sz w:val="22"/>
          <w:szCs w:val="22"/>
        </w:rPr>
        <w:t xml:space="preserve">Each card below opens its full service detail further down the page. All six lines are delivered by IFSS Inc. under signed contract, with SAICE programme staff loaned in where the work directly serves PAGES or ICES.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198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Service line</w:t>
            </w:r>
          </w:p>
        </w:tc>
        <w:tc>
          <w:tcPr>
            <w:tcW w:type="dxa" w:w="288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For</w:t>
            </w:r>
          </w:p>
        </w:tc>
        <w:tc>
          <w:tcPr>
            <w:tcW w:type="dxa" w:w="414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Typical deliverables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ESG advisory</w:t>
            </w:r>
          </w:p>
        </w:tc>
        <w:tc>
          <w:tcPr>
            <w:tcW w:type="dxa" w:w="28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Companies, financial institutions, project sponsors</w:t>
            </w:r>
          </w:p>
        </w:tc>
        <w:tc>
          <w:tcPr>
            <w:tcW w:type="dxa" w:w="41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ESG due diligence, sustainability reports, GRI/IFC alignment, Scope 1–3 baselines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Agri value chains &amp; market access</w:t>
            </w:r>
          </w:p>
        </w:tc>
        <w:tc>
          <w:tcPr>
            <w:tcW w:type="dxa" w:w="28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Ministries, donors, cooperatives, agri-SMEs</w:t>
            </w:r>
          </w:p>
        </w:tc>
        <w:tc>
          <w:tcPr>
            <w:tcW w:type="dxa" w:w="41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Value-chain mapping, buyer linkage, business plans, climate-smart input strategies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Digital transformation &amp; inclusion</w:t>
            </w:r>
          </w:p>
        </w:tc>
        <w:tc>
          <w:tcPr>
            <w:tcW w:type="dxa" w:w="28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Public agencies, NGOs, cooperatives</w:t>
            </w:r>
          </w:p>
        </w:tc>
        <w:tc>
          <w:tcPr>
            <w:tcW w:type="dxa" w:w="41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Digital maturity audits, system selection, low-bandwidth UX, USSD/SMS journeys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Monitoring &amp; Evaluation</w:t>
            </w:r>
          </w:p>
        </w:tc>
        <w:tc>
          <w:tcPr>
            <w:tcW w:type="dxa" w:w="28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Donors, ministries, programme owners</w:t>
            </w:r>
          </w:p>
        </w:tc>
        <w:tc>
          <w:tcPr>
            <w:tcW w:type="dxa" w:w="41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Results frameworks, baselines, mid-term and endline evaluations, MEAL systems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Reports &amp; proposal development</w:t>
            </w:r>
          </w:p>
        </w:tc>
        <w:tc>
          <w:tcPr>
            <w:tcW w:type="dxa" w:w="28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NGOs, social enterprises, ministries</w:t>
            </w:r>
          </w:p>
        </w:tc>
        <w:tc>
          <w:tcPr>
            <w:tcW w:type="dxa" w:w="41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Concept notes, full grant proposals, donor reports, theory-of-change documents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Enterprise SaaS — PAGES &amp; ICES</w:t>
            </w:r>
          </w:p>
        </w:tc>
        <w:tc>
          <w:tcPr>
            <w:tcW w:type="dxa" w:w="28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Input suppliers, exporters, banks, governments, municipalities</w:t>
            </w:r>
          </w:p>
        </w:tc>
        <w:tc>
          <w:tcPr>
            <w:tcW w:type="dxa" w:w="41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Paid licences and APIs to the SAICE-owned PAGES and ICES platforms</w:t>
            </w:r>
          </w:p>
        </w:tc>
      </w:tr>
    </w:tbl>
    <w:p>
      <w:pPr>
        <w:spacing w:after="80" w:before="60" w:line="300"/>
      </w:pPr>
      <w:r>
        <w:rPr>
          <w:rFonts w:ascii="Calibri" w:cs="Calibri" w:eastAsia="Calibri" w:hAnsi="Calibri"/>
          <w:sz w:val="22"/>
          <w:szCs w:val="22"/>
        </w:rPr>
        <w:t xml:space="preserve">CTA: See the engagement model →  ·  Request a proposal →</w:t>
      </w:r>
    </w:p>
    <w:p>
      <w:pPr>
        <w:spacing w:after="140" w:before="360"/>
      </w:pPr>
      <w:r>
        <w:rPr>
          <w:rFonts w:ascii="Calibri" w:cs="Calibri" w:eastAsia="Calibri" w:hAnsi="Calibri"/>
          <w:b/>
          <w:bCs/>
          <w:color w:val="1F4E79"/>
          <w:sz w:val="30"/>
          <w:szCs w:val="30"/>
        </w:rPr>
        <w:t xml:space="preserve">5. Service line — Environmental, Social and Governance (ESG)</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ESG that holds up to scrutiny.</w:t>
      </w:r>
    </w:p>
    <w:p>
      <w:pPr>
        <w:spacing w:after="80" w:before="60" w:line="300"/>
      </w:pPr>
      <w:r>
        <w:rPr>
          <w:rFonts w:ascii="Calibri" w:cs="Calibri" w:eastAsia="Calibri" w:hAnsi="Calibri"/>
          <w:sz w:val="22"/>
          <w:szCs w:val="22"/>
        </w:rPr>
        <w:t xml:space="preserve">We help organisations turn ESG from a reporting chore into a credible, decision-useful instrument. Our work is grounded in GRI Standards, IFC Performance Standards, the OECD Guidelines for Multinational Enterprises, the GHG Protocol, the TCFD recommendations, and the AU Continental AI Strategy where AI tools are part of the picture.</w:t>
      </w:r>
    </w:p>
    <w:p>
      <w:pPr>
        <w:spacing w:after="20" w:before="100"/>
      </w:pPr>
      <w:r>
        <w:rPr>
          <w:rFonts w:ascii="Calibri" w:cs="Calibri" w:eastAsia="Calibri" w:hAnsi="Calibri"/>
          <w:b/>
          <w:bCs/>
          <w:color w:val="595959"/>
          <w:spacing w:val="30"/>
          <w:sz w:val="19"/>
          <w:szCs w:val="19"/>
        </w:rPr>
        <w:t xml:space="preserve">What we deliver</w:t>
      </w:r>
    </w:p>
    <w:p>
      <w:pPr>
        <w:pStyle w:val="ListParagraph"/>
        <w:numPr>
          <w:ilvl w:val="0"/>
          <w:numId w:val="2"/>
        </w:numPr>
        <w:spacing w:after="60" w:before="40" w:line="290"/>
      </w:pPr>
      <w:r>
        <w:rPr>
          <w:rFonts w:ascii="Calibri" w:cs="Calibri" w:eastAsia="Calibri" w:hAnsi="Calibri"/>
          <w:b/>
          <w:bCs/>
          <w:sz w:val="22"/>
          <w:szCs w:val="22"/>
        </w:rPr>
        <w:t xml:space="preserve">ESG due diligence</w:t>
      </w:r>
      <w:r>
        <w:rPr>
          <w:rFonts w:ascii="Calibri" w:cs="Calibri" w:eastAsia="Calibri" w:hAnsi="Calibri"/>
          <w:sz w:val="22"/>
          <w:szCs w:val="22"/>
        </w:rPr>
        <w:t xml:space="preserve"> — Environmental, social and governance screens for investments, M&amp;A targets, and project finance.</w:t>
      </w:r>
    </w:p>
    <w:p>
      <w:pPr>
        <w:pStyle w:val="ListParagraph"/>
        <w:numPr>
          <w:ilvl w:val="0"/>
          <w:numId w:val="2"/>
        </w:numPr>
        <w:spacing w:after="60" w:before="40" w:line="290"/>
      </w:pPr>
      <w:r>
        <w:rPr>
          <w:rFonts w:ascii="Calibri" w:cs="Calibri" w:eastAsia="Calibri" w:hAnsi="Calibri"/>
          <w:b/>
          <w:bCs/>
          <w:sz w:val="22"/>
          <w:szCs w:val="22"/>
        </w:rPr>
        <w:t xml:space="preserve">Materiality assessments</w:t>
      </w:r>
      <w:r>
        <w:rPr>
          <w:rFonts w:ascii="Calibri" w:cs="Calibri" w:eastAsia="Calibri" w:hAnsi="Calibri"/>
          <w:sz w:val="22"/>
          <w:szCs w:val="22"/>
        </w:rPr>
        <w:t xml:space="preserve"> — Stakeholder mapping, double-materiality analysis, sector benchmarking.</w:t>
      </w:r>
    </w:p>
    <w:p>
      <w:pPr>
        <w:pStyle w:val="ListParagraph"/>
        <w:numPr>
          <w:ilvl w:val="0"/>
          <w:numId w:val="2"/>
        </w:numPr>
        <w:spacing w:after="60" w:before="40" w:line="290"/>
      </w:pPr>
      <w:r>
        <w:rPr>
          <w:rFonts w:ascii="Calibri" w:cs="Calibri" w:eastAsia="Calibri" w:hAnsi="Calibri"/>
          <w:b/>
          <w:bCs/>
          <w:sz w:val="22"/>
          <w:szCs w:val="22"/>
        </w:rPr>
        <w:t xml:space="preserve">Sustainability reports</w:t>
      </w:r>
      <w:r>
        <w:rPr>
          <w:rFonts w:ascii="Calibri" w:cs="Calibri" w:eastAsia="Calibri" w:hAnsi="Calibri"/>
          <w:sz w:val="22"/>
          <w:szCs w:val="22"/>
        </w:rPr>
        <w:t xml:space="preserve"> — GRI- or IFRS-S1/S2-aligned reports, suitable for boards, regulators, and major donors.</w:t>
      </w:r>
    </w:p>
    <w:p>
      <w:pPr>
        <w:pStyle w:val="ListParagraph"/>
        <w:numPr>
          <w:ilvl w:val="0"/>
          <w:numId w:val="2"/>
        </w:numPr>
        <w:spacing w:after="60" w:before="40" w:line="290"/>
      </w:pPr>
      <w:r>
        <w:rPr>
          <w:rFonts w:ascii="Calibri" w:cs="Calibri" w:eastAsia="Calibri" w:hAnsi="Calibri"/>
          <w:b/>
          <w:bCs/>
          <w:sz w:val="22"/>
          <w:szCs w:val="22"/>
        </w:rPr>
        <w:t xml:space="preserve">GHG baselines and pathways</w:t>
      </w:r>
      <w:r>
        <w:rPr>
          <w:rFonts w:ascii="Calibri" w:cs="Calibri" w:eastAsia="Calibri" w:hAnsi="Calibri"/>
          <w:sz w:val="22"/>
          <w:szCs w:val="22"/>
        </w:rPr>
        <w:t xml:space="preserve"> — Scope 1–3 baselines, decarbonisation pathways, science-based-target readiness.</w:t>
      </w:r>
    </w:p>
    <w:p>
      <w:pPr>
        <w:pStyle w:val="ListParagraph"/>
        <w:numPr>
          <w:ilvl w:val="0"/>
          <w:numId w:val="2"/>
        </w:numPr>
        <w:spacing w:after="60" w:before="40" w:line="290"/>
      </w:pPr>
      <w:r>
        <w:rPr>
          <w:rFonts w:ascii="Calibri" w:cs="Calibri" w:eastAsia="Calibri" w:hAnsi="Calibri"/>
          <w:b/>
          <w:bCs/>
          <w:sz w:val="22"/>
          <w:szCs w:val="22"/>
        </w:rPr>
        <w:t xml:space="preserve">Governance redesign</w:t>
      </w:r>
      <w:r>
        <w:rPr>
          <w:rFonts w:ascii="Calibri" w:cs="Calibri" w:eastAsia="Calibri" w:hAnsi="Calibri"/>
          <w:sz w:val="22"/>
          <w:szCs w:val="22"/>
        </w:rPr>
        <w:t xml:space="preserve"> — Board charters, ESG committee mandates, conflict-of-interest and whistle-blower frameworks.</w:t>
      </w:r>
    </w:p>
    <w:p>
      <w:pPr>
        <w:pStyle w:val="ListParagraph"/>
        <w:numPr>
          <w:ilvl w:val="0"/>
          <w:numId w:val="2"/>
        </w:numPr>
        <w:spacing w:after="60" w:before="40" w:line="290"/>
      </w:pPr>
      <w:r>
        <w:rPr>
          <w:rFonts w:ascii="Calibri" w:cs="Calibri" w:eastAsia="Calibri" w:hAnsi="Calibri"/>
          <w:b/>
          <w:bCs/>
          <w:sz w:val="22"/>
          <w:szCs w:val="22"/>
        </w:rPr>
        <w:t xml:space="preserve">Safeguarding and human-rights review</w:t>
      </w:r>
      <w:r>
        <w:rPr>
          <w:rFonts w:ascii="Calibri" w:cs="Calibri" w:eastAsia="Calibri" w:hAnsi="Calibri"/>
          <w:sz w:val="22"/>
          <w:szCs w:val="22"/>
        </w:rPr>
        <w:t xml:space="preserve"> — Modern-slavery, PSEAH, do-no-harm and grievance-redress mechanisms.</w:t>
      </w:r>
    </w:p>
    <w:p>
      <w:pPr>
        <w:spacing w:after="20" w:before="100"/>
      </w:pPr>
      <w:r>
        <w:rPr>
          <w:rFonts w:ascii="Calibri" w:cs="Calibri" w:eastAsia="Calibri" w:hAnsi="Calibri"/>
          <w:b/>
          <w:bCs/>
          <w:color w:val="595959"/>
          <w:spacing w:val="30"/>
          <w:sz w:val="19"/>
          <w:szCs w:val="19"/>
        </w:rPr>
        <w:t xml:space="preserve">Where this fits in our mission</w:t>
      </w:r>
    </w:p>
    <w:p>
      <w:pPr>
        <w:spacing w:after="80" w:before="60" w:line="300"/>
      </w:pPr>
      <w:r>
        <w:rPr>
          <w:rFonts w:ascii="Calibri" w:cs="Calibri" w:eastAsia="Calibri" w:hAnsi="Calibri"/>
          <w:sz w:val="22"/>
          <w:szCs w:val="22"/>
        </w:rPr>
        <w:t xml:space="preserve">ESG advisory is the service line most likely to fund SAICE’s charity programmes. Every dollar of margin you pay IFSS Inc. for ESG work is shared with SAICE under the published revenue-share licence.</w:t>
      </w:r>
    </w:p>
    <w:p>
      <w:pPr>
        <w:spacing w:after="20" w:before="100"/>
      </w:pPr>
      <w:r>
        <w:rPr>
          <w:rFonts w:ascii="Calibri" w:cs="Calibri" w:eastAsia="Calibri" w:hAnsi="Calibri"/>
          <w:b/>
          <w:bCs/>
          <w:color w:val="595959"/>
          <w:spacing w:val="30"/>
          <w:sz w:val="19"/>
          <w:szCs w:val="19"/>
        </w:rPr>
        <w:t xml:space="preserve">Typical engagement length</w:t>
      </w:r>
    </w:p>
    <w:p>
      <w:pPr>
        <w:spacing w:after="80" w:before="60" w:line="300"/>
      </w:pPr>
      <w:r>
        <w:rPr>
          <w:rFonts w:ascii="Calibri" w:cs="Calibri" w:eastAsia="Calibri" w:hAnsi="Calibri"/>
          <w:sz w:val="22"/>
          <w:szCs w:val="22"/>
        </w:rPr>
        <w:t xml:space="preserve">6 to 16 weeks, depending on scope.</w:t>
      </w:r>
    </w:p>
    <w:p>
      <w:pPr>
        <w:spacing w:after="80" w:before="60" w:line="300"/>
      </w:pPr>
      <w:r>
        <w:rPr>
          <w:rFonts w:ascii="Calibri" w:cs="Calibri" w:eastAsia="Calibri" w:hAnsi="Calibri"/>
          <w:sz w:val="22"/>
          <w:szCs w:val="22"/>
        </w:rPr>
        <w:t xml:space="preserve">CTAs: Request an ESG proposal →  ·  Download our ESG capability statement →</w:t>
      </w:r>
    </w:p>
    <w:p>
      <w:pPr>
        <w:spacing w:after="140" w:before="360"/>
      </w:pPr>
      <w:r>
        <w:rPr>
          <w:rFonts w:ascii="Calibri" w:cs="Calibri" w:eastAsia="Calibri" w:hAnsi="Calibri"/>
          <w:b/>
          <w:bCs/>
          <w:color w:val="1F4E79"/>
          <w:sz w:val="30"/>
          <w:szCs w:val="30"/>
        </w:rPr>
        <w:t xml:space="preserve">6. Service line — Agricultural value chains and market access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From soil to shelf — built for African smallholders.</w:t>
      </w:r>
    </w:p>
    <w:p>
      <w:pPr>
        <w:spacing w:after="80" w:before="60" w:line="300"/>
      </w:pPr>
      <w:r>
        <w:rPr>
          <w:rFonts w:ascii="Calibri" w:cs="Calibri" w:eastAsia="Calibri" w:hAnsi="Calibri"/>
          <w:sz w:val="22"/>
          <w:szCs w:val="22"/>
        </w:rPr>
        <w:t xml:space="preserve">Most agri value-chain work in Africa fails on three things: it is mapped at too high a level, it ignores women and youth, and it stops at the report. We do the opposite. We map at cooperative and parcel level, we set hard inclusion quotas, and we stay through implementation.</w:t>
      </w:r>
    </w:p>
    <w:p>
      <w:pPr>
        <w:spacing w:after="20" w:before="100"/>
      </w:pPr>
      <w:r>
        <w:rPr>
          <w:rFonts w:ascii="Calibri" w:cs="Calibri" w:eastAsia="Calibri" w:hAnsi="Calibri"/>
          <w:b/>
          <w:bCs/>
          <w:color w:val="595959"/>
          <w:spacing w:val="30"/>
          <w:sz w:val="19"/>
          <w:szCs w:val="19"/>
        </w:rPr>
        <w:t xml:space="preserve">What we deliver</w:t>
      </w:r>
    </w:p>
    <w:p>
      <w:pPr>
        <w:pStyle w:val="ListParagraph"/>
        <w:numPr>
          <w:ilvl w:val="0"/>
          <w:numId w:val="2"/>
        </w:numPr>
        <w:spacing w:after="60" w:before="40" w:line="290"/>
      </w:pPr>
      <w:r>
        <w:rPr>
          <w:rFonts w:ascii="Calibri" w:cs="Calibri" w:eastAsia="Calibri" w:hAnsi="Calibri"/>
          <w:b/>
          <w:bCs/>
          <w:sz w:val="22"/>
          <w:szCs w:val="22"/>
        </w:rPr>
        <w:t xml:space="preserve">Value-chain mapping and gap analysis</w:t>
      </w:r>
      <w:r>
        <w:rPr>
          <w:rFonts w:ascii="Calibri" w:cs="Calibri" w:eastAsia="Calibri" w:hAnsi="Calibri"/>
          <w:sz w:val="22"/>
          <w:szCs w:val="22"/>
        </w:rPr>
        <w:t xml:space="preserve"> — Inputs, production, aggregation, processing, logistics, markets — with gender, youth, conflict and climate lenses applied at each node.</w:t>
      </w:r>
    </w:p>
    <w:p>
      <w:pPr>
        <w:pStyle w:val="ListParagraph"/>
        <w:numPr>
          <w:ilvl w:val="0"/>
          <w:numId w:val="2"/>
        </w:numPr>
        <w:spacing w:after="60" w:before="40" w:line="290"/>
      </w:pPr>
      <w:r>
        <w:rPr>
          <w:rFonts w:ascii="Calibri" w:cs="Calibri" w:eastAsia="Calibri" w:hAnsi="Calibri"/>
          <w:b/>
          <w:bCs/>
          <w:sz w:val="22"/>
          <w:szCs w:val="22"/>
        </w:rPr>
        <w:t xml:space="preserve">Market and buyer linkage strategy</w:t>
      </w:r>
      <w:r>
        <w:rPr>
          <w:rFonts w:ascii="Calibri" w:cs="Calibri" w:eastAsia="Calibri" w:hAnsi="Calibri"/>
          <w:sz w:val="22"/>
          <w:szCs w:val="22"/>
        </w:rPr>
        <w:t xml:space="preserve"> — Demand mapping, anchor-buyer scouting, off-take and contract-farming structuring.</w:t>
      </w:r>
    </w:p>
    <w:p>
      <w:pPr>
        <w:pStyle w:val="ListParagraph"/>
        <w:numPr>
          <w:ilvl w:val="0"/>
          <w:numId w:val="2"/>
        </w:numPr>
        <w:spacing w:after="60" w:before="40" w:line="290"/>
      </w:pPr>
      <w:r>
        <w:rPr>
          <w:rFonts w:ascii="Calibri" w:cs="Calibri" w:eastAsia="Calibri" w:hAnsi="Calibri"/>
          <w:b/>
          <w:bCs/>
          <w:sz w:val="22"/>
          <w:szCs w:val="22"/>
        </w:rPr>
        <w:t xml:space="preserve">Business plans for cooperatives and agri-SMEs</w:t>
      </w:r>
      <w:r>
        <w:rPr>
          <w:rFonts w:ascii="Calibri" w:cs="Calibri" w:eastAsia="Calibri" w:hAnsi="Calibri"/>
          <w:sz w:val="22"/>
          <w:szCs w:val="22"/>
        </w:rPr>
        <w:t xml:space="preserve"> — Bankable plans aligned with PSTA 5, ASTGS, CAADP Kampala 2026–2035, and AU Agenda 2063.</w:t>
      </w:r>
    </w:p>
    <w:p>
      <w:pPr>
        <w:pStyle w:val="ListParagraph"/>
        <w:numPr>
          <w:ilvl w:val="0"/>
          <w:numId w:val="2"/>
        </w:numPr>
        <w:spacing w:after="60" w:before="40" w:line="290"/>
      </w:pPr>
      <w:r>
        <w:rPr>
          <w:rFonts w:ascii="Calibri" w:cs="Calibri" w:eastAsia="Calibri" w:hAnsi="Calibri"/>
          <w:b/>
          <w:bCs/>
          <w:sz w:val="22"/>
          <w:szCs w:val="22"/>
        </w:rPr>
        <w:t xml:space="preserve">Climate-smart input and water strategy</w:t>
      </w:r>
      <w:r>
        <w:rPr>
          <w:rFonts w:ascii="Calibri" w:cs="Calibri" w:eastAsia="Calibri" w:hAnsi="Calibri"/>
          <w:sz w:val="22"/>
          <w:szCs w:val="22"/>
        </w:rPr>
        <w:t xml:space="preserve"> — Agro-input optimisation, irrigation design, climate-risk mapping using Digital Earth Africa, SERVIR and CGIAR GARDIAN data.</w:t>
      </w:r>
    </w:p>
    <w:p>
      <w:pPr>
        <w:pStyle w:val="ListParagraph"/>
        <w:numPr>
          <w:ilvl w:val="0"/>
          <w:numId w:val="2"/>
        </w:numPr>
        <w:spacing w:after="60" w:before="40" w:line="290"/>
      </w:pPr>
      <w:r>
        <w:rPr>
          <w:rFonts w:ascii="Calibri" w:cs="Calibri" w:eastAsia="Calibri" w:hAnsi="Calibri"/>
          <w:b/>
          <w:bCs/>
          <w:sz w:val="22"/>
          <w:szCs w:val="22"/>
        </w:rPr>
        <w:t xml:space="preserve">Post-harvest loss reduction</w:t>
      </w:r>
      <w:r>
        <w:rPr>
          <w:rFonts w:ascii="Calibri" w:cs="Calibri" w:eastAsia="Calibri" w:hAnsi="Calibri"/>
          <w:sz w:val="22"/>
          <w:szCs w:val="22"/>
        </w:rPr>
        <w:t xml:space="preserve"> — Cold chain, storage, aggregation hub design and feasibility.</w:t>
      </w:r>
    </w:p>
    <w:p>
      <w:pPr>
        <w:pStyle w:val="ListParagraph"/>
        <w:numPr>
          <w:ilvl w:val="0"/>
          <w:numId w:val="2"/>
        </w:numPr>
        <w:spacing w:after="60" w:before="40" w:line="290"/>
      </w:pPr>
      <w:r>
        <w:rPr>
          <w:rFonts w:ascii="Calibri" w:cs="Calibri" w:eastAsia="Calibri" w:hAnsi="Calibri"/>
          <w:b/>
          <w:bCs/>
          <w:sz w:val="22"/>
          <w:szCs w:val="22"/>
        </w:rPr>
        <w:t xml:space="preserve">Financial inclusion</w:t>
      </w:r>
      <w:r>
        <w:rPr>
          <w:rFonts w:ascii="Calibri" w:cs="Calibri" w:eastAsia="Calibri" w:hAnsi="Calibri"/>
          <w:sz w:val="22"/>
          <w:szCs w:val="22"/>
        </w:rPr>
        <w:t xml:space="preserve"> — Linking cooperatives to MFIs, banks, mobile-money providers and parametric insurance.</w:t>
      </w:r>
    </w:p>
    <w:p>
      <w:pPr>
        <w:spacing w:after="20" w:before="100"/>
      </w:pPr>
      <w:r>
        <w:rPr>
          <w:rFonts w:ascii="Calibri" w:cs="Calibri" w:eastAsia="Calibri" w:hAnsi="Calibri"/>
          <w:b/>
          <w:bCs/>
          <w:color w:val="595959"/>
          <w:spacing w:val="30"/>
          <w:sz w:val="19"/>
          <w:szCs w:val="19"/>
        </w:rPr>
        <w:t xml:space="preserve">Connects directly to</w:t>
      </w:r>
    </w:p>
    <w:p>
      <w:pPr>
        <w:spacing w:after="80" w:before="60" w:line="300"/>
      </w:pPr>
      <w:r>
        <w:rPr>
          <w:rFonts w:ascii="Calibri" w:cs="Calibri" w:eastAsia="Calibri" w:hAnsi="Calibri"/>
          <w:sz w:val="22"/>
          <w:szCs w:val="22"/>
        </w:rPr>
        <w:t xml:space="preserve">PAGES Smart Market Matchmaker, PAGES IoT Precision Insight Engine, and PAGES ERP Finance &amp; Inventory Tracker. Where a client buys the consulting, the SAICE-licensed tools can be added at preferential rates.</w:t>
      </w:r>
    </w:p>
    <w:p>
      <w:pPr>
        <w:spacing w:after="20" w:before="100"/>
      </w:pPr>
      <w:r>
        <w:rPr>
          <w:rFonts w:ascii="Calibri" w:cs="Calibri" w:eastAsia="Calibri" w:hAnsi="Calibri"/>
          <w:b/>
          <w:bCs/>
          <w:color w:val="595959"/>
          <w:spacing w:val="30"/>
          <w:sz w:val="19"/>
          <w:szCs w:val="19"/>
        </w:rPr>
        <w:t xml:space="preserve">Typical engagement length</w:t>
      </w:r>
    </w:p>
    <w:p>
      <w:pPr>
        <w:spacing w:after="80" w:before="60" w:line="300"/>
      </w:pPr>
      <w:r>
        <w:rPr>
          <w:rFonts w:ascii="Calibri" w:cs="Calibri" w:eastAsia="Calibri" w:hAnsi="Calibri"/>
          <w:sz w:val="22"/>
          <w:szCs w:val="22"/>
        </w:rPr>
        <w:t xml:space="preserve">8 to 20 weeks for assessments and plans; 12 to 36 months for accompanied implementation.</w:t>
      </w:r>
    </w:p>
    <w:p>
      <w:pPr>
        <w:spacing w:after="80" w:before="60" w:line="300"/>
      </w:pPr>
      <w:r>
        <w:rPr>
          <w:rFonts w:ascii="Calibri" w:cs="Calibri" w:eastAsia="Calibri" w:hAnsi="Calibri"/>
          <w:sz w:val="22"/>
          <w:szCs w:val="22"/>
        </w:rPr>
        <w:t xml:space="preserve">CTAs: Request an agri-value-chain proposal →  ·  See the GIAH/PAGES case study →</w:t>
      </w:r>
    </w:p>
    <w:p>
      <w:pPr>
        <w:spacing w:after="140" w:before="360"/>
      </w:pPr>
      <w:r>
        <w:rPr>
          <w:rFonts w:ascii="Calibri" w:cs="Calibri" w:eastAsia="Calibri" w:hAnsi="Calibri"/>
          <w:b/>
          <w:bCs/>
          <w:color w:val="1F4E79"/>
          <w:sz w:val="30"/>
          <w:szCs w:val="30"/>
        </w:rPr>
        <w:t xml:space="preserve">7. Service line — Digital transformation and inclusion</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Digital that reaches the last farmer.</w:t>
      </w:r>
    </w:p>
    <w:p>
      <w:pPr>
        <w:spacing w:after="80" w:before="60" w:line="300"/>
      </w:pPr>
      <w:r>
        <w:rPr>
          <w:rFonts w:ascii="Calibri" w:cs="Calibri" w:eastAsia="Calibri" w:hAnsi="Calibri"/>
          <w:sz w:val="22"/>
          <w:szCs w:val="22"/>
        </w:rPr>
        <w:t xml:space="preserve">Digital transformation in African development too often means a fancy app for the capital and nothing for the cooperative two hours from a paved road. We design from the bottom up — USSD and SMS first, then smartphone, then web — and we treat local languages, low-bandwidth devices, and gender-aware UX as engineering requirements, not nice-to-haves.</w:t>
      </w:r>
    </w:p>
    <w:p>
      <w:pPr>
        <w:spacing w:after="20" w:before="100"/>
      </w:pPr>
      <w:r>
        <w:rPr>
          <w:rFonts w:ascii="Calibri" w:cs="Calibri" w:eastAsia="Calibri" w:hAnsi="Calibri"/>
          <w:b/>
          <w:bCs/>
          <w:color w:val="595959"/>
          <w:spacing w:val="30"/>
          <w:sz w:val="19"/>
          <w:szCs w:val="19"/>
        </w:rPr>
        <w:t xml:space="preserve">What we deliver</w:t>
      </w:r>
    </w:p>
    <w:p>
      <w:pPr>
        <w:pStyle w:val="ListParagraph"/>
        <w:numPr>
          <w:ilvl w:val="0"/>
          <w:numId w:val="2"/>
        </w:numPr>
        <w:spacing w:after="60" w:before="40" w:line="290"/>
      </w:pPr>
      <w:r>
        <w:rPr>
          <w:rFonts w:ascii="Calibri" w:cs="Calibri" w:eastAsia="Calibri" w:hAnsi="Calibri"/>
          <w:b/>
          <w:bCs/>
          <w:sz w:val="22"/>
          <w:szCs w:val="22"/>
        </w:rPr>
        <w:t xml:space="preserve">Digital maturity audits</w:t>
      </w:r>
      <w:r>
        <w:rPr>
          <w:rFonts w:ascii="Calibri" w:cs="Calibri" w:eastAsia="Calibri" w:hAnsi="Calibri"/>
          <w:sz w:val="22"/>
          <w:szCs w:val="22"/>
        </w:rPr>
        <w:t xml:space="preserve"> — Maturity scoring against the Principles for Digital Development and AU Continental AI Strategy.</w:t>
      </w:r>
    </w:p>
    <w:p>
      <w:pPr>
        <w:pStyle w:val="ListParagraph"/>
        <w:numPr>
          <w:ilvl w:val="0"/>
          <w:numId w:val="2"/>
        </w:numPr>
        <w:spacing w:after="60" w:before="40" w:line="290"/>
      </w:pPr>
      <w:r>
        <w:rPr>
          <w:rFonts w:ascii="Calibri" w:cs="Calibri" w:eastAsia="Calibri" w:hAnsi="Calibri"/>
          <w:b/>
          <w:bCs/>
          <w:sz w:val="22"/>
          <w:szCs w:val="22"/>
        </w:rPr>
        <w:t xml:space="preserve">System selection and architecture</w:t>
      </w:r>
      <w:r>
        <w:rPr>
          <w:rFonts w:ascii="Calibri" w:cs="Calibri" w:eastAsia="Calibri" w:hAnsi="Calibri"/>
          <w:sz w:val="22"/>
          <w:szCs w:val="22"/>
        </w:rPr>
        <w:t xml:space="preserve"> — Open-source-first stack design, data-model definition, integration with national digital public infrastructure.</w:t>
      </w:r>
    </w:p>
    <w:p>
      <w:pPr>
        <w:pStyle w:val="ListParagraph"/>
        <w:numPr>
          <w:ilvl w:val="0"/>
          <w:numId w:val="2"/>
        </w:numPr>
        <w:spacing w:after="60" w:before="40" w:line="290"/>
      </w:pPr>
      <w:r>
        <w:rPr>
          <w:rFonts w:ascii="Calibri" w:cs="Calibri" w:eastAsia="Calibri" w:hAnsi="Calibri"/>
          <w:b/>
          <w:bCs/>
          <w:sz w:val="22"/>
          <w:szCs w:val="22"/>
        </w:rPr>
        <w:t xml:space="preserve">Low-bandwidth UX</w:t>
      </w:r>
      <w:r>
        <w:rPr>
          <w:rFonts w:ascii="Calibri" w:cs="Calibri" w:eastAsia="Calibri" w:hAnsi="Calibri"/>
          <w:sz w:val="22"/>
          <w:szCs w:val="22"/>
        </w:rPr>
        <w:t xml:space="preserve"> — Mobile-first, offline-first, USSD and SMS channels, voice and IVR for non-literate users.</w:t>
      </w:r>
    </w:p>
    <w:p>
      <w:pPr>
        <w:pStyle w:val="ListParagraph"/>
        <w:numPr>
          <w:ilvl w:val="0"/>
          <w:numId w:val="2"/>
        </w:numPr>
        <w:spacing w:after="60" w:before="40" w:line="290"/>
      </w:pPr>
      <w:r>
        <w:rPr>
          <w:rFonts w:ascii="Calibri" w:cs="Calibri" w:eastAsia="Calibri" w:hAnsi="Calibri"/>
          <w:b/>
          <w:bCs/>
          <w:sz w:val="22"/>
          <w:szCs w:val="22"/>
        </w:rPr>
        <w:t xml:space="preserve">Multilingual content engineering</w:t>
      </w:r>
      <w:r>
        <w:rPr>
          <w:rFonts w:ascii="Calibri" w:cs="Calibri" w:eastAsia="Calibri" w:hAnsi="Calibri"/>
          <w:sz w:val="22"/>
          <w:szCs w:val="22"/>
        </w:rPr>
        <w:t xml:space="preserve"> — English, French, Kinyarwanda, Kirundi and Swahili — designed in, not bolted on.</w:t>
      </w:r>
    </w:p>
    <w:p>
      <w:pPr>
        <w:pStyle w:val="ListParagraph"/>
        <w:numPr>
          <w:ilvl w:val="0"/>
          <w:numId w:val="2"/>
        </w:numPr>
        <w:spacing w:after="60" w:before="40" w:line="290"/>
      </w:pPr>
      <w:r>
        <w:rPr>
          <w:rFonts w:ascii="Calibri" w:cs="Calibri" w:eastAsia="Calibri" w:hAnsi="Calibri"/>
          <w:b/>
          <w:bCs/>
          <w:sz w:val="22"/>
          <w:szCs w:val="22"/>
        </w:rPr>
        <w:t xml:space="preserve">Data protection and AI ethics</w:t>
      </w:r>
      <w:r>
        <w:rPr>
          <w:rFonts w:ascii="Calibri" w:cs="Calibri" w:eastAsia="Calibri" w:hAnsi="Calibri"/>
          <w:sz w:val="22"/>
          <w:szCs w:val="22"/>
        </w:rPr>
        <w:t xml:space="preserve"> — Compliance design for Rwanda Law 058/2021, Kenya DPA 2019, PIPEDA, GDPR, UNESCO AI Ethics, and FAIR data principles.</w:t>
      </w:r>
    </w:p>
    <w:p>
      <w:pPr>
        <w:pStyle w:val="ListParagraph"/>
        <w:numPr>
          <w:ilvl w:val="0"/>
          <w:numId w:val="2"/>
        </w:numPr>
        <w:spacing w:after="60" w:before="40" w:line="290"/>
      </w:pPr>
      <w:r>
        <w:rPr>
          <w:rFonts w:ascii="Calibri" w:cs="Calibri" w:eastAsia="Calibri" w:hAnsi="Calibri"/>
          <w:b/>
          <w:bCs/>
          <w:sz w:val="22"/>
          <w:szCs w:val="22"/>
        </w:rPr>
        <w:t xml:space="preserve">Capacity building</w:t>
      </w:r>
      <w:r>
        <w:rPr>
          <w:rFonts w:ascii="Calibri" w:cs="Calibri" w:eastAsia="Calibri" w:hAnsi="Calibri"/>
          <w:sz w:val="22"/>
          <w:szCs w:val="22"/>
        </w:rPr>
        <w:t xml:space="preserve"> — Train-the-trainer programmes for ministries, cooperatives, BDS providers and field officers.</w:t>
      </w:r>
    </w:p>
    <w:p>
      <w:pPr>
        <w:spacing w:after="20" w:before="100"/>
      </w:pPr>
      <w:r>
        <w:rPr>
          <w:rFonts w:ascii="Calibri" w:cs="Calibri" w:eastAsia="Calibri" w:hAnsi="Calibri"/>
          <w:b/>
          <w:bCs/>
          <w:color w:val="595959"/>
          <w:spacing w:val="30"/>
          <w:sz w:val="19"/>
          <w:szCs w:val="19"/>
        </w:rPr>
        <w:t xml:space="preserve">Inclusion targets we build in by default</w:t>
      </w:r>
    </w:p>
    <w:p>
      <w:pPr>
        <w:spacing w:after="80" w:before="60" w:line="300"/>
      </w:pPr>
      <w:r>
        <w:rPr>
          <w:rFonts w:ascii="Calibri" w:cs="Calibri" w:eastAsia="Calibri" w:hAnsi="Calibri"/>
          <w:sz w:val="22"/>
          <w:szCs w:val="22"/>
        </w:rPr>
        <w:t xml:space="preserve">60% women, 40% youth, 15% ex-combatant, 5% people with disabilities. These are not aspirational numbers for our work — they are contractual deliverables.</w:t>
      </w:r>
    </w:p>
    <w:p>
      <w:pPr>
        <w:spacing w:after="20" w:before="100"/>
      </w:pPr>
      <w:r>
        <w:rPr>
          <w:rFonts w:ascii="Calibri" w:cs="Calibri" w:eastAsia="Calibri" w:hAnsi="Calibri"/>
          <w:b/>
          <w:bCs/>
          <w:color w:val="595959"/>
          <w:spacing w:val="30"/>
          <w:sz w:val="19"/>
          <w:szCs w:val="19"/>
        </w:rPr>
        <w:t xml:space="preserve">Typical engagement length</w:t>
      </w:r>
    </w:p>
    <w:p>
      <w:pPr>
        <w:spacing w:after="80" w:before="60" w:line="300"/>
      </w:pPr>
      <w:r>
        <w:rPr>
          <w:rFonts w:ascii="Calibri" w:cs="Calibri" w:eastAsia="Calibri" w:hAnsi="Calibri"/>
          <w:sz w:val="22"/>
          <w:szCs w:val="22"/>
        </w:rPr>
        <w:t xml:space="preserve">6 to 18 weeks for audits and design; ongoing retainer for build and run.</w:t>
      </w:r>
    </w:p>
    <w:p>
      <w:pPr>
        <w:spacing w:after="80" w:before="60" w:line="300"/>
      </w:pPr>
      <w:r>
        <w:rPr>
          <w:rFonts w:ascii="Calibri" w:cs="Calibri" w:eastAsia="Calibri" w:hAnsi="Calibri"/>
          <w:sz w:val="22"/>
          <w:szCs w:val="22"/>
        </w:rPr>
        <w:t xml:space="preserve">CTAs: Request a digital-transformation proposal →  ·  Read our digital-inclusion playbook →</w:t>
      </w:r>
    </w:p>
    <w:p>
      <w:pPr>
        <w:spacing w:after="140" w:before="360"/>
      </w:pPr>
      <w:r>
        <w:rPr>
          <w:rFonts w:ascii="Calibri" w:cs="Calibri" w:eastAsia="Calibri" w:hAnsi="Calibri"/>
          <w:b/>
          <w:bCs/>
          <w:color w:val="1F4E79"/>
          <w:sz w:val="30"/>
          <w:szCs w:val="30"/>
        </w:rPr>
        <w:t xml:space="preserve">8. Service line — Monitoring and Evaluation (M&amp;E / MEAL)</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Donor-grade M&amp;E without the box-ticking.</w:t>
      </w:r>
    </w:p>
    <w:p>
      <w:pPr>
        <w:spacing w:after="80" w:before="60" w:line="300"/>
      </w:pPr>
      <w:r>
        <w:rPr>
          <w:rFonts w:ascii="Calibri" w:cs="Calibri" w:eastAsia="Calibri" w:hAnsi="Calibri"/>
          <w:sz w:val="22"/>
          <w:szCs w:val="22"/>
        </w:rPr>
        <w:t xml:space="preserve">We design and run MEAL systems that tell the truth — including when the news is bad. Our practice is grounded in the OECD-DAC evaluation criteria (relevance, coherence, effectiveness, efficiency, impact, sustainability) and the BetterEvaluation framework, with conflict sensitivity layered on for the Great Lakes Region.</w:t>
      </w:r>
    </w:p>
    <w:p>
      <w:pPr>
        <w:spacing w:after="20" w:before="100"/>
      </w:pPr>
      <w:r>
        <w:rPr>
          <w:rFonts w:ascii="Calibri" w:cs="Calibri" w:eastAsia="Calibri" w:hAnsi="Calibri"/>
          <w:b/>
          <w:bCs/>
          <w:color w:val="595959"/>
          <w:spacing w:val="30"/>
          <w:sz w:val="19"/>
          <w:szCs w:val="19"/>
        </w:rPr>
        <w:t xml:space="preserve">What we deliver</w:t>
      </w:r>
    </w:p>
    <w:p>
      <w:pPr>
        <w:pStyle w:val="ListParagraph"/>
        <w:numPr>
          <w:ilvl w:val="0"/>
          <w:numId w:val="2"/>
        </w:numPr>
        <w:spacing w:after="60" w:before="40" w:line="290"/>
      </w:pPr>
      <w:r>
        <w:rPr>
          <w:rFonts w:ascii="Calibri" w:cs="Calibri" w:eastAsia="Calibri" w:hAnsi="Calibri"/>
          <w:b/>
          <w:bCs/>
          <w:sz w:val="22"/>
          <w:szCs w:val="22"/>
        </w:rPr>
        <w:t xml:space="preserve">Results frameworks and theories of change</w:t>
      </w:r>
      <w:r>
        <w:rPr>
          <w:rFonts w:ascii="Calibri" w:cs="Calibri" w:eastAsia="Calibri" w:hAnsi="Calibri"/>
          <w:sz w:val="22"/>
          <w:szCs w:val="22"/>
        </w:rPr>
        <w:t xml:space="preserve"> — Diagrams, indicator dictionaries, assumptions registers — publishable as part of grant proposals.</w:t>
      </w:r>
    </w:p>
    <w:p>
      <w:pPr>
        <w:pStyle w:val="ListParagraph"/>
        <w:numPr>
          <w:ilvl w:val="0"/>
          <w:numId w:val="2"/>
        </w:numPr>
        <w:spacing w:after="60" w:before="40" w:line="290"/>
      </w:pPr>
      <w:r>
        <w:rPr>
          <w:rFonts w:ascii="Calibri" w:cs="Calibri" w:eastAsia="Calibri" w:hAnsi="Calibri"/>
          <w:b/>
          <w:bCs/>
          <w:sz w:val="22"/>
          <w:szCs w:val="22"/>
        </w:rPr>
        <w:t xml:space="preserve">Baseline, mid-term and endline studies</w:t>
      </w:r>
      <w:r>
        <w:rPr>
          <w:rFonts w:ascii="Calibri" w:cs="Calibri" w:eastAsia="Calibri" w:hAnsi="Calibri"/>
          <w:sz w:val="22"/>
          <w:szCs w:val="22"/>
        </w:rPr>
        <w:t xml:space="preserve"> — Survey design, sample frames, enumerator training, data quality assurance, analysis.</w:t>
      </w:r>
    </w:p>
    <w:p>
      <w:pPr>
        <w:pStyle w:val="ListParagraph"/>
        <w:numPr>
          <w:ilvl w:val="0"/>
          <w:numId w:val="2"/>
        </w:numPr>
        <w:spacing w:after="60" w:before="40" w:line="290"/>
      </w:pPr>
      <w:r>
        <w:rPr>
          <w:rFonts w:ascii="Calibri" w:cs="Calibri" w:eastAsia="Calibri" w:hAnsi="Calibri"/>
          <w:b/>
          <w:bCs/>
          <w:sz w:val="22"/>
          <w:szCs w:val="22"/>
        </w:rPr>
        <w:t xml:space="preserve">MEAL system design</w:t>
      </w:r>
      <w:r>
        <w:rPr>
          <w:rFonts w:ascii="Calibri" w:cs="Calibri" w:eastAsia="Calibri" w:hAnsi="Calibri"/>
          <w:sz w:val="22"/>
          <w:szCs w:val="22"/>
        </w:rPr>
        <w:t xml:space="preserve"> — KoboToolbox, ODK, CommCare, DHIS2 or custom — chosen for what the client can sustain.</w:t>
      </w:r>
    </w:p>
    <w:p>
      <w:pPr>
        <w:pStyle w:val="ListParagraph"/>
        <w:numPr>
          <w:ilvl w:val="0"/>
          <w:numId w:val="2"/>
        </w:numPr>
        <w:spacing w:after="60" w:before="40" w:line="290"/>
      </w:pPr>
      <w:r>
        <w:rPr>
          <w:rFonts w:ascii="Calibri" w:cs="Calibri" w:eastAsia="Calibri" w:hAnsi="Calibri"/>
          <w:b/>
          <w:bCs/>
          <w:sz w:val="22"/>
          <w:szCs w:val="22"/>
        </w:rPr>
        <w:t xml:space="preserve">External evaluations</w:t>
      </w:r>
      <w:r>
        <w:rPr>
          <w:rFonts w:ascii="Calibri" w:cs="Calibri" w:eastAsia="Calibri" w:hAnsi="Calibri"/>
          <w:sz w:val="22"/>
          <w:szCs w:val="22"/>
        </w:rPr>
        <w:t xml:space="preserve"> — Independent OECD-DAC evaluations for ministries and donors.</w:t>
      </w:r>
    </w:p>
    <w:p>
      <w:pPr>
        <w:pStyle w:val="ListParagraph"/>
        <w:numPr>
          <w:ilvl w:val="0"/>
          <w:numId w:val="2"/>
        </w:numPr>
        <w:spacing w:after="60" w:before="40" w:line="290"/>
      </w:pPr>
      <w:r>
        <w:rPr>
          <w:rFonts w:ascii="Calibri" w:cs="Calibri" w:eastAsia="Calibri" w:hAnsi="Calibri"/>
          <w:b/>
          <w:bCs/>
          <w:sz w:val="22"/>
          <w:szCs w:val="22"/>
        </w:rPr>
        <w:t xml:space="preserve">Learning agendas</w:t>
      </w:r>
      <w:r>
        <w:rPr>
          <w:rFonts w:ascii="Calibri" w:cs="Calibri" w:eastAsia="Calibri" w:hAnsi="Calibri"/>
          <w:sz w:val="22"/>
          <w:szCs w:val="22"/>
        </w:rPr>
        <w:t xml:space="preserve"> — Question-led inquiry rather than indicator-led reporting.</w:t>
      </w:r>
    </w:p>
    <w:p>
      <w:pPr>
        <w:pStyle w:val="ListParagraph"/>
        <w:numPr>
          <w:ilvl w:val="0"/>
          <w:numId w:val="2"/>
        </w:numPr>
        <w:spacing w:after="60" w:before="40" w:line="290"/>
      </w:pPr>
      <w:r>
        <w:rPr>
          <w:rFonts w:ascii="Calibri" w:cs="Calibri" w:eastAsia="Calibri" w:hAnsi="Calibri"/>
          <w:b/>
          <w:bCs/>
          <w:sz w:val="22"/>
          <w:szCs w:val="22"/>
        </w:rPr>
        <w:t xml:space="preserve">Real-time and adaptive M&amp;E</w:t>
      </w:r>
      <w:r>
        <w:rPr>
          <w:rFonts w:ascii="Calibri" w:cs="Calibri" w:eastAsia="Calibri" w:hAnsi="Calibri"/>
          <w:sz w:val="22"/>
          <w:szCs w:val="22"/>
        </w:rPr>
        <w:t xml:space="preserve"> — Pause-and-reflect cycles, dashboards, and donor-friendly quarterly views.</w:t>
      </w:r>
    </w:p>
    <w:p>
      <w:pPr>
        <w:spacing w:after="20" w:before="100"/>
      </w:pPr>
      <w:r>
        <w:rPr>
          <w:rFonts w:ascii="Calibri" w:cs="Calibri" w:eastAsia="Calibri" w:hAnsi="Calibri"/>
          <w:b/>
          <w:bCs/>
          <w:color w:val="595959"/>
          <w:spacing w:val="30"/>
          <w:sz w:val="19"/>
          <w:szCs w:val="19"/>
        </w:rPr>
        <w:t xml:space="preserve">What we will not do</w:t>
      </w:r>
    </w:p>
    <w:p>
      <w:pPr>
        <w:spacing w:after="80" w:before="60" w:line="300"/>
      </w:pPr>
      <w:r>
        <w:rPr>
          <w:rFonts w:ascii="Calibri" w:cs="Calibri" w:eastAsia="Calibri" w:hAnsi="Calibri"/>
          <w:sz w:val="22"/>
          <w:szCs w:val="22"/>
        </w:rPr>
        <w:t xml:space="preserve">We will not evaluate our own SAICE programmes — that work is contracted to genuinely independent external firms. We are happy to evaluate other organisations’ programmes, including ones we have no prior relationship with.</w:t>
      </w:r>
    </w:p>
    <w:p>
      <w:pPr>
        <w:spacing w:after="20" w:before="100"/>
      </w:pPr>
      <w:r>
        <w:rPr>
          <w:rFonts w:ascii="Calibri" w:cs="Calibri" w:eastAsia="Calibri" w:hAnsi="Calibri"/>
          <w:b/>
          <w:bCs/>
          <w:color w:val="595959"/>
          <w:spacing w:val="30"/>
          <w:sz w:val="19"/>
          <w:szCs w:val="19"/>
        </w:rPr>
        <w:t xml:space="preserve">Typical engagement length</w:t>
      </w:r>
    </w:p>
    <w:p>
      <w:pPr>
        <w:spacing w:after="80" w:before="60" w:line="300"/>
      </w:pPr>
      <w:r>
        <w:rPr>
          <w:rFonts w:ascii="Calibri" w:cs="Calibri" w:eastAsia="Calibri" w:hAnsi="Calibri"/>
          <w:sz w:val="22"/>
          <w:szCs w:val="22"/>
        </w:rPr>
        <w:t xml:space="preserve">6 to 14 weeks for design and baselines; full programme cycles for ongoing MEAL.</w:t>
      </w:r>
    </w:p>
    <w:p>
      <w:pPr>
        <w:spacing w:after="80" w:before="60" w:line="300"/>
      </w:pPr>
      <w:r>
        <w:rPr>
          <w:rFonts w:ascii="Calibri" w:cs="Calibri" w:eastAsia="Calibri" w:hAnsi="Calibri"/>
          <w:sz w:val="22"/>
          <w:szCs w:val="22"/>
        </w:rPr>
        <w:t xml:space="preserve">CTAs: Request an M&amp;E proposal →  ·  Download our MEAL methodology note →</w:t>
      </w:r>
    </w:p>
    <w:p>
      <w:pPr>
        <w:spacing w:after="140" w:before="360"/>
      </w:pPr>
      <w:r>
        <w:rPr>
          <w:rFonts w:ascii="Calibri" w:cs="Calibri" w:eastAsia="Calibri" w:hAnsi="Calibri"/>
          <w:b/>
          <w:bCs/>
          <w:color w:val="1F4E79"/>
          <w:sz w:val="30"/>
          <w:szCs w:val="30"/>
        </w:rPr>
        <w:t xml:space="preserve">9. Service line — Reports and proposal development</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Reports that get funded. Reports that get read.</w:t>
      </w:r>
    </w:p>
    <w:p>
      <w:pPr>
        <w:spacing w:after="80" w:before="60" w:line="300"/>
      </w:pPr>
      <w:r>
        <w:rPr>
          <w:rFonts w:ascii="Calibri" w:cs="Calibri" w:eastAsia="Calibri" w:hAnsi="Calibri"/>
          <w:sz w:val="22"/>
          <w:szCs w:val="22"/>
        </w:rPr>
        <w:t xml:space="preserve">A proposal is not a writing exercise. It is a logic problem dressed in prose. We treat it that way — and our win rate shows it. We write for GAC, IDRC, FCDO, the EU, the World Bank, IFAD, AfDB, the Gates Foundation, Mastercard Foundation, Rockefeller and a long tail of bilateral and private donors.</w:t>
      </w:r>
    </w:p>
    <w:p>
      <w:pPr>
        <w:spacing w:after="20" w:before="100"/>
      </w:pPr>
      <w:r>
        <w:rPr>
          <w:rFonts w:ascii="Calibri" w:cs="Calibri" w:eastAsia="Calibri" w:hAnsi="Calibri"/>
          <w:b/>
          <w:bCs/>
          <w:color w:val="595959"/>
          <w:spacing w:val="30"/>
          <w:sz w:val="19"/>
          <w:szCs w:val="19"/>
        </w:rPr>
        <w:t xml:space="preserve">What we deliver</w:t>
      </w:r>
    </w:p>
    <w:p>
      <w:pPr>
        <w:pStyle w:val="ListParagraph"/>
        <w:numPr>
          <w:ilvl w:val="0"/>
          <w:numId w:val="2"/>
        </w:numPr>
        <w:spacing w:after="60" w:before="40" w:line="290"/>
      </w:pPr>
      <w:r>
        <w:rPr>
          <w:rFonts w:ascii="Calibri" w:cs="Calibri" w:eastAsia="Calibri" w:hAnsi="Calibri"/>
          <w:b/>
          <w:bCs/>
          <w:sz w:val="22"/>
          <w:szCs w:val="22"/>
        </w:rPr>
        <w:t xml:space="preserve">Concept notes</w:t>
      </w:r>
      <w:r>
        <w:rPr>
          <w:rFonts w:ascii="Calibri" w:cs="Calibri" w:eastAsia="Calibri" w:hAnsi="Calibri"/>
          <w:sz w:val="22"/>
          <w:szCs w:val="22"/>
        </w:rPr>
        <w:t xml:space="preserve"> — 2- to 5-page funder pitches, sharply scoped to a specific call.</w:t>
      </w:r>
    </w:p>
    <w:p>
      <w:pPr>
        <w:pStyle w:val="ListParagraph"/>
        <w:numPr>
          <w:ilvl w:val="0"/>
          <w:numId w:val="2"/>
        </w:numPr>
        <w:spacing w:after="60" w:before="40" w:line="290"/>
      </w:pPr>
      <w:r>
        <w:rPr>
          <w:rFonts w:ascii="Calibri" w:cs="Calibri" w:eastAsia="Calibri" w:hAnsi="Calibri"/>
          <w:b/>
          <w:bCs/>
          <w:sz w:val="22"/>
          <w:szCs w:val="22"/>
        </w:rPr>
        <w:t xml:space="preserve">Full grant proposals</w:t>
      </w:r>
      <w:r>
        <w:rPr>
          <w:rFonts w:ascii="Calibri" w:cs="Calibri" w:eastAsia="Calibri" w:hAnsi="Calibri"/>
          <w:sz w:val="22"/>
          <w:szCs w:val="22"/>
        </w:rPr>
        <w:t xml:space="preserve"> — Narrative, results framework, work plan, risk register, budget and budget notes, annexes.</w:t>
      </w:r>
    </w:p>
    <w:p>
      <w:pPr>
        <w:pStyle w:val="ListParagraph"/>
        <w:numPr>
          <w:ilvl w:val="0"/>
          <w:numId w:val="2"/>
        </w:numPr>
        <w:spacing w:after="60" w:before="40" w:line="290"/>
      </w:pPr>
      <w:r>
        <w:rPr>
          <w:rFonts w:ascii="Calibri" w:cs="Calibri" w:eastAsia="Calibri" w:hAnsi="Calibri"/>
          <w:b/>
          <w:bCs/>
          <w:sz w:val="22"/>
          <w:szCs w:val="22"/>
        </w:rPr>
        <w:t xml:space="preserve">Donor reports</w:t>
      </w:r>
      <w:r>
        <w:rPr>
          <w:rFonts w:ascii="Calibri" w:cs="Calibri" w:eastAsia="Calibri" w:hAnsi="Calibri"/>
          <w:sz w:val="22"/>
          <w:szCs w:val="22"/>
        </w:rPr>
        <w:t xml:space="preserve"> — Quarterly, annual and final reports — narrative + financial reconciliation.</w:t>
      </w:r>
    </w:p>
    <w:p>
      <w:pPr>
        <w:pStyle w:val="ListParagraph"/>
        <w:numPr>
          <w:ilvl w:val="0"/>
          <w:numId w:val="2"/>
        </w:numPr>
        <w:spacing w:after="60" w:before="40" w:line="290"/>
      </w:pPr>
      <w:r>
        <w:rPr>
          <w:rFonts w:ascii="Calibri" w:cs="Calibri" w:eastAsia="Calibri" w:hAnsi="Calibri"/>
          <w:b/>
          <w:bCs/>
          <w:sz w:val="22"/>
          <w:szCs w:val="22"/>
        </w:rPr>
        <w:t xml:space="preserve">Theory-of-change packages</w:t>
      </w:r>
      <w:r>
        <w:rPr>
          <w:rFonts w:ascii="Calibri" w:cs="Calibri" w:eastAsia="Calibri" w:hAnsi="Calibri"/>
          <w:sz w:val="22"/>
          <w:szCs w:val="22"/>
        </w:rPr>
        <w:t xml:space="preserve"> — Diagrams, indicator dictionaries, assumptions registers.</w:t>
      </w:r>
    </w:p>
    <w:p>
      <w:pPr>
        <w:pStyle w:val="ListParagraph"/>
        <w:numPr>
          <w:ilvl w:val="0"/>
          <w:numId w:val="2"/>
        </w:numPr>
        <w:spacing w:after="60" w:before="40" w:line="290"/>
      </w:pPr>
      <w:r>
        <w:rPr>
          <w:rFonts w:ascii="Calibri" w:cs="Calibri" w:eastAsia="Calibri" w:hAnsi="Calibri"/>
          <w:b/>
          <w:bCs/>
          <w:sz w:val="22"/>
          <w:szCs w:val="22"/>
        </w:rPr>
        <w:t xml:space="preserve">Capability statements and donor packs</w:t>
      </w:r>
      <w:r>
        <w:rPr>
          <w:rFonts w:ascii="Calibri" w:cs="Calibri" w:eastAsia="Calibri" w:hAnsi="Calibri"/>
          <w:sz w:val="22"/>
          <w:szCs w:val="22"/>
        </w:rPr>
        <w:t xml:space="preserve"> — For the organisation as a whole, not just the project.</w:t>
      </w:r>
    </w:p>
    <w:p>
      <w:pPr>
        <w:pStyle w:val="ListParagraph"/>
        <w:numPr>
          <w:ilvl w:val="0"/>
          <w:numId w:val="2"/>
        </w:numPr>
        <w:spacing w:after="60" w:before="40" w:line="290"/>
      </w:pPr>
      <w:r>
        <w:rPr>
          <w:rFonts w:ascii="Calibri" w:cs="Calibri" w:eastAsia="Calibri" w:hAnsi="Calibri"/>
          <w:b/>
          <w:bCs/>
          <w:sz w:val="22"/>
          <w:szCs w:val="22"/>
        </w:rPr>
        <w:t xml:space="preserve">Sector studies and policy briefs</w:t>
      </w:r>
      <w:r>
        <w:rPr>
          <w:rFonts w:ascii="Calibri" w:cs="Calibri" w:eastAsia="Calibri" w:hAnsi="Calibri"/>
          <w:sz w:val="22"/>
          <w:szCs w:val="22"/>
        </w:rPr>
        <w:t xml:space="preserve"> — For ministries, regional bodies and continental institutions.</w:t>
      </w:r>
    </w:p>
    <w:p>
      <w:pPr>
        <w:spacing w:after="20" w:before="100"/>
      </w:pPr>
      <w:r>
        <w:rPr>
          <w:rFonts w:ascii="Calibri" w:cs="Calibri" w:eastAsia="Calibri" w:hAnsi="Calibri"/>
          <w:b/>
          <w:bCs/>
          <w:color w:val="595959"/>
          <w:spacing w:val="30"/>
          <w:sz w:val="19"/>
          <w:szCs w:val="19"/>
        </w:rPr>
        <w:t xml:space="preserve">Languages</w:t>
      </w:r>
    </w:p>
    <w:p>
      <w:pPr>
        <w:spacing w:after="80" w:before="60" w:line="300"/>
      </w:pPr>
      <w:r>
        <w:rPr>
          <w:rFonts w:ascii="Calibri" w:cs="Calibri" w:eastAsia="Calibri" w:hAnsi="Calibri"/>
          <w:sz w:val="22"/>
          <w:szCs w:val="22"/>
        </w:rPr>
        <w:t xml:space="preserve">English and French at full publication grade. Kinyarwanda summaries and visuals on request.</w:t>
      </w:r>
    </w:p>
    <w:p>
      <w:pPr>
        <w:spacing w:after="20" w:before="100"/>
      </w:pPr>
      <w:r>
        <w:rPr>
          <w:rFonts w:ascii="Calibri" w:cs="Calibri" w:eastAsia="Calibri" w:hAnsi="Calibri"/>
          <w:b/>
          <w:bCs/>
          <w:color w:val="595959"/>
          <w:spacing w:val="30"/>
          <w:sz w:val="19"/>
          <w:szCs w:val="19"/>
        </w:rPr>
        <w:t xml:space="preserve">Typical engagement length</w:t>
      </w:r>
    </w:p>
    <w:p>
      <w:pPr>
        <w:spacing w:after="80" w:before="60" w:line="300"/>
      </w:pPr>
      <w:r>
        <w:rPr>
          <w:rFonts w:ascii="Calibri" w:cs="Calibri" w:eastAsia="Calibri" w:hAnsi="Calibri"/>
          <w:sz w:val="22"/>
          <w:szCs w:val="22"/>
        </w:rPr>
        <w:t xml:space="preserve">1 to 3 weeks for a concept note; 4 to 10 weeks for a full proposal.</w:t>
      </w:r>
    </w:p>
    <w:p>
      <w:pPr>
        <w:spacing w:after="80" w:before="60" w:line="300"/>
      </w:pPr>
      <w:r>
        <w:rPr>
          <w:rFonts w:ascii="Calibri" w:cs="Calibri" w:eastAsia="Calibri" w:hAnsi="Calibri"/>
          <w:sz w:val="22"/>
          <w:szCs w:val="22"/>
        </w:rPr>
        <w:t xml:space="preserve">CTAs: Request a writing engagement →  ·  See sample concept notes (redacted) →</w:t>
      </w:r>
    </w:p>
    <w:p>
      <w:pPr>
        <w:spacing w:after="140" w:before="360"/>
      </w:pPr>
      <w:r>
        <w:rPr>
          <w:rFonts w:ascii="Calibri" w:cs="Calibri" w:eastAsia="Calibri" w:hAnsi="Calibri"/>
          <w:b/>
          <w:bCs/>
          <w:color w:val="1F4E79"/>
          <w:sz w:val="30"/>
          <w:szCs w:val="30"/>
        </w:rPr>
        <w:t xml:space="preserve">10. Service line — Enterprise SaaS · PAGES and ICES licences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License the same tools that power our charity programmes.</w:t>
      </w:r>
    </w:p>
    <w:p>
      <w:pPr>
        <w:spacing w:after="80" w:before="60" w:line="300"/>
      </w:pPr>
      <w:r>
        <w:rPr>
          <w:rFonts w:ascii="Calibri" w:cs="Calibri" w:eastAsia="Calibri" w:hAnsi="Calibri"/>
          <w:sz w:val="22"/>
          <w:szCs w:val="22"/>
        </w:rPr>
        <w:t xml:space="preserve">SAICE owns the brand, the code, and the data model behind PAGES and ICES. IFSS Inc. holds the commercial licence and sells paid editions to organisations that are not eligible for, or do not need, donor-subsidised access. Every licence dollar pays a revenue share back to SAICE — keeping the charity’s public-good versions free for cooperatives and SMEs.</w:t>
      </w:r>
    </w:p>
    <w:p>
      <w:pPr>
        <w:spacing w:after="20" w:before="100"/>
      </w:pPr>
      <w:r>
        <w:rPr>
          <w:rFonts w:ascii="Calibri" w:cs="Calibri" w:eastAsia="Calibri" w:hAnsi="Calibri"/>
          <w:b/>
          <w:bCs/>
          <w:color w:val="595959"/>
          <w:spacing w:val="30"/>
          <w:sz w:val="19"/>
          <w:szCs w:val="19"/>
        </w:rPr>
        <w:t xml:space="preserve">PAGES Enterprise — for agri-input suppliers, exporters, financial institutions, ministries</w:t>
      </w:r>
    </w:p>
    <w:p>
      <w:pPr>
        <w:pStyle w:val="ListParagraph"/>
        <w:numPr>
          <w:ilvl w:val="0"/>
          <w:numId w:val="2"/>
        </w:numPr>
        <w:spacing w:after="60" w:before="40" w:line="290"/>
      </w:pPr>
      <w:r>
        <w:rPr>
          <w:rFonts w:ascii="Calibri" w:cs="Calibri" w:eastAsia="Calibri" w:hAnsi="Calibri"/>
          <w:b/>
          <w:bCs/>
          <w:sz w:val="22"/>
          <w:szCs w:val="22"/>
        </w:rPr>
        <w:t xml:space="preserve">Smart Market Matchmaker — Enterprise edition</w:t>
      </w:r>
      <w:r>
        <w:rPr>
          <w:rFonts w:ascii="Calibri" w:cs="Calibri" w:eastAsia="Calibri" w:hAnsi="Calibri"/>
          <w:sz w:val="22"/>
          <w:szCs w:val="22"/>
        </w:rPr>
        <w:t xml:space="preserve"> — Multi-buyer dashboards, off-take contract templates, KYC pre-screen, exporter compliance modules.</w:t>
      </w:r>
    </w:p>
    <w:p>
      <w:pPr>
        <w:pStyle w:val="ListParagraph"/>
        <w:numPr>
          <w:ilvl w:val="0"/>
          <w:numId w:val="2"/>
        </w:numPr>
        <w:spacing w:after="60" w:before="40" w:line="290"/>
      </w:pPr>
      <w:r>
        <w:rPr>
          <w:rFonts w:ascii="Calibri" w:cs="Calibri" w:eastAsia="Calibri" w:hAnsi="Calibri"/>
          <w:b/>
          <w:bCs/>
          <w:sz w:val="22"/>
          <w:szCs w:val="22"/>
        </w:rPr>
        <w:t xml:space="preserve">IoT Precision Insight Engine — Enterprise edition</w:t>
      </w:r>
      <w:r>
        <w:rPr>
          <w:rFonts w:ascii="Calibri" w:cs="Calibri" w:eastAsia="Calibri" w:hAnsi="Calibri"/>
          <w:sz w:val="22"/>
          <w:szCs w:val="22"/>
        </w:rPr>
        <w:t xml:space="preserve"> — Custom satellite + sensor stacks, branded dashboards, yield-forecast APIs.</w:t>
      </w:r>
    </w:p>
    <w:p>
      <w:pPr>
        <w:pStyle w:val="ListParagraph"/>
        <w:numPr>
          <w:ilvl w:val="0"/>
          <w:numId w:val="2"/>
        </w:numPr>
        <w:spacing w:after="60" w:before="40" w:line="290"/>
      </w:pPr>
      <w:r>
        <w:rPr>
          <w:rFonts w:ascii="Calibri" w:cs="Calibri" w:eastAsia="Calibri" w:hAnsi="Calibri"/>
          <w:b/>
          <w:bCs/>
          <w:sz w:val="22"/>
          <w:szCs w:val="22"/>
        </w:rPr>
        <w:t xml:space="preserve">ERP Finance &amp; Inventory Tracker — Enterprise edition</w:t>
      </w:r>
      <w:r>
        <w:rPr>
          <w:rFonts w:ascii="Calibri" w:cs="Calibri" w:eastAsia="Calibri" w:hAnsi="Calibri"/>
          <w:sz w:val="22"/>
          <w:szCs w:val="22"/>
        </w:rPr>
        <w:t xml:space="preserve"> — Multi-cooperative roll-ups, bank-grade reporting, audit-ready financial views.</w:t>
      </w:r>
    </w:p>
    <w:p>
      <w:pPr>
        <w:spacing w:after="20" w:before="100"/>
      </w:pPr>
      <w:r>
        <w:rPr>
          <w:rFonts w:ascii="Calibri" w:cs="Calibri" w:eastAsia="Calibri" w:hAnsi="Calibri"/>
          <w:b/>
          <w:bCs/>
          <w:color w:val="595959"/>
          <w:spacing w:val="30"/>
          <w:sz w:val="19"/>
          <w:szCs w:val="19"/>
        </w:rPr>
        <w:t xml:space="preserve">ICES Enterprise — for municipalities, ag-processing zones, waste-management operators</w:t>
      </w:r>
    </w:p>
    <w:p>
      <w:pPr>
        <w:pStyle w:val="ListParagraph"/>
        <w:numPr>
          <w:ilvl w:val="0"/>
          <w:numId w:val="2"/>
        </w:numPr>
        <w:spacing w:after="60" w:before="40" w:line="290"/>
      </w:pPr>
      <w:r>
        <w:rPr>
          <w:rFonts w:ascii="Calibri" w:cs="Calibri" w:eastAsia="Calibri" w:hAnsi="Calibri"/>
          <w:b/>
          <w:bCs/>
          <w:sz w:val="22"/>
          <w:szCs w:val="22"/>
        </w:rPr>
        <w:t xml:space="preserve">IoT Smart Bins fleet management</w:t>
      </w:r>
      <w:r>
        <w:rPr>
          <w:rFonts w:ascii="Calibri" w:cs="Calibri" w:eastAsia="Calibri" w:hAnsi="Calibri"/>
          <w:sz w:val="22"/>
          <w:szCs w:val="22"/>
        </w:rPr>
        <w:t xml:space="preserve"> — Routing, fill-level optimisation, predictive maintenance.</w:t>
      </w:r>
    </w:p>
    <w:p>
      <w:pPr>
        <w:pStyle w:val="ListParagraph"/>
        <w:numPr>
          <w:ilvl w:val="0"/>
          <w:numId w:val="2"/>
        </w:numPr>
        <w:spacing w:after="60" w:before="40" w:line="290"/>
      </w:pPr>
      <w:r>
        <w:rPr>
          <w:rFonts w:ascii="Calibri" w:cs="Calibri" w:eastAsia="Calibri" w:hAnsi="Calibri"/>
          <w:b/>
          <w:bCs/>
          <w:sz w:val="22"/>
          <w:szCs w:val="22"/>
        </w:rPr>
        <w:t xml:space="preserve">AI &amp; Robotics Sorting analytics</w:t>
      </w:r>
      <w:r>
        <w:rPr>
          <w:rFonts w:ascii="Calibri" w:cs="Calibri" w:eastAsia="Calibri" w:hAnsi="Calibri"/>
          <w:sz w:val="22"/>
          <w:szCs w:val="22"/>
        </w:rPr>
        <w:t xml:space="preserve"> — Throughput, contamination rates, material-recovery dashboards.</w:t>
      </w:r>
    </w:p>
    <w:p>
      <w:pPr>
        <w:pStyle w:val="ListParagraph"/>
        <w:numPr>
          <w:ilvl w:val="0"/>
          <w:numId w:val="2"/>
        </w:numPr>
        <w:spacing w:after="60" w:before="40" w:line="290"/>
      </w:pPr>
      <w:r>
        <w:rPr>
          <w:rFonts w:ascii="Calibri" w:cs="Calibri" w:eastAsia="Calibri" w:hAnsi="Calibri"/>
          <w:b/>
          <w:bCs/>
          <w:sz w:val="22"/>
          <w:szCs w:val="22"/>
        </w:rPr>
        <w:t xml:space="preserve">RFID &amp; Asset Management</w:t>
      </w:r>
      <w:r>
        <w:rPr>
          <w:rFonts w:ascii="Calibri" w:cs="Calibri" w:eastAsia="Calibri" w:hAnsi="Calibri"/>
          <w:sz w:val="22"/>
          <w:szCs w:val="22"/>
        </w:rPr>
        <w:t xml:space="preserve"> — Bin and equipment tracking, asset register, depreciation tooling.</w:t>
      </w:r>
    </w:p>
    <w:p>
      <w:pPr>
        <w:pStyle w:val="ListParagraph"/>
        <w:numPr>
          <w:ilvl w:val="0"/>
          <w:numId w:val="2"/>
        </w:numPr>
        <w:spacing w:after="60" w:before="40" w:line="290"/>
      </w:pPr>
      <w:r>
        <w:rPr>
          <w:rFonts w:ascii="Calibri" w:cs="Calibri" w:eastAsia="Calibri" w:hAnsi="Calibri"/>
          <w:b/>
          <w:bCs/>
          <w:sz w:val="22"/>
          <w:szCs w:val="22"/>
        </w:rPr>
        <w:t xml:space="preserve">Data Analytics Platform</w:t>
      </w:r>
      <w:r>
        <w:rPr>
          <w:rFonts w:ascii="Calibri" w:cs="Calibri" w:eastAsia="Calibri" w:hAnsi="Calibri"/>
          <w:sz w:val="22"/>
          <w:szCs w:val="22"/>
        </w:rPr>
        <w:t xml:space="preserve"> — Cross-stream KPIs, EPR reporting, regulatory dashboards.</w:t>
      </w:r>
    </w:p>
    <w:p>
      <w:pPr>
        <w:pStyle w:val="ListParagraph"/>
        <w:numPr>
          <w:ilvl w:val="0"/>
          <w:numId w:val="2"/>
        </w:numPr>
        <w:spacing w:after="60" w:before="40" w:line="290"/>
      </w:pPr>
      <w:r>
        <w:rPr>
          <w:rFonts w:ascii="Calibri" w:cs="Calibri" w:eastAsia="Calibri" w:hAnsi="Calibri"/>
          <w:b/>
          <w:bCs/>
          <w:sz w:val="22"/>
          <w:szCs w:val="22"/>
        </w:rPr>
        <w:t xml:space="preserve">Mobile &amp; Digital Applications</w:t>
      </w:r>
      <w:r>
        <w:rPr>
          <w:rFonts w:ascii="Calibri" w:cs="Calibri" w:eastAsia="Calibri" w:hAnsi="Calibri"/>
          <w:sz w:val="22"/>
          <w:szCs w:val="22"/>
        </w:rPr>
        <w:t xml:space="preserve"> — Operator apps, citizen reporting, payment integration.</w:t>
      </w:r>
    </w:p>
    <w:p>
      <w:pPr>
        <w:pStyle w:val="ListParagraph"/>
        <w:numPr>
          <w:ilvl w:val="0"/>
          <w:numId w:val="2"/>
        </w:numPr>
        <w:spacing w:after="60" w:before="40" w:line="290"/>
      </w:pPr>
      <w:r>
        <w:rPr>
          <w:rFonts w:ascii="Calibri" w:cs="Calibri" w:eastAsia="Calibri" w:hAnsi="Calibri"/>
          <w:b/>
          <w:bCs/>
          <w:sz w:val="22"/>
          <w:szCs w:val="22"/>
        </w:rPr>
        <w:t xml:space="preserve">ML Carbon Calculator</w:t>
      </w:r>
      <w:r>
        <w:rPr>
          <w:rFonts w:ascii="Calibri" w:cs="Calibri" w:eastAsia="Calibri" w:hAnsi="Calibri"/>
          <w:sz w:val="22"/>
          <w:szCs w:val="22"/>
        </w:rPr>
        <w:t xml:space="preserve"> — Methane and CO₂ averted, verified to MRV standards and ready for carbon-market submission.</w:t>
      </w:r>
    </w:p>
    <w:p>
      <w:pPr>
        <w:spacing w:after="20" w:before="100"/>
      </w:pPr>
      <w:r>
        <w:rPr>
          <w:rFonts w:ascii="Calibri" w:cs="Calibri" w:eastAsia="Calibri" w:hAnsi="Calibri"/>
          <w:b/>
          <w:bCs/>
          <w:color w:val="595959"/>
          <w:spacing w:val="30"/>
          <w:sz w:val="19"/>
          <w:szCs w:val="19"/>
        </w:rPr>
        <w:t xml:space="preserve">Commercial terms</w:t>
      </w:r>
    </w:p>
    <w:p>
      <w:pPr>
        <w:pStyle w:val="ListParagraph"/>
        <w:numPr>
          <w:ilvl w:val="0"/>
          <w:numId w:val="2"/>
        </w:numPr>
        <w:spacing w:after="60" w:before="40" w:line="290"/>
      </w:pPr>
      <w:r>
        <w:rPr>
          <w:rFonts w:ascii="Calibri" w:cs="Calibri" w:eastAsia="Calibri" w:hAnsi="Calibri"/>
          <w:sz w:val="22"/>
          <w:szCs w:val="22"/>
        </w:rPr>
        <w:t xml:space="preserve">Annual licence + per-seat fee, with discounts for multi-country rollouts.</w:t>
      </w:r>
    </w:p>
    <w:p>
      <w:pPr>
        <w:pStyle w:val="ListParagraph"/>
        <w:numPr>
          <w:ilvl w:val="0"/>
          <w:numId w:val="2"/>
        </w:numPr>
        <w:spacing w:after="60" w:before="40" w:line="290"/>
      </w:pPr>
      <w:r>
        <w:rPr>
          <w:rFonts w:ascii="Calibri" w:cs="Calibri" w:eastAsia="Calibri" w:hAnsi="Calibri"/>
          <w:sz w:val="22"/>
          <w:szCs w:val="22"/>
        </w:rPr>
        <w:t xml:space="preserve">Data stays in the client tenant; SAICE-owned model improvements stay open.</w:t>
      </w:r>
    </w:p>
    <w:p>
      <w:pPr>
        <w:pStyle w:val="ListParagraph"/>
        <w:numPr>
          <w:ilvl w:val="0"/>
          <w:numId w:val="2"/>
        </w:numPr>
        <w:spacing w:after="60" w:before="40" w:line="290"/>
      </w:pPr>
      <w:r>
        <w:rPr>
          <w:rFonts w:ascii="Calibri" w:cs="Calibri" w:eastAsia="Calibri" w:hAnsi="Calibri"/>
          <w:sz w:val="22"/>
          <w:szCs w:val="22"/>
        </w:rPr>
        <w:t xml:space="preserve">Service-level agreement (SLA) with 99.5% uptime target.</w:t>
      </w:r>
    </w:p>
    <w:p>
      <w:pPr>
        <w:pStyle w:val="ListParagraph"/>
        <w:numPr>
          <w:ilvl w:val="0"/>
          <w:numId w:val="2"/>
        </w:numPr>
        <w:spacing w:after="60" w:before="40" w:line="290"/>
      </w:pPr>
      <w:r>
        <w:rPr>
          <w:rFonts w:ascii="Calibri" w:cs="Calibri" w:eastAsia="Calibri" w:hAnsi="Calibri"/>
          <w:sz w:val="22"/>
          <w:szCs w:val="22"/>
        </w:rPr>
        <w:t xml:space="preserve">Revenue share back to SAICE published annually in the audited accounts.</w:t>
      </w:r>
    </w:p>
    <w:p>
      <w:pPr>
        <w:spacing w:after="80" w:before="60" w:line="300"/>
      </w:pPr>
      <w:r>
        <w:rPr>
          <w:rFonts w:ascii="Calibri" w:cs="Calibri" w:eastAsia="Calibri" w:hAnsi="Calibri"/>
          <w:sz w:val="22"/>
          <w:szCs w:val="22"/>
        </w:rPr>
        <w:t xml:space="preserve">CTAs: Book an enterprise demo →  ·  Download the PAGES &amp; ICES enterprise data sheet →</w:t>
      </w:r>
    </w:p>
    <w:p>
      <w:pPr>
        <w:spacing w:after="140" w:before="360"/>
      </w:pPr>
      <w:r>
        <w:rPr>
          <w:rFonts w:ascii="Calibri" w:cs="Calibri" w:eastAsia="Calibri" w:hAnsi="Calibri"/>
          <w:b/>
          <w:bCs/>
          <w:color w:val="1F4E79"/>
          <w:sz w:val="30"/>
          <w:szCs w:val="30"/>
        </w:rPr>
        <w:t xml:space="preserve">11. Why us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Built for the work, not for the slide deck.</w:t>
      </w:r>
    </w:p>
    <w:p>
      <w:pPr>
        <w:pStyle w:val="ListParagraph"/>
        <w:numPr>
          <w:ilvl w:val="0"/>
          <w:numId w:val="2"/>
        </w:numPr>
        <w:spacing w:after="60" w:before="40" w:line="290"/>
      </w:pPr>
      <w:r>
        <w:rPr>
          <w:rFonts w:ascii="Calibri" w:cs="Calibri" w:eastAsia="Calibri" w:hAnsi="Calibri"/>
          <w:b/>
          <w:bCs/>
          <w:sz w:val="22"/>
          <w:szCs w:val="22"/>
        </w:rPr>
        <w:t xml:space="preserve">Research-grade methods</w:t>
      </w:r>
      <w:r>
        <w:rPr>
          <w:rFonts w:ascii="Calibri" w:cs="Calibri" w:eastAsia="Calibri" w:hAnsi="Calibri"/>
          <w:sz w:val="22"/>
          <w:szCs w:val="22"/>
        </w:rPr>
        <w:t xml:space="preserve"> — Our practice is co-designed with McGill University, RCID-Rwanda and South Eastern Kenya University. McGill MMA capstone students have stress-tested our tooling.</w:t>
      </w:r>
    </w:p>
    <w:p>
      <w:pPr>
        <w:pStyle w:val="ListParagraph"/>
        <w:numPr>
          <w:ilvl w:val="0"/>
          <w:numId w:val="2"/>
        </w:numPr>
        <w:spacing w:after="60" w:before="40" w:line="290"/>
      </w:pPr>
      <w:r>
        <w:rPr>
          <w:rFonts w:ascii="Calibri" w:cs="Calibri" w:eastAsia="Calibri" w:hAnsi="Calibri"/>
          <w:b/>
          <w:bCs/>
          <w:sz w:val="22"/>
          <w:szCs w:val="22"/>
        </w:rPr>
        <w:t xml:space="preserve">Field-tested</w:t>
      </w:r>
      <w:r>
        <w:rPr>
          <w:rFonts w:ascii="Calibri" w:cs="Calibri" w:eastAsia="Calibri" w:hAnsi="Calibri"/>
          <w:sz w:val="22"/>
          <w:szCs w:val="22"/>
        </w:rPr>
        <w:t xml:space="preserve"> — GIAH precision-agriculture pilot in Rwanda (2025–2026). Cleantech workshops. Multi-country business-incubation work. Real cooperatives, not test data.</w:t>
      </w:r>
    </w:p>
    <w:p>
      <w:pPr>
        <w:pStyle w:val="ListParagraph"/>
        <w:numPr>
          <w:ilvl w:val="0"/>
          <w:numId w:val="2"/>
        </w:numPr>
        <w:spacing w:after="60" w:before="40" w:line="290"/>
      </w:pPr>
      <w:r>
        <w:rPr>
          <w:rFonts w:ascii="Calibri" w:cs="Calibri" w:eastAsia="Calibri" w:hAnsi="Calibri"/>
          <w:b/>
          <w:bCs/>
          <w:sz w:val="22"/>
          <w:szCs w:val="22"/>
        </w:rPr>
        <w:t xml:space="preserve">A charity behind the firm</w:t>
      </w:r>
      <w:r>
        <w:rPr>
          <w:rFonts w:ascii="Calibri" w:cs="Calibri" w:eastAsia="Calibri" w:hAnsi="Calibri"/>
          <w:sz w:val="22"/>
          <w:szCs w:val="22"/>
        </w:rPr>
        <w:t xml:space="preserve"> — IFSS Inc. is owned by SAICE, a Canadian registered charity. Margin you pay funds programmes — not shareholder dividends.</w:t>
      </w:r>
    </w:p>
    <w:p>
      <w:pPr>
        <w:pStyle w:val="ListParagraph"/>
        <w:numPr>
          <w:ilvl w:val="0"/>
          <w:numId w:val="2"/>
        </w:numPr>
        <w:spacing w:after="60" w:before="40" w:line="290"/>
      </w:pPr>
      <w:r>
        <w:rPr>
          <w:rFonts w:ascii="Calibri" w:cs="Calibri" w:eastAsia="Calibri" w:hAnsi="Calibri"/>
          <w:b/>
          <w:bCs/>
          <w:sz w:val="22"/>
          <w:szCs w:val="22"/>
        </w:rPr>
        <w:t xml:space="preserve">Donor-grade transparency</w:t>
      </w:r>
      <w:r>
        <w:rPr>
          <w:rFonts w:ascii="Calibri" w:cs="Calibri" w:eastAsia="Calibri" w:hAnsi="Calibri"/>
          <w:sz w:val="22"/>
          <w:szCs w:val="22"/>
        </w:rPr>
        <w:t xml:space="preserve"> — Audited financials, published indicators, independent external evaluations, related-party policy on every cross-entity transaction.</w:t>
      </w:r>
    </w:p>
    <w:p>
      <w:pPr>
        <w:pStyle w:val="ListParagraph"/>
        <w:numPr>
          <w:ilvl w:val="0"/>
          <w:numId w:val="2"/>
        </w:numPr>
        <w:spacing w:after="60" w:before="40" w:line="290"/>
      </w:pPr>
      <w:r>
        <w:rPr>
          <w:rFonts w:ascii="Calibri" w:cs="Calibri" w:eastAsia="Calibri" w:hAnsi="Calibri"/>
          <w:b/>
          <w:bCs/>
          <w:sz w:val="22"/>
          <w:szCs w:val="22"/>
        </w:rPr>
        <w:t xml:space="preserve">Local presence</w:t>
      </w:r>
      <w:r>
        <w:rPr>
          <w:rFonts w:ascii="Calibri" w:cs="Calibri" w:eastAsia="Calibri" w:hAnsi="Calibri"/>
          <w:sz w:val="22"/>
          <w:szCs w:val="22"/>
        </w:rPr>
        <w:t xml:space="preserve"> — Offices and field staff in Kigali, Kitui, Lomé. We do not fly in, write a report, and leave.</w:t>
      </w:r>
    </w:p>
    <w:p>
      <w:pPr>
        <w:pStyle w:val="ListParagraph"/>
        <w:numPr>
          <w:ilvl w:val="0"/>
          <w:numId w:val="2"/>
        </w:numPr>
        <w:spacing w:after="60" w:before="40" w:line="290"/>
      </w:pPr>
      <w:r>
        <w:rPr>
          <w:rFonts w:ascii="Calibri" w:cs="Calibri" w:eastAsia="Calibri" w:hAnsi="Calibri"/>
          <w:b/>
          <w:bCs/>
          <w:sz w:val="22"/>
          <w:szCs w:val="22"/>
        </w:rPr>
        <w:t xml:space="preserve">Multilingual</w:t>
      </w:r>
      <w:r>
        <w:rPr>
          <w:rFonts w:ascii="Calibri" w:cs="Calibri" w:eastAsia="Calibri" w:hAnsi="Calibri"/>
          <w:sz w:val="22"/>
          <w:szCs w:val="22"/>
        </w:rPr>
        <w:t xml:space="preserve"> — English and French at full delivery grade. Kinyarwanda live at platform launch. Kirundi and Swahili in phase 2.</w:t>
      </w:r>
    </w:p>
    <w:p>
      <w:pPr>
        <w:pStyle w:val="ListParagraph"/>
        <w:numPr>
          <w:ilvl w:val="0"/>
          <w:numId w:val="2"/>
        </w:numPr>
        <w:spacing w:after="60" w:before="40" w:line="290"/>
      </w:pPr>
      <w:r>
        <w:rPr>
          <w:rFonts w:ascii="Calibri" w:cs="Calibri" w:eastAsia="Calibri" w:hAnsi="Calibri"/>
          <w:b/>
          <w:bCs/>
          <w:sz w:val="22"/>
          <w:szCs w:val="22"/>
        </w:rPr>
        <w:t xml:space="preserve">Confidentiality, by default</w:t>
      </w:r>
      <w:r>
        <w:rPr>
          <w:rFonts w:ascii="Calibri" w:cs="Calibri" w:eastAsia="Calibri" w:hAnsi="Calibri"/>
          <w:sz w:val="22"/>
          <w:szCs w:val="22"/>
        </w:rPr>
        <w:t xml:space="preserve"> — NDA on every engagement. Data protection to Rwanda Law 058/2021, Kenya DPA 2019, PIPEDA, GDPR — whichever is stricter.</w:t>
      </w:r>
    </w:p>
    <w:p>
      <w:pPr>
        <w:spacing w:after="80" w:before="60" w:line="300"/>
      </w:pPr>
      <w:r>
        <w:rPr>
          <w:rFonts w:ascii="Calibri" w:cs="Calibri" w:eastAsia="Calibri" w:hAnsi="Calibri"/>
          <w:sz w:val="22"/>
          <w:szCs w:val="22"/>
        </w:rPr>
        <w:t xml:space="preserve">CTA: Read about our governance and transparency →</w:t>
      </w:r>
    </w:p>
    <w:p>
      <w:pPr>
        <w:spacing w:after="140" w:before="360"/>
      </w:pPr>
      <w:r>
        <w:rPr>
          <w:rFonts w:ascii="Calibri" w:cs="Calibri" w:eastAsia="Calibri" w:hAnsi="Calibri"/>
          <w:b/>
          <w:bCs/>
          <w:color w:val="1F4E79"/>
          <w:sz w:val="30"/>
          <w:szCs w:val="30"/>
        </w:rPr>
        <w:t xml:space="preserve">12. How we engage — our 5-step model</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Discovery to handover, with checkpoints you can hold us to.</w:t>
      </w:r>
    </w:p>
    <w:p>
      <w:pPr>
        <w:spacing w:after="80" w:before="60" w:line="300"/>
      </w:pPr>
      <w:r>
        <w:rPr>
          <w:rFonts w:ascii="Calibri" w:cs="Calibri" w:eastAsia="Calibri" w:hAnsi="Calibri"/>
          <w:sz w:val="22"/>
          <w:szCs w:val="22"/>
        </w:rPr>
        <w:t xml:space="preserve">Every IFSS Inc. engagement follows the same five-step rhythm. You will know exactly where we are, what we owe you next, and how to escalate if we slip.</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144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Step</w:t>
            </w:r>
          </w:p>
        </w:tc>
        <w:tc>
          <w:tcPr>
            <w:tcW w:type="dxa" w:w="540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What happens</w:t>
            </w:r>
          </w:p>
        </w:tc>
        <w:tc>
          <w:tcPr>
            <w:tcW w:type="dxa" w:w="216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Typical duration</w:t>
            </w:r>
          </w:p>
        </w:tc>
      </w:tr>
      <w:tr>
        <w:trPr>
          <w:tblHeader w:val="false"/>
        </w:trPr>
        <w:tc>
          <w:tcPr>
            <w:tcW w:type="dxa" w:w="14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1. Discovery</w:t>
            </w:r>
          </w:p>
        </w:tc>
        <w:tc>
          <w:tcPr>
            <w:tcW w:type="dxa" w:w="54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Free 30-minute call. We listen, ask hard questions, and decide together whether IFSS Inc. is the right fit.</w:t>
            </w:r>
          </w:p>
        </w:tc>
        <w:tc>
          <w:tcPr>
            <w:tcW w:type="dxa" w:w="216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1 week</w:t>
            </w:r>
          </w:p>
        </w:tc>
      </w:tr>
      <w:tr>
        <w:trPr>
          <w:tblHeader w:val="false"/>
        </w:trPr>
        <w:tc>
          <w:tcPr>
            <w:tcW w:type="dxa" w:w="14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2. Scoping</w:t>
            </w:r>
          </w:p>
        </w:tc>
        <w:tc>
          <w:tcPr>
            <w:tcW w:type="dxa" w:w="54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Written scoping note — objectives, deliverables, team, risks, and budget — for your sign-off.</w:t>
            </w:r>
          </w:p>
        </w:tc>
        <w:tc>
          <w:tcPr>
            <w:tcW w:type="dxa" w:w="216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1–2 weeks</w:t>
            </w:r>
          </w:p>
        </w:tc>
      </w:tr>
      <w:tr>
        <w:trPr>
          <w:tblHeader w:val="false"/>
        </w:trPr>
        <w:tc>
          <w:tcPr>
            <w:tcW w:type="dxa" w:w="14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3. Contract</w:t>
            </w:r>
          </w:p>
        </w:tc>
        <w:tc>
          <w:tcPr>
            <w:tcW w:type="dxa" w:w="54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Master Services Agreement + Statement of Work + NDA. Data-protection and safeguarding addenda where relevant.</w:t>
            </w:r>
          </w:p>
        </w:tc>
        <w:tc>
          <w:tcPr>
            <w:tcW w:type="dxa" w:w="216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1 week</w:t>
            </w:r>
          </w:p>
        </w:tc>
      </w:tr>
      <w:tr>
        <w:trPr>
          <w:tblHeader w:val="false"/>
        </w:trPr>
        <w:tc>
          <w:tcPr>
            <w:tcW w:type="dxa" w:w="14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4. Delivery</w:t>
            </w:r>
          </w:p>
        </w:tc>
        <w:tc>
          <w:tcPr>
            <w:tcW w:type="dxa" w:w="54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Bi-weekly check-ins, fortnightly written progress notes, and a shared dashboard. No surprise invoices.</w:t>
            </w:r>
          </w:p>
        </w:tc>
        <w:tc>
          <w:tcPr>
            <w:tcW w:type="dxa" w:w="216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Per scope</w:t>
            </w:r>
          </w:p>
        </w:tc>
      </w:tr>
      <w:tr>
        <w:trPr>
          <w:tblHeader w:val="false"/>
        </w:trPr>
        <w:tc>
          <w:tcPr>
            <w:tcW w:type="dxa" w:w="14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5. Handover</w:t>
            </w:r>
          </w:p>
        </w:tc>
        <w:tc>
          <w:tcPr>
            <w:tcW w:type="dxa" w:w="540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Final deliverables, code/data in client tenant, training, lessons-learned memo, and a 30-day post-handover support window.</w:t>
            </w:r>
          </w:p>
        </w:tc>
        <w:tc>
          <w:tcPr>
            <w:tcW w:type="dxa" w:w="216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2 weeks</w:t>
            </w:r>
          </w:p>
        </w:tc>
      </w:tr>
    </w:tbl>
    <w:p>
      <w:pPr>
        <w:spacing w:after="80" w:before="60" w:line="300"/>
      </w:pPr>
      <w:r>
        <w:rPr>
          <w:rFonts w:ascii="Calibri" w:cs="Calibri" w:eastAsia="Calibri" w:hAnsi="Calibri"/>
          <w:sz w:val="22"/>
          <w:szCs w:val="22"/>
        </w:rPr>
        <w:t xml:space="preserve">CTA: See a sample scoping note →  ·  Book a discovery call →</w:t>
      </w:r>
    </w:p>
    <w:p>
      <w:pPr>
        <w:spacing w:after="140" w:before="360"/>
      </w:pPr>
      <w:r>
        <w:rPr>
          <w:rFonts w:ascii="Calibri" w:cs="Calibri" w:eastAsia="Calibri" w:hAnsi="Calibri"/>
          <w:b/>
          <w:bCs/>
          <w:color w:val="1F4E79"/>
          <w:sz w:val="30"/>
          <w:szCs w:val="30"/>
        </w:rPr>
        <w:t xml:space="preserve">13. Selected case studies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Recent work — by service line.</w:t>
      </w:r>
    </w:p>
    <w:p>
      <w:pPr>
        <w:spacing w:after="80" w:before="60" w:line="300"/>
      </w:pPr>
      <w:r>
        <w:rPr>
          <w:rFonts w:ascii="Calibri" w:cs="Calibri" w:eastAsia="Calibri" w:hAnsi="Calibri"/>
          <w:sz w:val="22"/>
          <w:szCs w:val="22"/>
        </w:rPr>
        <w:t xml:space="preserve">Each tile expands into a one-page case study with named partner, scope, results, and a quotable line from the client. (Carry-over and refinement of existing project pages from /our-work.)</w:t>
      </w:r>
    </w:p>
    <w:p>
      <w:pPr>
        <w:spacing w:after="80" w:before="180"/>
      </w:pPr>
      <w:r>
        <w:rPr>
          <w:rFonts w:ascii="Calibri" w:cs="Calibri" w:eastAsia="Calibri" w:hAnsi="Calibri"/>
          <w:b/>
          <w:bCs/>
          <w:color w:val="2E7D5B"/>
          <w:sz w:val="22"/>
          <w:szCs w:val="22"/>
        </w:rPr>
        <w:t xml:space="preserve">Case 1 — Agri value chains · Burundi</w:t>
      </w:r>
    </w:p>
    <w:p>
      <w:pPr>
        <w:spacing w:after="80" w:before="60" w:line="300"/>
      </w:pPr>
      <w:r>
        <w:rPr>
          <w:rFonts w:ascii="Calibri" w:cs="Calibri" w:eastAsia="Calibri" w:hAnsi="Calibri"/>
          <w:sz w:val="22"/>
          <w:szCs w:val="22"/>
        </w:rPr>
        <w:t xml:space="preserve">Horticulture for women and youth in Burundi: market analysis, business-plan support, and matchmaking with regional buyers. Existing project, refined.</w:t>
      </w:r>
    </w:p>
    <w:p>
      <w:pPr>
        <w:spacing w:after="80" w:before="180"/>
      </w:pPr>
      <w:r>
        <w:rPr>
          <w:rFonts w:ascii="Calibri" w:cs="Calibri" w:eastAsia="Calibri" w:hAnsi="Calibri"/>
          <w:b/>
          <w:bCs/>
          <w:color w:val="2E7D5B"/>
          <w:sz w:val="22"/>
          <w:szCs w:val="22"/>
        </w:rPr>
        <w:t xml:space="preserve">Case 2 — Natural-resource governance · Great Lakes Region</w:t>
      </w:r>
    </w:p>
    <w:p>
      <w:pPr>
        <w:spacing w:after="80" w:before="60" w:line="300"/>
      </w:pPr>
      <w:r>
        <w:rPr>
          <w:rFonts w:ascii="Calibri" w:cs="Calibri" w:eastAsia="Calibri" w:hAnsi="Calibri"/>
          <w:sz w:val="22"/>
          <w:szCs w:val="22"/>
        </w:rPr>
        <w:t xml:space="preserve">Multi-country natural-resource governance study for ICGLR-aligned ministries, with conflict-sensitivity and gender lenses.</w:t>
      </w:r>
    </w:p>
    <w:p>
      <w:pPr>
        <w:spacing w:after="80" w:before="180"/>
      </w:pPr>
      <w:r>
        <w:rPr>
          <w:rFonts w:ascii="Calibri" w:cs="Calibri" w:eastAsia="Calibri" w:hAnsi="Calibri"/>
          <w:b/>
          <w:bCs/>
          <w:color w:val="2E7D5B"/>
          <w:sz w:val="22"/>
          <w:szCs w:val="22"/>
        </w:rPr>
        <w:t xml:space="preserve">Case 3 — Business incubation · Rwanda + Kenya</w:t>
      </w:r>
    </w:p>
    <w:p>
      <w:pPr>
        <w:spacing w:after="80" w:before="60" w:line="300"/>
      </w:pPr>
      <w:r>
        <w:rPr>
          <w:rFonts w:ascii="Calibri" w:cs="Calibri" w:eastAsia="Calibri" w:hAnsi="Calibri"/>
          <w:sz w:val="22"/>
          <w:szCs w:val="22"/>
        </w:rPr>
        <w:t xml:space="preserve">Incubation of small agri-businesses through RCID-Rwanda and SEKU partnerships — cohort selection, business-plan coaching, finance linkage.</w:t>
      </w:r>
    </w:p>
    <w:p>
      <w:pPr>
        <w:spacing w:after="80" w:before="180"/>
      </w:pPr>
      <w:r>
        <w:rPr>
          <w:rFonts w:ascii="Calibri" w:cs="Calibri" w:eastAsia="Calibri" w:hAnsi="Calibri"/>
          <w:b/>
          <w:bCs/>
          <w:color w:val="2E7D5B"/>
          <w:sz w:val="22"/>
          <w:szCs w:val="22"/>
        </w:rPr>
        <w:t xml:space="preserve">Case 4 — Digital transformation · GIAH/PAGES pilot · Rwanda</w:t>
      </w:r>
    </w:p>
    <w:p>
      <w:pPr>
        <w:spacing w:after="80" w:before="60" w:line="300"/>
      </w:pPr>
      <w:r>
        <w:rPr>
          <w:rFonts w:ascii="Calibri" w:cs="Calibri" w:eastAsia="Calibri" w:hAnsi="Calibri"/>
          <w:sz w:val="22"/>
          <w:szCs w:val="22"/>
        </w:rPr>
        <w:t xml:space="preserve">McGill MMA capstone with IFSS — a precision-agriculture and market-matching platform piloted with Rwandan cooperatives. Now becoming PAGES under SAICE.</w:t>
      </w:r>
    </w:p>
    <w:p>
      <w:pPr>
        <w:spacing w:after="80" w:before="60" w:line="300"/>
      </w:pPr>
      <w:r>
        <w:rPr>
          <w:rFonts w:ascii="Calibri" w:cs="Calibri" w:eastAsia="Calibri" w:hAnsi="Calibri"/>
          <w:sz w:val="22"/>
          <w:szCs w:val="22"/>
        </w:rPr>
        <w:t xml:space="preserve">CTAs: See all case studies →  ·  Request references on a similar engagement →</w:t>
      </w:r>
    </w:p>
    <w:p>
      <w:pPr>
        <w:spacing w:after="140" w:before="360"/>
      </w:pPr>
      <w:r>
        <w:rPr>
          <w:rFonts w:ascii="Calibri" w:cs="Calibri" w:eastAsia="Calibri" w:hAnsi="Calibri"/>
          <w:b/>
          <w:bCs/>
          <w:color w:val="1F4E79"/>
          <w:sz w:val="30"/>
          <w:szCs w:val="30"/>
        </w:rPr>
        <w:t xml:space="preserve">14. Industries and clients we serve</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Who buys IFSS Inc. work.</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198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Sector</w:t>
            </w:r>
          </w:p>
        </w:tc>
        <w:tc>
          <w:tcPr>
            <w:tcW w:type="dxa" w:w="378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Typical buyer</w:t>
            </w:r>
          </w:p>
        </w:tc>
        <w:tc>
          <w:tcPr>
            <w:tcW w:type="dxa" w:w="3240"/>
            <w:shd w:fill="E8EEF4"/>
            <w:tcMar>
              <w:top w:type="dxa" w:w="80"/>
              <w:left w:type="dxa" w:w="120"/>
              <w:bottom w:type="dxa" w:w="80"/>
              <w:right w:type="dxa" w:w="120"/>
            </w:tcMar>
          </w:tcPr>
          <w:p>
            <w:pPr>
              <w:spacing w:after="20" w:before="20" w:line="280"/>
            </w:pPr>
            <w:r>
              <w:rPr>
                <w:rFonts w:ascii="Calibri" w:cs="Calibri" w:eastAsia="Calibri" w:hAnsi="Calibri"/>
                <w:b/>
                <w:bCs/>
                <w:color w:val="1F4E79"/>
                <w:sz w:val="20"/>
                <w:szCs w:val="20"/>
              </w:rPr>
              <w:t xml:space="preserve">Most relevant service lines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Agriculture &amp; food systems</w:t>
            </w:r>
          </w:p>
        </w:tc>
        <w:tc>
          <w:tcPr>
            <w:tcW w:type="dxa" w:w="37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Ministries of agriculture, cooperatives, agri-SMEs, exporters, input suppliers</w:t>
            </w:r>
          </w:p>
        </w:tc>
        <w:tc>
          <w:tcPr>
            <w:tcW w:type="dxa" w:w="32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Agri value chains, Digital transformation, M&amp;E, Enterprise SaaS (PAGES)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Circular economy &amp; waste</w:t>
            </w:r>
          </w:p>
        </w:tc>
        <w:tc>
          <w:tcPr>
            <w:tcW w:type="dxa" w:w="37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Municipalities, ag-processing zones, waste operators, EPR schemes</w:t>
            </w:r>
          </w:p>
        </w:tc>
        <w:tc>
          <w:tcPr>
            <w:tcW w:type="dxa" w:w="32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ESG, Digital transformation, Enterprise SaaS (ICES)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Financial inclusion</w:t>
            </w:r>
          </w:p>
        </w:tc>
        <w:tc>
          <w:tcPr>
            <w:tcW w:type="dxa" w:w="37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MFIs, banks, mobile-money providers, parametric insurers</w:t>
            </w:r>
          </w:p>
        </w:tc>
        <w:tc>
          <w:tcPr>
            <w:tcW w:type="dxa" w:w="32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ESG, Agri value chains, Enterprise SaaS (PAGES)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Climate &amp; natural resources</w:t>
            </w:r>
          </w:p>
        </w:tc>
        <w:tc>
          <w:tcPr>
            <w:tcW w:type="dxa" w:w="37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Climate-finance windows, conservation NGOs, ministries of environment</w:t>
            </w:r>
          </w:p>
        </w:tc>
        <w:tc>
          <w:tcPr>
            <w:tcW w:type="dxa" w:w="32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ESG, M&amp;E, Reports &amp; proposals, Enterprise SaaS (ICES)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Public sector &amp; multilaterals</w:t>
            </w:r>
          </w:p>
        </w:tc>
        <w:tc>
          <w:tcPr>
            <w:tcW w:type="dxa" w:w="37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Ministries, UN agencies, multilateral donors, regional bodies</w:t>
            </w:r>
          </w:p>
        </w:tc>
        <w:tc>
          <w:tcPr>
            <w:tcW w:type="dxa" w:w="32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Reports &amp; proposals, M&amp;E, Digital transformation</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NGOs &amp; social enterprise</w:t>
            </w:r>
          </w:p>
        </w:tc>
        <w:tc>
          <w:tcPr>
            <w:tcW w:type="dxa" w:w="37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INGOs, local NGOs, cooperatives, social enterprises</w:t>
            </w:r>
          </w:p>
        </w:tc>
        <w:tc>
          <w:tcPr>
            <w:tcW w:type="dxa" w:w="32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Reports &amp; proposals, M&amp;E, Agri value chains</w:t>
            </w:r>
          </w:p>
        </w:tc>
      </w:tr>
      <w:tr>
        <w:trPr>
          <w:tblHeader w:val="false"/>
        </w:trPr>
        <w:tc>
          <w:tcPr>
            <w:tcW w:type="dxa" w:w="19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Academia &amp; research</w:t>
            </w:r>
          </w:p>
        </w:tc>
        <w:tc>
          <w:tcPr>
            <w:tcW w:type="dxa" w:w="378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Universities, capstone programmes, research consortia</w:t>
            </w:r>
          </w:p>
        </w:tc>
        <w:tc>
          <w:tcPr>
            <w:tcW w:type="dxa" w:w="3240"/>
            <w:tcMar>
              <w:top w:type="dxa" w:w="80"/>
              <w:left w:type="dxa" w:w="120"/>
              <w:bottom w:type="dxa" w:w="80"/>
              <w:right w:type="dxa" w:w="120"/>
            </w:tcMar>
          </w:tcPr>
          <w:p>
            <w:pPr>
              <w:spacing w:after="20" w:before="20" w:line="280"/>
            </w:pPr>
            <w:r>
              <w:rPr>
                <w:rFonts w:ascii="Calibri" w:cs="Calibri" w:eastAsia="Calibri" w:hAnsi="Calibri"/>
                <w:b w:val="false"/>
                <w:bCs w:val="false"/>
                <w:color w:val="000000"/>
                <w:sz w:val="20"/>
                <w:szCs w:val="20"/>
              </w:rPr>
              <w:t xml:space="preserve">Digital transformation, M&amp;E, Reports &amp; proposals</w:t>
            </w:r>
          </w:p>
        </w:tc>
      </w:tr>
    </w:tbl>
    <w:p>
      <w:pPr>
        <w:spacing w:after="140" w:before="360"/>
      </w:pPr>
      <w:r>
        <w:rPr>
          <w:rFonts w:ascii="Calibri" w:cs="Calibri" w:eastAsia="Calibri" w:hAnsi="Calibri"/>
          <w:b/>
          <w:bCs/>
          <w:color w:val="1F4E79"/>
          <w:sz w:val="30"/>
          <w:szCs w:val="30"/>
        </w:rPr>
        <w:t xml:space="preserve">15. Pricing and engagement terms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Transparent on principle.</w:t>
      </w:r>
    </w:p>
    <w:p>
      <w:pPr>
        <w:spacing w:after="80" w:before="60" w:line="300"/>
      </w:pPr>
      <w:r>
        <w:rPr>
          <w:rFonts w:ascii="Calibri" w:cs="Calibri" w:eastAsia="Calibri" w:hAnsi="Calibri"/>
          <w:sz w:val="22"/>
          <w:szCs w:val="22"/>
        </w:rPr>
        <w:t xml:space="preserve">We do not publish day-rates on this page because the right number depends on scope, country, team mix, and whether the work feeds a SAICE programme. We are happy to share an indicative budget within 5 business days of a discovery call.</w:t>
      </w:r>
    </w:p>
    <w:p>
      <w:pPr>
        <w:spacing w:after="20" w:before="100"/>
      </w:pPr>
      <w:r>
        <w:rPr>
          <w:rFonts w:ascii="Calibri" w:cs="Calibri" w:eastAsia="Calibri" w:hAnsi="Calibri"/>
          <w:b/>
          <w:bCs/>
          <w:color w:val="595959"/>
          <w:spacing w:val="30"/>
          <w:sz w:val="19"/>
          <w:szCs w:val="19"/>
        </w:rPr>
        <w:t xml:space="preserve">Three engagement models</w:t>
      </w:r>
    </w:p>
    <w:p>
      <w:pPr>
        <w:pStyle w:val="ListParagraph"/>
        <w:numPr>
          <w:ilvl w:val="0"/>
          <w:numId w:val="2"/>
        </w:numPr>
        <w:spacing w:after="60" w:before="40" w:line="290"/>
      </w:pPr>
      <w:r>
        <w:rPr>
          <w:rFonts w:ascii="Calibri" w:cs="Calibri" w:eastAsia="Calibri" w:hAnsi="Calibri"/>
          <w:b/>
          <w:bCs/>
          <w:sz w:val="22"/>
          <w:szCs w:val="22"/>
        </w:rPr>
        <w:t xml:space="preserve">Fixed-price</w:t>
      </w:r>
      <w:r>
        <w:rPr>
          <w:rFonts w:ascii="Calibri" w:cs="Calibri" w:eastAsia="Calibri" w:hAnsi="Calibri"/>
          <w:sz w:val="22"/>
          <w:szCs w:val="22"/>
        </w:rPr>
        <w:t xml:space="preserve"> — For well-defined scopes — proposals, reports, audits, evaluations. Milestones billed on delivery.</w:t>
      </w:r>
    </w:p>
    <w:p>
      <w:pPr>
        <w:pStyle w:val="ListParagraph"/>
        <w:numPr>
          <w:ilvl w:val="0"/>
          <w:numId w:val="2"/>
        </w:numPr>
        <w:spacing w:after="60" w:before="40" w:line="290"/>
      </w:pPr>
      <w:r>
        <w:rPr>
          <w:rFonts w:ascii="Calibri" w:cs="Calibri" w:eastAsia="Calibri" w:hAnsi="Calibri"/>
          <w:b/>
          <w:bCs/>
          <w:sz w:val="22"/>
          <w:szCs w:val="22"/>
        </w:rPr>
        <w:t xml:space="preserve">Time and materials</w:t>
      </w:r>
      <w:r>
        <w:rPr>
          <w:rFonts w:ascii="Calibri" w:cs="Calibri" w:eastAsia="Calibri" w:hAnsi="Calibri"/>
          <w:sz w:val="22"/>
          <w:szCs w:val="22"/>
        </w:rPr>
        <w:t xml:space="preserve"> — For exploratory or adaptive work. Rate card shared under NDA. Weekly burn report included.</w:t>
      </w:r>
    </w:p>
    <w:p>
      <w:pPr>
        <w:pStyle w:val="ListParagraph"/>
        <w:numPr>
          <w:ilvl w:val="0"/>
          <w:numId w:val="2"/>
        </w:numPr>
        <w:spacing w:after="60" w:before="40" w:line="290"/>
      </w:pPr>
      <w:r>
        <w:rPr>
          <w:rFonts w:ascii="Calibri" w:cs="Calibri" w:eastAsia="Calibri" w:hAnsi="Calibri"/>
          <w:b/>
          <w:bCs/>
          <w:sz w:val="22"/>
          <w:szCs w:val="22"/>
        </w:rPr>
        <w:t xml:space="preserve">Retainer</w:t>
      </w:r>
      <w:r>
        <w:rPr>
          <w:rFonts w:ascii="Calibri" w:cs="Calibri" w:eastAsia="Calibri" w:hAnsi="Calibri"/>
          <w:sz w:val="22"/>
          <w:szCs w:val="22"/>
        </w:rPr>
        <w:t xml:space="preserve"> — For ongoing MEAL, technical-assistance, or product-management work. Quarterly true-up.</w:t>
      </w:r>
    </w:p>
    <w:p>
      <w:pPr>
        <w:spacing w:after="20" w:before="100"/>
      </w:pPr>
      <w:r>
        <w:rPr>
          <w:rFonts w:ascii="Calibri" w:cs="Calibri" w:eastAsia="Calibri" w:hAnsi="Calibri"/>
          <w:b/>
          <w:bCs/>
          <w:color w:val="595959"/>
          <w:spacing w:val="30"/>
          <w:sz w:val="19"/>
          <w:szCs w:val="19"/>
        </w:rPr>
        <w:t xml:space="preserve">Discounts</w:t>
      </w:r>
    </w:p>
    <w:p>
      <w:pPr>
        <w:pStyle w:val="ListParagraph"/>
        <w:numPr>
          <w:ilvl w:val="0"/>
          <w:numId w:val="2"/>
        </w:numPr>
        <w:spacing w:after="60" w:before="40" w:line="290"/>
      </w:pPr>
      <w:r>
        <w:rPr>
          <w:rFonts w:ascii="Calibri" w:cs="Calibri" w:eastAsia="Calibri" w:hAnsi="Calibri"/>
          <w:sz w:val="22"/>
          <w:szCs w:val="22"/>
        </w:rPr>
        <w:t xml:space="preserve">Cooperatives, women- and youth-led SMEs, and Indigenous-led organisations qualify for a 15–30% discount, funded by the SAICE revenue share.</w:t>
      </w:r>
    </w:p>
    <w:p>
      <w:pPr>
        <w:pStyle w:val="ListParagraph"/>
        <w:numPr>
          <w:ilvl w:val="0"/>
          <w:numId w:val="2"/>
        </w:numPr>
        <w:spacing w:after="60" w:before="40" w:line="290"/>
      </w:pPr>
      <w:r>
        <w:rPr>
          <w:rFonts w:ascii="Calibri" w:cs="Calibri" w:eastAsia="Calibri" w:hAnsi="Calibri"/>
          <w:sz w:val="22"/>
          <w:szCs w:val="22"/>
        </w:rPr>
        <w:t xml:space="preserve">Multi-country and multi-year rollouts of PAGES or ICES Enterprise carry volume discounts.</w:t>
      </w:r>
    </w:p>
    <w:p>
      <w:pPr>
        <w:pStyle w:val="ListParagraph"/>
        <w:numPr>
          <w:ilvl w:val="0"/>
          <w:numId w:val="2"/>
        </w:numPr>
        <w:spacing w:after="60" w:before="40" w:line="290"/>
      </w:pPr>
      <w:r>
        <w:rPr>
          <w:rFonts w:ascii="Calibri" w:cs="Calibri" w:eastAsia="Calibri" w:hAnsi="Calibri"/>
          <w:sz w:val="22"/>
          <w:szCs w:val="22"/>
        </w:rPr>
        <w:t xml:space="preserve">Pro-bono work is considered on a case-by-case basis, subject to board approval.</w:t>
      </w:r>
    </w:p>
    <w:p>
      <w:pPr>
        <w:spacing w:after="20" w:before="100"/>
      </w:pPr>
      <w:r>
        <w:rPr>
          <w:rFonts w:ascii="Calibri" w:cs="Calibri" w:eastAsia="Calibri" w:hAnsi="Calibri"/>
          <w:b/>
          <w:bCs/>
          <w:color w:val="595959"/>
          <w:spacing w:val="30"/>
          <w:sz w:val="19"/>
          <w:szCs w:val="19"/>
        </w:rPr>
        <w:t xml:space="preserve">What we will not do</w:t>
      </w:r>
    </w:p>
    <w:p>
      <w:pPr>
        <w:pStyle w:val="ListParagraph"/>
        <w:numPr>
          <w:ilvl w:val="0"/>
          <w:numId w:val="2"/>
        </w:numPr>
        <w:spacing w:after="60" w:before="40" w:line="290"/>
      </w:pPr>
      <w:r>
        <w:rPr>
          <w:rFonts w:ascii="Calibri" w:cs="Calibri" w:eastAsia="Calibri" w:hAnsi="Calibri"/>
          <w:sz w:val="22"/>
          <w:szCs w:val="22"/>
        </w:rPr>
        <w:t xml:space="preserve">No success-fee work that depends on us writing or evaluating our own bid.</w:t>
      </w:r>
    </w:p>
    <w:p>
      <w:pPr>
        <w:pStyle w:val="ListParagraph"/>
        <w:numPr>
          <w:ilvl w:val="0"/>
          <w:numId w:val="2"/>
        </w:numPr>
        <w:spacing w:after="60" w:before="40" w:line="290"/>
      </w:pPr>
      <w:r>
        <w:rPr>
          <w:rFonts w:ascii="Calibri" w:cs="Calibri" w:eastAsia="Calibri" w:hAnsi="Calibri"/>
          <w:sz w:val="22"/>
          <w:szCs w:val="22"/>
        </w:rPr>
        <w:t xml:space="preserve">No engagements that breach our safeguarding, GEDSI, or AI-ethics policies.</w:t>
      </w:r>
    </w:p>
    <w:p>
      <w:pPr>
        <w:pStyle w:val="ListParagraph"/>
        <w:numPr>
          <w:ilvl w:val="0"/>
          <w:numId w:val="2"/>
        </w:numPr>
        <w:spacing w:after="60" w:before="40" w:line="290"/>
      </w:pPr>
      <w:r>
        <w:rPr>
          <w:rFonts w:ascii="Calibri" w:cs="Calibri" w:eastAsia="Calibri" w:hAnsi="Calibri"/>
          <w:sz w:val="22"/>
          <w:szCs w:val="22"/>
        </w:rPr>
        <w:t xml:space="preserve">No engagements that compromise the independence of SAICE’s charity work.</w:t>
      </w:r>
    </w:p>
    <w:p>
      <w:pPr>
        <w:spacing w:after="140" w:before="360"/>
      </w:pPr>
      <w:r>
        <w:rPr>
          <w:rFonts w:ascii="Calibri" w:cs="Calibri" w:eastAsia="Calibri" w:hAnsi="Calibri"/>
          <w:b/>
          <w:bCs/>
          <w:color w:val="1F4E79"/>
          <w:sz w:val="30"/>
          <w:szCs w:val="30"/>
        </w:rPr>
        <w:t xml:space="preserve">16. Get a proposal — form</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Tell us what you need. We reply within 2 business days.</w:t>
      </w:r>
    </w:p>
    <w:p>
      <w:pPr>
        <w:spacing w:after="20" w:before="100"/>
      </w:pPr>
      <w:r>
        <w:rPr>
          <w:rFonts w:ascii="Calibri" w:cs="Calibri" w:eastAsia="Calibri" w:hAnsi="Calibri"/>
          <w:b/>
          <w:bCs/>
          <w:color w:val="595959"/>
          <w:spacing w:val="30"/>
          <w:sz w:val="19"/>
          <w:szCs w:val="19"/>
        </w:rPr>
        <w:t xml:space="preserve">Form fields</w:t>
      </w:r>
    </w:p>
    <w:p>
      <w:pPr>
        <w:pStyle w:val="ListParagraph"/>
        <w:numPr>
          <w:ilvl w:val="0"/>
          <w:numId w:val="2"/>
        </w:numPr>
        <w:spacing w:after="60" w:before="40" w:line="290"/>
      </w:pPr>
      <w:r>
        <w:rPr>
          <w:rFonts w:ascii="Calibri" w:cs="Calibri" w:eastAsia="Calibri" w:hAnsi="Calibri"/>
          <w:sz w:val="22"/>
          <w:szCs w:val="22"/>
        </w:rPr>
        <w:t xml:space="preserve">Your name *</w:t>
      </w:r>
    </w:p>
    <w:p>
      <w:pPr>
        <w:pStyle w:val="ListParagraph"/>
        <w:numPr>
          <w:ilvl w:val="0"/>
          <w:numId w:val="2"/>
        </w:numPr>
        <w:spacing w:after="60" w:before="40" w:line="290"/>
      </w:pPr>
      <w:r>
        <w:rPr>
          <w:rFonts w:ascii="Calibri" w:cs="Calibri" w:eastAsia="Calibri" w:hAnsi="Calibri"/>
          <w:sz w:val="22"/>
          <w:szCs w:val="22"/>
        </w:rPr>
        <w:t xml:space="preserve">Your organisation *</w:t>
      </w:r>
    </w:p>
    <w:p>
      <w:pPr>
        <w:pStyle w:val="ListParagraph"/>
        <w:numPr>
          <w:ilvl w:val="0"/>
          <w:numId w:val="2"/>
        </w:numPr>
        <w:spacing w:after="60" w:before="40" w:line="290"/>
      </w:pPr>
      <w:r>
        <w:rPr>
          <w:rFonts w:ascii="Calibri" w:cs="Calibri" w:eastAsia="Calibri" w:hAnsi="Calibri"/>
          <w:sz w:val="22"/>
          <w:szCs w:val="22"/>
        </w:rPr>
        <w:t xml:space="preserve">Email *</w:t>
      </w:r>
    </w:p>
    <w:p>
      <w:pPr>
        <w:pStyle w:val="ListParagraph"/>
        <w:numPr>
          <w:ilvl w:val="0"/>
          <w:numId w:val="2"/>
        </w:numPr>
        <w:spacing w:after="60" w:before="40" w:line="290"/>
      </w:pPr>
      <w:r>
        <w:rPr>
          <w:rFonts w:ascii="Calibri" w:cs="Calibri" w:eastAsia="Calibri" w:hAnsi="Calibri"/>
          <w:sz w:val="22"/>
          <w:szCs w:val="22"/>
        </w:rPr>
        <w:t xml:space="preserve">Country / countries of work *</w:t>
      </w:r>
    </w:p>
    <w:p>
      <w:pPr>
        <w:pStyle w:val="ListParagraph"/>
        <w:numPr>
          <w:ilvl w:val="0"/>
          <w:numId w:val="2"/>
        </w:numPr>
        <w:spacing w:after="60" w:before="40" w:line="290"/>
      </w:pPr>
      <w:r>
        <w:rPr>
          <w:rFonts w:ascii="Calibri" w:cs="Calibri" w:eastAsia="Calibri" w:hAnsi="Calibri"/>
          <w:sz w:val="22"/>
          <w:szCs w:val="22"/>
        </w:rPr>
        <w:t xml:space="preserve">Service line(s) needed * (multi-select: ESG · Agri value chains · Digital transformation · M&amp;E · Reports &amp; proposals · Enterprise SaaS · Other)</w:t>
      </w:r>
    </w:p>
    <w:p>
      <w:pPr>
        <w:pStyle w:val="ListParagraph"/>
        <w:numPr>
          <w:ilvl w:val="0"/>
          <w:numId w:val="2"/>
        </w:numPr>
        <w:spacing w:after="60" w:before="40" w:line="290"/>
      </w:pPr>
      <w:r>
        <w:rPr>
          <w:rFonts w:ascii="Calibri" w:cs="Calibri" w:eastAsia="Calibri" w:hAnsi="Calibri"/>
          <w:sz w:val="22"/>
          <w:szCs w:val="22"/>
        </w:rPr>
        <w:t xml:space="preserve">Budget range (optional, dropdown: &lt;CAD 25k · 25–100k · 100–250k · 250k–1M · &gt;1M · prefer to discuss)</w:t>
      </w:r>
    </w:p>
    <w:p>
      <w:pPr>
        <w:pStyle w:val="ListParagraph"/>
        <w:numPr>
          <w:ilvl w:val="0"/>
          <w:numId w:val="2"/>
        </w:numPr>
        <w:spacing w:after="60" w:before="40" w:line="290"/>
      </w:pPr>
      <w:r>
        <w:rPr>
          <w:rFonts w:ascii="Calibri" w:cs="Calibri" w:eastAsia="Calibri" w:hAnsi="Calibri"/>
          <w:sz w:val="22"/>
          <w:szCs w:val="22"/>
        </w:rPr>
        <w:t xml:space="preserve">Timeline (optional, dropdown: &lt;1 month · 1–3 months · 3–6 months · 6–12 months · 12+ months)</w:t>
      </w:r>
    </w:p>
    <w:p>
      <w:pPr>
        <w:pStyle w:val="ListParagraph"/>
        <w:numPr>
          <w:ilvl w:val="0"/>
          <w:numId w:val="2"/>
        </w:numPr>
        <w:spacing w:after="60" w:before="40" w:line="290"/>
      </w:pPr>
      <w:r>
        <w:rPr>
          <w:rFonts w:ascii="Calibri" w:cs="Calibri" w:eastAsia="Calibri" w:hAnsi="Calibri"/>
          <w:sz w:val="22"/>
          <w:szCs w:val="22"/>
        </w:rPr>
        <w:t xml:space="preserve">Brief description of the work *</w:t>
      </w:r>
    </w:p>
    <w:p>
      <w:pPr>
        <w:pStyle w:val="ListParagraph"/>
        <w:numPr>
          <w:ilvl w:val="0"/>
          <w:numId w:val="2"/>
        </w:numPr>
        <w:spacing w:after="60" w:before="40" w:line="290"/>
      </w:pPr>
      <w:r>
        <w:rPr>
          <w:rFonts w:ascii="Calibri" w:cs="Calibri" w:eastAsia="Calibri" w:hAnsi="Calibri"/>
          <w:sz w:val="22"/>
          <w:szCs w:val="22"/>
        </w:rPr>
        <w:t xml:space="preserve">Are you a cooperative, women- or youth-led SME, or Indigenous-led organisation eligible for our discount? (yes/no/not sure)</w:t>
      </w:r>
    </w:p>
    <w:p>
      <w:pPr>
        <w:pStyle w:val="ListParagraph"/>
        <w:numPr>
          <w:ilvl w:val="0"/>
          <w:numId w:val="2"/>
        </w:numPr>
        <w:spacing w:after="60" w:before="40" w:line="290"/>
      </w:pPr>
      <w:r>
        <w:rPr>
          <w:rFonts w:ascii="Calibri" w:cs="Calibri" w:eastAsia="Calibri" w:hAnsi="Calibri"/>
          <w:sz w:val="22"/>
          <w:szCs w:val="22"/>
        </w:rPr>
        <w:t xml:space="preserve">Where did you hear about us? (optional)</w:t>
      </w:r>
    </w:p>
    <w:p>
      <w:pPr>
        <w:pStyle w:val="ListParagraph"/>
        <w:numPr>
          <w:ilvl w:val="0"/>
          <w:numId w:val="2"/>
        </w:numPr>
        <w:spacing w:after="60" w:before="40" w:line="290"/>
      </w:pPr>
      <w:r>
        <w:rPr>
          <w:rFonts w:ascii="Calibri" w:cs="Calibri" w:eastAsia="Calibri" w:hAnsi="Calibri"/>
          <w:sz w:val="22"/>
          <w:szCs w:val="22"/>
        </w:rPr>
        <w:t xml:space="preserve">Consent — “I agree to the IFSS Inc. privacy notice and confirm I am authorised to share the above information.” *</w:t>
      </w:r>
    </w:p>
    <w:p>
      <w:pPr>
        <w:spacing w:after="20" w:before="100"/>
      </w:pPr>
      <w:r>
        <w:rPr>
          <w:rFonts w:ascii="Calibri" w:cs="Calibri" w:eastAsia="Calibri" w:hAnsi="Calibri"/>
          <w:b/>
          <w:bCs/>
          <w:color w:val="595959"/>
          <w:spacing w:val="30"/>
          <w:sz w:val="19"/>
          <w:szCs w:val="19"/>
        </w:rPr>
        <w:t xml:space="preserve">Form behaviour</w:t>
      </w:r>
    </w:p>
    <w:p>
      <w:pPr>
        <w:pStyle w:val="ListParagraph"/>
        <w:numPr>
          <w:ilvl w:val="0"/>
          <w:numId w:val="2"/>
        </w:numPr>
        <w:spacing w:after="60" w:before="40" w:line="290"/>
      </w:pPr>
      <w:r>
        <w:rPr>
          <w:rFonts w:ascii="Calibri" w:cs="Calibri" w:eastAsia="Calibri" w:hAnsi="Calibri"/>
          <w:sz w:val="22"/>
          <w:szCs w:val="22"/>
        </w:rPr>
        <w:t xml:space="preserve">Submission triggers an automated acknowledgement in EN/FR.</w:t>
      </w:r>
    </w:p>
    <w:p>
      <w:pPr>
        <w:pStyle w:val="ListParagraph"/>
        <w:numPr>
          <w:ilvl w:val="0"/>
          <w:numId w:val="2"/>
        </w:numPr>
        <w:spacing w:after="60" w:before="40" w:line="290"/>
      </w:pPr>
      <w:r>
        <w:rPr>
          <w:rFonts w:ascii="Calibri" w:cs="Calibri" w:eastAsia="Calibri" w:hAnsi="Calibri"/>
          <w:sz w:val="22"/>
          <w:szCs w:val="22"/>
        </w:rPr>
        <w:t xml:space="preserve">Routes to the IFSS Inc. business-development inbox + CRM.</w:t>
      </w:r>
    </w:p>
    <w:p>
      <w:pPr>
        <w:pStyle w:val="ListParagraph"/>
        <w:numPr>
          <w:ilvl w:val="0"/>
          <w:numId w:val="2"/>
        </w:numPr>
        <w:spacing w:after="60" w:before="40" w:line="290"/>
      </w:pPr>
      <w:r>
        <w:rPr>
          <w:rFonts w:ascii="Calibri" w:cs="Calibri" w:eastAsia="Calibri" w:hAnsi="Calibri"/>
          <w:sz w:val="22"/>
          <w:szCs w:val="22"/>
        </w:rPr>
        <w:t xml:space="preserve">SLA: human reply within 2 business days, indicative scoping note within 5 business days.</w:t>
      </w:r>
    </w:p>
    <w:p>
      <w:pPr>
        <w:pStyle w:val="ListParagraph"/>
        <w:numPr>
          <w:ilvl w:val="0"/>
          <w:numId w:val="2"/>
        </w:numPr>
        <w:spacing w:after="60" w:before="40" w:line="290"/>
      </w:pPr>
      <w:r>
        <w:rPr>
          <w:rFonts w:ascii="Calibri" w:cs="Calibri" w:eastAsia="Calibri" w:hAnsi="Calibri"/>
          <w:sz w:val="22"/>
          <w:szCs w:val="22"/>
        </w:rPr>
        <w:t xml:space="preserve">No data shared with SAICE programme staff unless the proposal involves a SAICE-funded engagement (see related-party policy).</w:t>
      </w:r>
    </w:p>
    <w:p>
      <w:pPr>
        <w:spacing w:after="140" w:before="360"/>
      </w:pPr>
      <w:r>
        <w:rPr>
          <w:rFonts w:ascii="Calibri" w:cs="Calibri" w:eastAsia="Calibri" w:hAnsi="Calibri"/>
          <w:b/>
          <w:bCs/>
          <w:color w:val="1F4E79"/>
          <w:sz w:val="30"/>
          <w:szCs w:val="30"/>
        </w:rPr>
        <w:t xml:space="preserve">17. Frequently asked questions</w:t>
      </w:r>
    </w:p>
    <w:p>
      <w:pPr>
        <w:spacing w:after="20" w:before="100"/>
      </w:pPr>
      <w:r>
        <w:rPr>
          <w:rFonts w:ascii="Calibri" w:cs="Calibri" w:eastAsia="Calibri" w:hAnsi="Calibri"/>
          <w:b/>
          <w:bCs/>
          <w:color w:val="595959"/>
          <w:spacing w:val="30"/>
          <w:sz w:val="19"/>
          <w:szCs w:val="19"/>
        </w:rPr>
        <w:t xml:space="preserve">Section heading</w:t>
      </w:r>
    </w:p>
    <w:p>
      <w:pPr>
        <w:spacing w:after="80" w:before="60" w:line="300"/>
      </w:pPr>
      <w:r>
        <w:rPr>
          <w:rFonts w:ascii="Calibri" w:cs="Calibri" w:eastAsia="Calibri" w:hAnsi="Calibri"/>
          <w:b/>
          <w:bCs/>
          <w:color w:val="1F4E79"/>
          <w:sz w:val="26"/>
          <w:szCs w:val="26"/>
        </w:rPr>
        <w:t xml:space="preserve">Honest answers to the questions buyers actually ask.</w:t>
      </w:r>
    </w:p>
    <w:p>
      <w:pPr>
        <w:spacing w:after="80" w:before="180"/>
      </w:pPr>
      <w:r>
        <w:rPr>
          <w:rFonts w:ascii="Calibri" w:cs="Calibri" w:eastAsia="Calibri" w:hAnsi="Calibri"/>
          <w:b/>
          <w:bCs/>
          <w:color w:val="2E7D5B"/>
          <w:sz w:val="22"/>
          <w:szCs w:val="22"/>
        </w:rPr>
        <w:t xml:space="preserve">Are IFSS Inc. and SAICE the same organisation?</w:t>
      </w:r>
    </w:p>
    <w:p>
      <w:pPr>
        <w:spacing w:after="80" w:before="60" w:line="300"/>
      </w:pPr>
      <w:r>
        <w:rPr>
          <w:rFonts w:ascii="Calibri" w:cs="Calibri" w:eastAsia="Calibri" w:hAnsi="Calibri"/>
          <w:sz w:val="22"/>
          <w:szCs w:val="22"/>
        </w:rPr>
        <w:t xml:space="preserve">No. SAICE is the parent — a Canadian registered charity. IFSS Inc. is the operating subsidiary — a Canadian taxable corporation. Both are Canadian-registered, but only SAICE can issue donation receipts; only IFSS Inc. can sign commercial consulting contracts.</w:t>
      </w:r>
    </w:p>
    <w:p>
      <w:pPr>
        <w:spacing w:after="80" w:before="180"/>
      </w:pPr>
      <w:r>
        <w:rPr>
          <w:rFonts w:ascii="Calibri" w:cs="Calibri" w:eastAsia="Calibri" w:hAnsi="Calibri"/>
          <w:b/>
          <w:bCs/>
          <w:color w:val="2E7D5B"/>
          <w:sz w:val="22"/>
          <w:szCs w:val="22"/>
        </w:rPr>
        <w:t xml:space="preserve">Does paying IFSS Inc. count as a charitable donation?</w:t>
      </w:r>
    </w:p>
    <w:p>
      <w:pPr>
        <w:spacing w:after="80" w:before="60" w:line="300"/>
      </w:pPr>
      <w:r>
        <w:rPr>
          <w:rFonts w:ascii="Calibri" w:cs="Calibri" w:eastAsia="Calibri" w:hAnsi="Calibri"/>
          <w:sz w:val="22"/>
          <w:szCs w:val="22"/>
        </w:rPr>
        <w:t xml:space="preserve">No. Paying IFSS Inc. is a commercial transaction and not tax-deductible as a donation. If you want to make a charitable gift, donate to SAICE directly.</w:t>
      </w:r>
    </w:p>
    <w:p>
      <w:pPr>
        <w:spacing w:after="80" w:before="180"/>
      </w:pPr>
      <w:r>
        <w:rPr>
          <w:rFonts w:ascii="Calibri" w:cs="Calibri" w:eastAsia="Calibri" w:hAnsi="Calibri"/>
          <w:b/>
          <w:bCs/>
          <w:color w:val="2E7D5B"/>
          <w:sz w:val="22"/>
          <w:szCs w:val="22"/>
        </w:rPr>
        <w:t xml:space="preserve">How much of what I pay IFSS Inc. goes back to SAICE?</w:t>
      </w:r>
    </w:p>
    <w:p>
      <w:pPr>
        <w:spacing w:after="80" w:before="60" w:line="300"/>
      </w:pPr>
      <w:r>
        <w:rPr>
          <w:rFonts w:ascii="Calibri" w:cs="Calibri" w:eastAsia="Calibri" w:hAnsi="Calibri"/>
          <w:sz w:val="22"/>
          <w:szCs w:val="22"/>
        </w:rPr>
        <w:t xml:space="preserve">A published revenue share, set by the SAICE board annually and disclosed in the audited accounts. The current share is set so that mission programmes are funded without putting IFSS Inc.’s commercial viability at risk.</w:t>
      </w:r>
    </w:p>
    <w:p>
      <w:pPr>
        <w:spacing w:after="80" w:before="180"/>
      </w:pPr>
      <w:r>
        <w:rPr>
          <w:rFonts w:ascii="Calibri" w:cs="Calibri" w:eastAsia="Calibri" w:hAnsi="Calibri"/>
          <w:b/>
          <w:bCs/>
          <w:color w:val="2E7D5B"/>
          <w:sz w:val="22"/>
          <w:szCs w:val="22"/>
        </w:rPr>
        <w:t xml:space="preserve">Will my data be used to train PAGES or ICES?</w:t>
      </w:r>
    </w:p>
    <w:p>
      <w:pPr>
        <w:spacing w:after="80" w:before="60" w:line="300"/>
      </w:pPr>
      <w:r>
        <w:rPr>
          <w:rFonts w:ascii="Calibri" w:cs="Calibri" w:eastAsia="Calibri" w:hAnsi="Calibri"/>
          <w:sz w:val="22"/>
          <w:szCs w:val="22"/>
        </w:rPr>
        <w:t xml:space="preserve">No — not without your written, opt-in consent on a per-engagement basis. Client data stays in the client tenant; SAICE-owned model improvements are derived only from data we own outright or from data shared under explicit licence.</w:t>
      </w:r>
    </w:p>
    <w:p>
      <w:pPr>
        <w:spacing w:after="80" w:before="180"/>
      </w:pPr>
      <w:r>
        <w:rPr>
          <w:rFonts w:ascii="Calibri" w:cs="Calibri" w:eastAsia="Calibri" w:hAnsi="Calibri"/>
          <w:b/>
          <w:bCs/>
          <w:color w:val="2E7D5B"/>
          <w:sz w:val="22"/>
          <w:szCs w:val="22"/>
        </w:rPr>
        <w:t xml:space="preserve">Can SAICE programme staff work on my IFSS Inc. engagement?</w:t>
      </w:r>
    </w:p>
    <w:p>
      <w:pPr>
        <w:spacing w:after="80" w:before="60" w:line="300"/>
      </w:pPr>
      <w:r>
        <w:rPr>
          <w:rFonts w:ascii="Calibri" w:cs="Calibri" w:eastAsia="Calibri" w:hAnsi="Calibri"/>
          <w:sz w:val="22"/>
          <w:szCs w:val="22"/>
        </w:rPr>
        <w:t xml:space="preserve">Yes, but only under the related-party policy — with written disclosure, time-tracking, and reimbursement of SAICE at full cost. Conflicts of interest are managed by the audit committee.</w:t>
      </w:r>
    </w:p>
    <w:p>
      <w:pPr>
        <w:spacing w:after="80" w:before="180"/>
      </w:pPr>
      <w:r>
        <w:rPr>
          <w:rFonts w:ascii="Calibri" w:cs="Calibri" w:eastAsia="Calibri" w:hAnsi="Calibri"/>
          <w:b/>
          <w:bCs/>
          <w:color w:val="2E7D5B"/>
          <w:sz w:val="22"/>
          <w:szCs w:val="22"/>
        </w:rPr>
        <w:t xml:space="preserve">What countries can you work in?</w:t>
      </w:r>
    </w:p>
    <w:p>
      <w:pPr>
        <w:spacing w:after="80" w:before="60" w:line="300"/>
      </w:pPr>
      <w:r>
        <w:rPr>
          <w:rFonts w:ascii="Calibri" w:cs="Calibri" w:eastAsia="Calibri" w:hAnsi="Calibri"/>
          <w:sz w:val="22"/>
          <w:szCs w:val="22"/>
        </w:rPr>
        <w:t xml:space="preserve">We are currently operational in Canada, Rwanda, Kenya, Burundi, DRC, and Togo. We have worked previously in the US, Uganda, and other Great Lakes Region countries. New countries on request, subject to a feasibility review.</w:t>
      </w:r>
    </w:p>
    <w:p>
      <w:pPr>
        <w:spacing w:after="80" w:before="180"/>
      </w:pPr>
      <w:r>
        <w:rPr>
          <w:rFonts w:ascii="Calibri" w:cs="Calibri" w:eastAsia="Calibri" w:hAnsi="Calibri"/>
          <w:b/>
          <w:bCs/>
          <w:color w:val="2E7D5B"/>
          <w:sz w:val="22"/>
          <w:szCs w:val="22"/>
        </w:rPr>
        <w:t xml:space="preserve">Do you sign NDAs?</w:t>
      </w:r>
    </w:p>
    <w:p>
      <w:pPr>
        <w:spacing w:after="80" w:before="60" w:line="300"/>
      </w:pPr>
      <w:r>
        <w:rPr>
          <w:rFonts w:ascii="Calibri" w:cs="Calibri" w:eastAsia="Calibri" w:hAnsi="Calibri"/>
          <w:sz w:val="22"/>
          <w:szCs w:val="22"/>
        </w:rPr>
        <w:t xml:space="preserve">Yes, on every engagement. We also accept client NDAs and have a standard mutual-NDA template (see the contractor NDA on the governance page).</w:t>
      </w:r>
    </w:p>
    <w:p>
      <w:pPr>
        <w:spacing w:after="80" w:before="180"/>
      </w:pPr>
      <w:r>
        <w:rPr>
          <w:rFonts w:ascii="Calibri" w:cs="Calibri" w:eastAsia="Calibri" w:hAnsi="Calibri"/>
          <w:b/>
          <w:bCs/>
          <w:color w:val="2E7D5B"/>
          <w:sz w:val="22"/>
          <w:szCs w:val="22"/>
        </w:rPr>
        <w:t xml:space="preserve">Can I see references?</w:t>
      </w:r>
    </w:p>
    <w:p>
      <w:pPr>
        <w:spacing w:after="80" w:before="60" w:line="300"/>
      </w:pPr>
      <w:r>
        <w:rPr>
          <w:rFonts w:ascii="Calibri" w:cs="Calibri" w:eastAsia="Calibri" w:hAnsi="Calibri"/>
          <w:sz w:val="22"/>
          <w:szCs w:val="22"/>
        </w:rPr>
        <w:t xml:space="preserve">Yes, on request — typically two named references per service line, sector-matched to your project.</w:t>
      </w:r>
    </w:p>
    <w:p>
      <w:pPr>
        <w:spacing w:after="140" w:before="360"/>
      </w:pPr>
      <w:r>
        <w:rPr>
          <w:rFonts w:ascii="Calibri" w:cs="Calibri" w:eastAsia="Calibri" w:hAnsi="Calibri"/>
          <w:b/>
          <w:bCs/>
          <w:color w:val="1F4E79"/>
          <w:sz w:val="30"/>
          <w:szCs w:val="30"/>
        </w:rPr>
        <w:t xml:space="preserve">18. Microcopy bank</w:t>
      </w:r>
    </w:p>
    <w:p>
      <w:pPr>
        <w:pStyle w:val="ListParagraph"/>
        <w:numPr>
          <w:ilvl w:val="0"/>
          <w:numId w:val="2"/>
        </w:numPr>
        <w:spacing w:after="60" w:before="40" w:line="290"/>
      </w:pPr>
      <w:r>
        <w:rPr>
          <w:rFonts w:ascii="Calibri" w:cs="Calibri" w:eastAsia="Calibri" w:hAnsi="Calibri"/>
          <w:b/>
          <w:bCs/>
          <w:sz w:val="22"/>
          <w:szCs w:val="22"/>
        </w:rPr>
        <w:t xml:space="preserve">Service-card hover</w:t>
      </w:r>
      <w:r>
        <w:rPr>
          <w:rFonts w:ascii="Calibri" w:cs="Calibri" w:eastAsia="Calibri" w:hAnsi="Calibri"/>
          <w:sz w:val="22"/>
          <w:szCs w:val="22"/>
        </w:rPr>
        <w:t xml:space="preserve"> — “Click to see deliverables, lead specialist, and typical engagement length.”</w:t>
      </w:r>
    </w:p>
    <w:p>
      <w:pPr>
        <w:pStyle w:val="ListParagraph"/>
        <w:numPr>
          <w:ilvl w:val="0"/>
          <w:numId w:val="2"/>
        </w:numPr>
        <w:spacing w:after="60" w:before="40" w:line="290"/>
      </w:pPr>
      <w:r>
        <w:rPr>
          <w:rFonts w:ascii="Calibri" w:cs="Calibri" w:eastAsia="Calibri" w:hAnsi="Calibri"/>
          <w:b/>
          <w:bCs/>
          <w:sz w:val="22"/>
          <w:szCs w:val="22"/>
        </w:rPr>
        <w:t xml:space="preserve">Engagement-model tooltip</w:t>
      </w:r>
      <w:r>
        <w:rPr>
          <w:rFonts w:ascii="Calibri" w:cs="Calibri" w:eastAsia="Calibri" w:hAnsi="Calibri"/>
          <w:sz w:val="22"/>
          <w:szCs w:val="22"/>
        </w:rPr>
        <w:t xml:space="preserve"> — “Every step has a written deliverable. No verbal scope changes.”</w:t>
      </w:r>
    </w:p>
    <w:p>
      <w:pPr>
        <w:pStyle w:val="ListParagraph"/>
        <w:numPr>
          <w:ilvl w:val="0"/>
          <w:numId w:val="2"/>
        </w:numPr>
        <w:spacing w:after="60" w:before="40" w:line="290"/>
      </w:pPr>
      <w:r>
        <w:rPr>
          <w:rFonts w:ascii="Calibri" w:cs="Calibri" w:eastAsia="Calibri" w:hAnsi="Calibri"/>
          <w:b/>
          <w:bCs/>
          <w:sz w:val="22"/>
          <w:szCs w:val="22"/>
        </w:rPr>
        <w:t xml:space="preserve">Pricing band</w:t>
      </w:r>
      <w:r>
        <w:rPr>
          <w:rFonts w:ascii="Calibri" w:cs="Calibri" w:eastAsia="Calibri" w:hAnsi="Calibri"/>
          <w:sz w:val="22"/>
          <w:szCs w:val="22"/>
        </w:rPr>
        <w:t xml:space="preserve"> — “We share an indicative budget within 5 business days of a discovery call.”</w:t>
      </w:r>
    </w:p>
    <w:p>
      <w:pPr>
        <w:pStyle w:val="ListParagraph"/>
        <w:numPr>
          <w:ilvl w:val="0"/>
          <w:numId w:val="2"/>
        </w:numPr>
        <w:spacing w:after="60" w:before="40" w:line="290"/>
      </w:pPr>
      <w:r>
        <w:rPr>
          <w:rFonts w:ascii="Calibri" w:cs="Calibri" w:eastAsia="Calibri" w:hAnsi="Calibri"/>
          <w:b/>
          <w:bCs/>
          <w:sz w:val="22"/>
          <w:szCs w:val="22"/>
        </w:rPr>
        <w:t xml:space="preserve">Enterprise SaaS callout</w:t>
      </w:r>
      <w:r>
        <w:rPr>
          <w:rFonts w:ascii="Calibri" w:cs="Calibri" w:eastAsia="Calibri" w:hAnsi="Calibri"/>
          <w:sz w:val="22"/>
          <w:szCs w:val="22"/>
        </w:rPr>
        <w:t xml:space="preserve"> — “PAGES and ICES Enterprise licences pay a revenue share back to SAICE — keeping the public-good versions free for cooperatives.”</w:t>
      </w:r>
    </w:p>
    <w:p>
      <w:pPr>
        <w:pStyle w:val="ListParagraph"/>
        <w:numPr>
          <w:ilvl w:val="0"/>
          <w:numId w:val="2"/>
        </w:numPr>
        <w:spacing w:after="60" w:before="40" w:line="290"/>
      </w:pPr>
      <w:r>
        <w:rPr>
          <w:rFonts w:ascii="Calibri" w:cs="Calibri" w:eastAsia="Calibri" w:hAnsi="Calibri"/>
          <w:b/>
          <w:bCs/>
          <w:sz w:val="22"/>
          <w:szCs w:val="22"/>
        </w:rPr>
        <w:t xml:space="preserve">Form-submit confirmation</w:t>
      </w:r>
      <w:r>
        <w:rPr>
          <w:rFonts w:ascii="Calibri" w:cs="Calibri" w:eastAsia="Calibri" w:hAnsi="Calibri"/>
          <w:sz w:val="22"/>
          <w:szCs w:val="22"/>
        </w:rPr>
        <w:t xml:space="preserve"> — “Thanks — your enquiry is in. A specialist will reply within 2 business days. Anything urgent? Email hello@ifssgoal.org.”</w:t>
      </w:r>
    </w:p>
    <w:p>
      <w:pPr>
        <w:pStyle w:val="ListParagraph"/>
        <w:numPr>
          <w:ilvl w:val="0"/>
          <w:numId w:val="2"/>
        </w:numPr>
        <w:spacing w:after="60" w:before="40" w:line="290"/>
      </w:pPr>
      <w:r>
        <w:rPr>
          <w:rFonts w:ascii="Calibri" w:cs="Calibri" w:eastAsia="Calibri" w:hAnsi="Calibri"/>
          <w:b/>
          <w:bCs/>
          <w:sz w:val="22"/>
          <w:szCs w:val="22"/>
        </w:rPr>
        <w:t xml:space="preserve">FAQ tag</w:t>
      </w:r>
      <w:r>
        <w:rPr>
          <w:rFonts w:ascii="Calibri" w:cs="Calibri" w:eastAsia="Calibri" w:hAnsi="Calibri"/>
          <w:sz w:val="22"/>
          <w:szCs w:val="22"/>
        </w:rPr>
        <w:t xml:space="preserve"> — “More questions? Read the full governance &amp; transparency hub.”</w:t>
      </w:r>
    </w:p>
    <w:p>
      <w:pPr>
        <w:spacing w:after="140" w:before="360"/>
      </w:pPr>
      <w:r>
        <w:rPr>
          <w:rFonts w:ascii="Calibri" w:cs="Calibri" w:eastAsia="Calibri" w:hAnsi="Calibri"/>
          <w:b/>
          <w:bCs/>
          <w:color w:val="1F4E79"/>
          <w:sz w:val="30"/>
          <w:szCs w:val="30"/>
        </w:rPr>
        <w:t xml:space="preserve">19. SEO meta block</w:t>
      </w:r>
    </w:p>
    <w:p>
      <w:pPr>
        <w:pStyle w:val="ListParagraph"/>
        <w:numPr>
          <w:ilvl w:val="0"/>
          <w:numId w:val="2"/>
        </w:numPr>
        <w:spacing w:after="60" w:before="40" w:line="290"/>
      </w:pPr>
      <w:r>
        <w:rPr>
          <w:rFonts w:ascii="Calibri" w:cs="Calibri" w:eastAsia="Calibri" w:hAnsi="Calibri"/>
          <w:b/>
          <w:bCs/>
          <w:sz w:val="22"/>
          <w:szCs w:val="22"/>
        </w:rPr>
        <w:t xml:space="preserve">Primary keywords</w:t>
      </w:r>
      <w:r>
        <w:rPr>
          <w:rFonts w:ascii="Calibri" w:cs="Calibri" w:eastAsia="Calibri" w:hAnsi="Calibri"/>
          <w:sz w:val="22"/>
          <w:szCs w:val="22"/>
        </w:rPr>
        <w:t xml:space="preserve"> — ESG advisory Africa · agri value chain consulting · digital transformation NGO · M&amp;E consulting Rwanda · grant proposal development · PAGES SaaS · ICES SaaS · circular economy Africa.</w:t>
      </w:r>
    </w:p>
    <w:p>
      <w:pPr>
        <w:pStyle w:val="ListParagraph"/>
        <w:numPr>
          <w:ilvl w:val="0"/>
          <w:numId w:val="2"/>
        </w:numPr>
        <w:spacing w:after="60" w:before="40" w:line="290"/>
      </w:pPr>
      <w:r>
        <w:rPr>
          <w:rFonts w:ascii="Calibri" w:cs="Calibri" w:eastAsia="Calibri" w:hAnsi="Calibri"/>
          <w:b/>
          <w:bCs/>
          <w:sz w:val="22"/>
          <w:szCs w:val="22"/>
        </w:rPr>
        <w:t xml:space="preserve">Schema markup</w:t>
      </w:r>
      <w:r>
        <w:rPr>
          <w:rFonts w:ascii="Calibri" w:cs="Calibri" w:eastAsia="Calibri" w:hAnsi="Calibri"/>
          <w:sz w:val="22"/>
          <w:szCs w:val="22"/>
        </w:rPr>
        <w:t xml:space="preserve"> — Service, ProfessionalService, Organization (IFSS Inc. as subsidiary of SAICE), FAQPage on the FAQ block.</w:t>
      </w:r>
    </w:p>
    <w:p>
      <w:pPr>
        <w:pStyle w:val="ListParagraph"/>
        <w:numPr>
          <w:ilvl w:val="0"/>
          <w:numId w:val="2"/>
        </w:numPr>
        <w:spacing w:after="60" w:before="40" w:line="290"/>
      </w:pPr>
      <w:r>
        <w:rPr>
          <w:rFonts w:ascii="Calibri" w:cs="Calibri" w:eastAsia="Calibri" w:hAnsi="Calibri"/>
          <w:b/>
          <w:bCs/>
          <w:sz w:val="22"/>
          <w:szCs w:val="22"/>
        </w:rPr>
        <w:t xml:space="preserve">Internal links</w:t>
      </w:r>
      <w:r>
        <w:rPr>
          <w:rFonts w:ascii="Calibri" w:cs="Calibri" w:eastAsia="Calibri" w:hAnsi="Calibri"/>
          <w:sz w:val="22"/>
          <w:szCs w:val="22"/>
        </w:rPr>
        <w:t xml:space="preserve"> — About → How we are structured; Programs → PAGES; Programs → ICES; Governance &amp; Transparency; Contact.</w:t>
      </w:r>
    </w:p>
    <w:p>
      <w:pPr>
        <w:pStyle w:val="ListParagraph"/>
        <w:numPr>
          <w:ilvl w:val="0"/>
          <w:numId w:val="2"/>
        </w:numPr>
        <w:spacing w:after="60" w:before="40" w:line="290"/>
      </w:pPr>
      <w:r>
        <w:rPr>
          <w:rFonts w:ascii="Calibri" w:cs="Calibri" w:eastAsia="Calibri" w:hAnsi="Calibri"/>
          <w:b/>
          <w:bCs/>
          <w:sz w:val="22"/>
          <w:szCs w:val="22"/>
        </w:rPr>
        <w:t xml:space="preserve">External outbound</w:t>
      </w:r>
      <w:r>
        <w:rPr>
          <w:rFonts w:ascii="Calibri" w:cs="Calibri" w:eastAsia="Calibri" w:hAnsi="Calibri"/>
          <w:sz w:val="22"/>
          <w:szCs w:val="22"/>
        </w:rPr>
        <w:t xml:space="preserve"> — McGill, RCID-Rwanda, SEKU, ICGLR, AUDA-NEPAD — nofollow on commercial partner sites only where required by policy.</w:t>
      </w:r>
    </w:p>
    <w:p>
      <w:pPr>
        <w:pStyle w:val="ListParagraph"/>
        <w:numPr>
          <w:ilvl w:val="0"/>
          <w:numId w:val="2"/>
        </w:numPr>
        <w:spacing w:after="60" w:before="40" w:line="290"/>
      </w:pPr>
      <w:r>
        <w:rPr>
          <w:rFonts w:ascii="Calibri" w:cs="Calibri" w:eastAsia="Calibri" w:hAnsi="Calibri"/>
          <w:b/>
          <w:bCs/>
          <w:sz w:val="22"/>
          <w:szCs w:val="22"/>
        </w:rPr>
        <w:t xml:space="preserve">Hreflang</w:t>
      </w:r>
      <w:r>
        <w:rPr>
          <w:rFonts w:ascii="Calibri" w:cs="Calibri" w:eastAsia="Calibri" w:hAnsi="Calibri"/>
          <w:sz w:val="22"/>
          <w:szCs w:val="22"/>
        </w:rPr>
        <w:t xml:space="preserve"> — en-CA (default), fr-CA, fr-RW, en-KE, fr-BI, fr-CD, fr-TG; rw-RW on full platform launch.</w:t>
      </w:r>
    </w:p>
    <w:p>
      <w:pPr>
        <w:pStyle w:val="ListParagraph"/>
        <w:numPr>
          <w:ilvl w:val="0"/>
          <w:numId w:val="2"/>
        </w:numPr>
        <w:spacing w:after="60" w:before="40" w:line="290"/>
      </w:pPr>
      <w:r>
        <w:rPr>
          <w:rFonts w:ascii="Calibri" w:cs="Calibri" w:eastAsia="Calibri" w:hAnsi="Calibri"/>
          <w:b/>
          <w:bCs/>
          <w:sz w:val="22"/>
          <w:szCs w:val="22"/>
        </w:rPr>
        <w:t xml:space="preserve">Redirects</w:t>
      </w:r>
      <w:r>
        <w:rPr>
          <w:rFonts w:ascii="Calibri" w:cs="Calibri" w:eastAsia="Calibri" w:hAnsi="Calibri"/>
          <w:sz w:val="22"/>
          <w:szCs w:val="22"/>
        </w:rPr>
        <w:t xml:space="preserve"> — /our-services → /services (301).</w:t>
      </w:r>
    </w:p>
    <w:p>
      <w:pPr>
        <w:spacing w:after="140" w:before="360"/>
      </w:pPr>
      <w:r>
        <w:rPr>
          <w:rFonts w:ascii="Calibri" w:cs="Calibri" w:eastAsia="Calibri" w:hAnsi="Calibri"/>
          <w:b/>
          <w:bCs/>
          <w:color w:val="1F4E79"/>
          <w:sz w:val="30"/>
          <w:szCs w:val="30"/>
        </w:rPr>
        <w:t xml:space="preserve">20. Quick checklist before publishing</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All six service blurbs reviewed by the IFSS Inc. service-line leads.</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Pricing language reviewed by Canadian commercial counsel.</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Enterprise SaaS terms reviewed against the SAICE / IFSS Inc. licence and revenue-share agreement.</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Case-study logos cleared in writing by each client.</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FAQ block reviewed by Canadian charity counsel to confirm the deductibility wording.</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Proposal form tested end-to-end — EN, FR, mobile, and screen-reader paths.</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Privacy notice link live; consent checkbox required before submit.</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Page translated to French — Kinyarwanda summary block at minimum, full mirror at phase 2.</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WCAG 2.2 AA contrast verified for all coloured text, tables, and buttons.</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Lighthouse score ≥ 90 on mobile and desktop.</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Old /our-services URL 301-redirected to /services; analytics event verified.</w:t>
      </w:r>
    </w:p>
    <w:p>
      <w:pPr>
        <w:spacing w:after="50" w:before="40" w:line="290"/>
      </w:pPr>
      <w:r>
        <w:rPr>
          <w:rFonts w:ascii="Calibri" w:cs="Calibri" w:eastAsia="Calibri" w:hAnsi="Calibri"/>
          <w:sz w:val="22"/>
          <w:szCs w:val="22"/>
        </w:rPr>
        <w:t xml:space="preserve">☐  </w:t>
      </w:r>
      <w:r>
        <w:rPr>
          <w:rFonts w:ascii="Calibri" w:cs="Calibri" w:eastAsia="Calibri" w:hAnsi="Calibri"/>
          <w:sz w:val="22"/>
          <w:szCs w:val="22"/>
        </w:rPr>
        <w:t xml:space="preserve">CRM routing confirmed; 2-business-day reply SLA monitored.</w:t>
      </w:r>
    </w:p>
    <w:sectPr>
      <w:headerReference w:type="default" r:id="rId7"/>
      <w:footerReference w:type="default" r:id="rId8"/>
      <w:pgSz w:w="12240" w:h="15840" w:orient="portrait"/>
      <w:pgMar w:top="1080" w:right="1080" w:bottom="108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b/>
        <w:bCs/>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b/>
        <w:bC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SAICE / IFSS — Our Services Page Content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2026-05-22T20:05:12.835Z</dcterms:created>
  <dcterms:modified xsi:type="dcterms:W3CDTF">2026-05-22T20:05:12.835Z</dcterms:modified>
</cp:coreProperties>
</file>

<file path=docProps/custom.xml><?xml version="1.0" encoding="utf-8"?>
<Properties xmlns="http://schemas.openxmlformats.org/officeDocument/2006/custom-properties" xmlns:vt="http://schemas.openxmlformats.org/officeDocument/2006/docPropsVTypes"/>
</file>