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s="仿宋"/>
          <w:b/>
          <w:bCs/>
          <w:sz w:val="36"/>
          <w:szCs w:val="36"/>
        </w:rPr>
      </w:pPr>
    </w:p>
    <w:p>
      <w:pPr>
        <w:jc w:val="center"/>
        <w:rPr>
          <w:rFonts w:ascii="微软雅黑" w:hAnsi="微软雅黑" w:cs="仿宋"/>
          <w:b/>
          <w:bCs/>
          <w:sz w:val="36"/>
          <w:szCs w:val="36"/>
        </w:rPr>
      </w:pPr>
      <w:r>
        <w:rPr>
          <w:rFonts w:hint="eastAsia" w:ascii="微软雅黑" w:hAnsi="微软雅黑" w:cs="仿宋"/>
          <w:b/>
          <w:bCs/>
          <w:sz w:val="36"/>
          <w:szCs w:val="36"/>
        </w:rPr>
        <w:t>Internet FinTech（IFT）</w:t>
      </w:r>
    </w:p>
    <w:p>
      <w:pPr>
        <w:jc w:val="center"/>
        <w:rPr>
          <w:rFonts w:ascii="微软雅黑" w:hAnsi="微软雅黑" w:cs="仿宋"/>
          <w:b/>
          <w:bCs/>
          <w:sz w:val="36"/>
          <w:szCs w:val="36"/>
        </w:rPr>
      </w:pPr>
    </w:p>
    <w:p>
      <w:pPr>
        <w:jc w:val="center"/>
        <w:rPr>
          <w:rFonts w:ascii="微软雅黑" w:hAnsi="微软雅黑" w:cs="仿宋"/>
          <w:b/>
          <w:bCs/>
          <w:sz w:val="36"/>
          <w:szCs w:val="36"/>
        </w:rPr>
      </w:pPr>
      <w:r>
        <w:rPr>
          <w:rFonts w:hint="eastAsia" w:ascii="微软雅黑" w:hAnsi="微软雅黑" w:cs="仿宋"/>
          <w:b/>
          <w:bCs/>
          <w:sz w:val="36"/>
          <w:szCs w:val="36"/>
        </w:rPr>
        <w:t>重构全球商业</w:t>
      </w:r>
    </w:p>
    <w:p>
      <w:pPr>
        <w:tabs>
          <w:tab w:val="left" w:pos="2838"/>
        </w:tabs>
        <w:jc w:val="center"/>
        <w:rPr>
          <w:rFonts w:ascii="微软雅黑" w:hAnsi="微软雅黑"/>
          <w:b/>
          <w:color w:val="404040"/>
          <w:sz w:val="24"/>
          <w:szCs w:val="24"/>
        </w:rPr>
      </w:pPr>
      <w:r>
        <w:rPr>
          <w:rFonts w:hint="eastAsia" w:ascii="微软雅黑" w:hAnsi="微软雅黑"/>
          <w:b/>
          <w:color w:val="404040"/>
          <w:sz w:val="24"/>
          <w:szCs w:val="24"/>
        </w:rPr>
        <w:t>V</w:t>
      </w:r>
      <w:r>
        <w:rPr>
          <w:rFonts w:ascii="微软雅黑" w:hAnsi="微软雅黑"/>
          <w:b/>
          <w:color w:val="404040"/>
          <w:sz w:val="24"/>
          <w:szCs w:val="24"/>
        </w:rPr>
        <w:t xml:space="preserve"> 1.0</w:t>
      </w: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rPr>
          <w:rFonts w:ascii="微软雅黑" w:hAnsi="微软雅黑"/>
          <w:color w:val="404040"/>
        </w:rPr>
      </w:pPr>
    </w:p>
    <w:p>
      <w:pPr>
        <w:widowControl/>
        <w:autoSpaceDE w:val="0"/>
        <w:autoSpaceDN w:val="0"/>
        <w:adjustRightInd w:val="0"/>
        <w:spacing w:after="240"/>
        <w:rPr>
          <w:rFonts w:ascii="微软雅黑" w:hAnsi="微软雅黑" w:cs="微软雅黑"/>
          <w:color w:val="404040"/>
          <w:kern w:val="0"/>
          <w:sz w:val="24"/>
          <w:szCs w:val="24"/>
        </w:rPr>
      </w:pPr>
    </w:p>
    <w:p>
      <w:pPr>
        <w:pStyle w:val="31"/>
      </w:pPr>
      <w:r>
        <w:rPr>
          <w:lang w:val="zh-CN"/>
        </w:rPr>
        <w:t>目录</w:t>
      </w:r>
    </w:p>
    <w:p>
      <w:pPr>
        <w:pStyle w:val="10"/>
        <w:tabs>
          <w:tab w:val="right" w:leader="dot" w:pos="8296"/>
        </w:tabs>
        <w:rPr>
          <w:rFonts w:ascii="DengXian" w:hAnsi="DengXian" w:eastAsia="DengXian"/>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"_Toc516005284" </w:instrText>
      </w:r>
      <w:r>
        <w:fldChar w:fldCharType="separate"/>
      </w:r>
      <w:r>
        <w:rPr>
          <w:rStyle w:val="16"/>
          <w:rFonts w:ascii="微软雅黑" w:hAnsi="微软雅黑" w:cs="微软雅黑"/>
          <w:shd w:val="clear" w:color="auto" w:fill="FFFFFF"/>
        </w:rPr>
        <w:t>一、项目介绍</w:t>
      </w:r>
      <w:r>
        <w:tab/>
      </w:r>
      <w:r>
        <w:fldChar w:fldCharType="begin"/>
      </w:r>
      <w:r>
        <w:instrText xml:space="preserve"> PAGEREF _Toc516005284 \h </w:instrText>
      </w:r>
      <w:r>
        <w:fldChar w:fldCharType="separate"/>
      </w:r>
      <w:r>
        <w:t>3</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"_Toc516005285" </w:instrText>
      </w:r>
      <w:r>
        <w:fldChar w:fldCharType="separate"/>
      </w:r>
      <w:r>
        <w:rPr>
          <w:rStyle w:val="16"/>
          <w:rFonts w:ascii="微软雅黑" w:hAnsi="微软雅黑" w:cs="微软雅黑"/>
        </w:rPr>
        <w:t>1、项目背景</w:t>
      </w:r>
      <w:r>
        <w:tab/>
      </w:r>
      <w:r>
        <w:fldChar w:fldCharType="begin"/>
      </w:r>
      <w:r>
        <w:instrText xml:space="preserve"> PAGEREF _Toc516005285 \h </w:instrText>
      </w:r>
      <w:r>
        <w:fldChar w:fldCharType="separate"/>
      </w:r>
      <w:r>
        <w:t>3</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"_Toc516005286" </w:instrText>
      </w:r>
      <w:r>
        <w:fldChar w:fldCharType="separate"/>
      </w:r>
      <w:r>
        <w:rPr>
          <w:rStyle w:val="16"/>
          <w:rFonts w:ascii="微软雅黑" w:hAnsi="微软雅黑" w:cs="微软雅黑"/>
        </w:rPr>
        <w:t>2、项目亮点</w:t>
      </w:r>
      <w:r>
        <w:tab/>
      </w:r>
      <w:r>
        <w:fldChar w:fldCharType="begin"/>
      </w:r>
      <w:r>
        <w:instrText xml:space="preserve"> PAGEREF _Toc516005286 \h </w:instrText>
      </w:r>
      <w:r>
        <w:fldChar w:fldCharType="separate"/>
      </w:r>
      <w:r>
        <w:t>4</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"_Toc516005287" </w:instrText>
      </w:r>
      <w:r>
        <w:fldChar w:fldCharType="separate"/>
      </w:r>
      <w:r>
        <w:rPr>
          <w:rStyle w:val="16"/>
          <w:rFonts w:ascii="微软雅黑" w:hAnsi="微软雅黑" w:cs="微软雅黑"/>
        </w:rPr>
        <w:t>3、项目愿景</w:t>
      </w:r>
      <w:r>
        <w:tab/>
      </w:r>
      <w:r>
        <w:fldChar w:fldCharType="begin"/>
      </w:r>
      <w:r>
        <w:instrText xml:space="preserve"> PAGEREF _Toc516005287 \h </w:instrText>
      </w:r>
      <w:r>
        <w:fldChar w:fldCharType="separate"/>
      </w:r>
      <w:r>
        <w:t>5</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"_Toc516005288" </w:instrText>
      </w:r>
      <w:r>
        <w:fldChar w:fldCharType="separate"/>
      </w:r>
      <w:r>
        <w:rPr>
          <w:rStyle w:val="16"/>
          <w:rFonts w:ascii="微软雅黑" w:hAnsi="微软雅黑" w:cs="微软雅黑"/>
          <w:shd w:val="clear" w:color="auto" w:fill="FFFFFF"/>
        </w:rPr>
        <w:t>4、智能合约</w:t>
      </w:r>
      <w:r>
        <w:tab/>
      </w:r>
      <w:r>
        <w:fldChar w:fldCharType="begin"/>
      </w:r>
      <w:r>
        <w:instrText xml:space="preserve"> PAGEREF _Toc516005288 \h </w:instrText>
      </w:r>
      <w:r>
        <w:fldChar w:fldCharType="separate"/>
      </w:r>
      <w:r>
        <w:t>5</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"_Toc516005289" </w:instrText>
      </w:r>
      <w:r>
        <w:fldChar w:fldCharType="separate"/>
      </w:r>
      <w:r>
        <w:rPr>
          <w:rStyle w:val="16"/>
          <w:rFonts w:ascii="微软雅黑" w:hAnsi="微软雅黑" w:cs="微软雅黑"/>
          <w:shd w:val="clear" w:color="auto" w:fill="FFFFFF"/>
        </w:rPr>
        <w:t>二、商业模式</w:t>
      </w:r>
      <w:r>
        <w:tab/>
      </w:r>
      <w:r>
        <w:fldChar w:fldCharType="begin"/>
      </w:r>
      <w:r>
        <w:instrText xml:space="preserve"> PAGEREF _Toc516005289 \h </w:instrText>
      </w:r>
      <w:r>
        <w:fldChar w:fldCharType="separate"/>
      </w:r>
      <w:r>
        <w:t>7</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"_Toc516005290" </w:instrText>
      </w:r>
      <w:r>
        <w:fldChar w:fldCharType="separate"/>
      </w:r>
      <w:r>
        <w:rPr>
          <w:rStyle w:val="16"/>
          <w:rFonts w:ascii="微软雅黑" w:hAnsi="微软雅黑" w:cs="微软雅黑"/>
        </w:rPr>
        <w:t>1、商业模式简介</w:t>
      </w:r>
      <w:r>
        <w:tab/>
      </w:r>
      <w:r>
        <w:fldChar w:fldCharType="begin"/>
      </w:r>
      <w:r>
        <w:instrText xml:space="preserve"> PAGEREF _Toc516005290 \h </w:instrText>
      </w:r>
      <w:r>
        <w:fldChar w:fldCharType="separate"/>
      </w:r>
      <w:r>
        <w:t>7</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"_Toc516005291" </w:instrText>
      </w:r>
      <w:r>
        <w:fldChar w:fldCharType="separate"/>
      </w:r>
      <w:r>
        <w:rPr>
          <w:rStyle w:val="16"/>
          <w:rFonts w:ascii="微软雅黑" w:hAnsi="微软雅黑" w:cs="微软雅黑"/>
        </w:rPr>
        <w:t>2、设计方案</w:t>
      </w:r>
      <w:r>
        <w:tab/>
      </w:r>
      <w:r>
        <w:fldChar w:fldCharType="begin"/>
      </w:r>
      <w:r>
        <w:instrText xml:space="preserve"> PAGEREF _Toc516005291 \h </w:instrText>
      </w:r>
      <w:r>
        <w:fldChar w:fldCharType="separate"/>
      </w:r>
      <w:r>
        <w:t>7</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"_Toc516005292" </w:instrText>
      </w:r>
      <w:r>
        <w:fldChar w:fldCharType="separate"/>
      </w:r>
      <w:r>
        <w:rPr>
          <w:rStyle w:val="16"/>
          <w:rFonts w:ascii="微软雅黑" w:hAnsi="微软雅黑" w:cs="微软雅黑"/>
        </w:rPr>
        <w:t>2.1 加密数字子货币发行</w:t>
      </w:r>
      <w:r>
        <w:tab/>
      </w:r>
      <w:r>
        <w:fldChar w:fldCharType="begin"/>
      </w:r>
      <w:r>
        <w:instrText xml:space="preserve"> PAGEREF _Toc516005292 \h </w:instrText>
      </w:r>
      <w:r>
        <w:fldChar w:fldCharType="separate"/>
      </w:r>
      <w:r>
        <w:t>7</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"_Toc516005293" </w:instrText>
      </w:r>
      <w:r>
        <w:fldChar w:fldCharType="separate"/>
      </w:r>
      <w:r>
        <w:rPr>
          <w:rStyle w:val="16"/>
          <w:rFonts w:ascii="微软雅黑" w:hAnsi="微软雅黑" w:cs="微软雅黑"/>
        </w:rPr>
        <w:t>2.2 支付交易结算系统</w:t>
      </w:r>
      <w:r>
        <w:tab/>
      </w:r>
      <w:r>
        <w:fldChar w:fldCharType="begin"/>
      </w:r>
      <w:r>
        <w:instrText xml:space="preserve"> PAGEREF _Toc516005293 \h </w:instrText>
      </w:r>
      <w:r>
        <w:fldChar w:fldCharType="separate"/>
      </w:r>
      <w:r>
        <w:t>8</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"_Toc516005294" </w:instrText>
      </w:r>
      <w:r>
        <w:fldChar w:fldCharType="separate"/>
      </w:r>
      <w:r>
        <w:rPr>
          <w:rStyle w:val="16"/>
          <w:rFonts w:ascii="微软雅黑" w:hAnsi="微软雅黑" w:cs="微软雅黑"/>
        </w:rPr>
        <w:t>2.3 账户体系</w:t>
      </w:r>
      <w:r>
        <w:tab/>
      </w:r>
      <w:r>
        <w:fldChar w:fldCharType="begin"/>
      </w:r>
      <w:r>
        <w:instrText xml:space="preserve"> PAGEREF _Toc516005294 \h </w:instrText>
      </w:r>
      <w:r>
        <w:fldChar w:fldCharType="separate"/>
      </w:r>
      <w:r>
        <w:t>8</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"_Toc516005295" </w:instrText>
      </w:r>
      <w:r>
        <w:fldChar w:fldCharType="separate"/>
      </w:r>
      <w:r>
        <w:rPr>
          <w:rStyle w:val="16"/>
          <w:rFonts w:ascii="微软雅黑" w:hAnsi="微软雅黑" w:cs="微软雅黑"/>
        </w:rPr>
        <w:t>2.4 去中心化数字资产交易所</w:t>
      </w:r>
      <w:r>
        <w:tab/>
      </w:r>
      <w:r>
        <w:fldChar w:fldCharType="begin"/>
      </w:r>
      <w:r>
        <w:instrText xml:space="preserve"> PAGEREF _Toc516005295 \h </w:instrText>
      </w:r>
      <w:r>
        <w:fldChar w:fldCharType="separate"/>
      </w:r>
      <w:r>
        <w:t>9</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"_Toc516005296" </w:instrText>
      </w:r>
      <w:r>
        <w:fldChar w:fldCharType="separate"/>
      </w:r>
      <w:r>
        <w:rPr>
          <w:rStyle w:val="16"/>
          <w:rFonts w:ascii="微软雅黑" w:hAnsi="微软雅黑" w:cs="微软雅黑"/>
        </w:rPr>
        <w:t>2.5 案例说明</w:t>
      </w:r>
      <w:r>
        <w:tab/>
      </w:r>
      <w:r>
        <w:fldChar w:fldCharType="begin"/>
      </w:r>
      <w:r>
        <w:instrText xml:space="preserve"> PAGEREF _Toc516005296 \h </w:instrText>
      </w:r>
      <w:r>
        <w:fldChar w:fldCharType="separate"/>
      </w:r>
      <w:r>
        <w:t>10</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"_Toc516005297" </w:instrText>
      </w:r>
      <w:r>
        <w:fldChar w:fldCharType="separate"/>
      </w:r>
      <w:r>
        <w:rPr>
          <w:rStyle w:val="16"/>
          <w:rFonts w:ascii="微软雅黑" w:hAnsi="微软雅黑" w:cs="微软雅黑"/>
        </w:rPr>
        <w:t>三、技术结构</w:t>
      </w:r>
      <w:r>
        <w:tab/>
      </w:r>
      <w:r>
        <w:fldChar w:fldCharType="begin"/>
      </w:r>
      <w:r>
        <w:instrText xml:space="preserve"> PAGEREF _Toc516005297 \h </w:instrText>
      </w:r>
      <w:r>
        <w:fldChar w:fldCharType="separate"/>
      </w:r>
      <w:r>
        <w:t>10</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"_Toc516005298" </w:instrText>
      </w:r>
      <w:r>
        <w:fldChar w:fldCharType="separate"/>
      </w:r>
      <w:r>
        <w:rPr>
          <w:rStyle w:val="16"/>
          <w:rFonts w:ascii="微软雅黑" w:hAnsi="微软雅黑" w:cs="微软雅黑"/>
        </w:rPr>
        <w:t>1、共识机制</w:t>
      </w:r>
      <w:r>
        <w:tab/>
      </w:r>
      <w:r>
        <w:fldChar w:fldCharType="begin"/>
      </w:r>
      <w:r>
        <w:instrText xml:space="preserve"> PAGEREF _Toc516005298 \h </w:instrText>
      </w:r>
      <w:r>
        <w:fldChar w:fldCharType="separate"/>
      </w:r>
      <w:r>
        <w:t>10</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"_Toc516005299" </w:instrText>
      </w:r>
      <w:r>
        <w:fldChar w:fldCharType="separate"/>
      </w:r>
      <w:r>
        <w:rPr>
          <w:rStyle w:val="16"/>
          <w:rFonts w:ascii="微软雅黑" w:hAnsi="微软雅黑" w:cs="微软雅黑"/>
        </w:rPr>
        <w:t>2.投票</w:t>
      </w:r>
      <w:r>
        <w:tab/>
      </w:r>
      <w:r>
        <w:fldChar w:fldCharType="begin"/>
      </w:r>
      <w:r>
        <w:instrText xml:space="preserve"> PAGEREF _Toc516005299 \h </w:instrText>
      </w:r>
      <w:r>
        <w:fldChar w:fldCharType="separate"/>
      </w:r>
      <w:r>
        <w:t>12</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"_Toc516005300" </w:instrText>
      </w:r>
      <w:r>
        <w:fldChar w:fldCharType="separate"/>
      </w:r>
      <w:r>
        <w:rPr>
          <w:rStyle w:val="16"/>
          <w:rFonts w:ascii="微软雅黑" w:hAnsi="微软雅黑" w:cs="微软雅黑"/>
        </w:rPr>
        <w:t>3.块（时段）周期（Slots）</w:t>
      </w:r>
      <w:r>
        <w:tab/>
      </w:r>
      <w:r>
        <w:fldChar w:fldCharType="begin"/>
      </w:r>
      <w:r>
        <w:instrText xml:space="preserve"> PAGEREF _Toc516005300 \h </w:instrText>
      </w:r>
      <w:r>
        <w:fldChar w:fldCharType="separate"/>
      </w:r>
      <w:r>
        <w:t>12</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"_Toc516005301" </w:instrText>
      </w:r>
      <w:r>
        <w:fldChar w:fldCharType="separate"/>
      </w:r>
      <w:r>
        <w:rPr>
          <w:rStyle w:val="16"/>
          <w:rFonts w:ascii="微软雅黑" w:hAnsi="微软雅黑" w:cs="微软雅黑"/>
        </w:rPr>
        <w:t>4.受托人（循环）周期（Round）</w:t>
      </w:r>
      <w:r>
        <w:tab/>
      </w:r>
      <w:r>
        <w:fldChar w:fldCharType="begin"/>
      </w:r>
      <w:r>
        <w:instrText xml:space="preserve"> PAGEREF _Toc516005301 \h </w:instrText>
      </w:r>
      <w:r>
        <w:fldChar w:fldCharType="separate"/>
      </w:r>
      <w:r>
        <w:t>13</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"_Toc516005302" </w:instrText>
      </w:r>
      <w:r>
        <w:fldChar w:fldCharType="separate"/>
      </w:r>
      <w:r>
        <w:rPr>
          <w:rStyle w:val="16"/>
          <w:rFonts w:ascii="微软雅黑" w:hAnsi="微软雅黑" w:cs="微软雅黑"/>
        </w:rPr>
        <w:t>5.奖励周期（Milestones）</w:t>
      </w:r>
      <w:r>
        <w:tab/>
      </w:r>
      <w:r>
        <w:fldChar w:fldCharType="begin"/>
      </w:r>
      <w:r>
        <w:instrText xml:space="preserve"> PAGEREF _Toc516005302 \h </w:instrText>
      </w:r>
      <w:r>
        <w:fldChar w:fldCharType="separate"/>
      </w:r>
      <w:r>
        <w:t>14</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"_Toc516005303" </w:instrText>
      </w:r>
      <w:r>
        <w:fldChar w:fldCharType="separate"/>
      </w:r>
      <w:r>
        <w:rPr>
          <w:rStyle w:val="16"/>
          <w:rFonts w:ascii="微软雅黑" w:hAnsi="微软雅黑" w:cs="微软雅黑"/>
        </w:rPr>
        <w:t>6.底层架构</w:t>
      </w:r>
      <w:r>
        <w:tab/>
      </w:r>
      <w:r>
        <w:fldChar w:fldCharType="begin"/>
      </w:r>
      <w:r>
        <w:instrText xml:space="preserve"> PAGEREF _Toc516005303 \h </w:instrText>
      </w:r>
      <w:r>
        <w:fldChar w:fldCharType="separate"/>
      </w:r>
      <w:r>
        <w:t>14</w:t>
      </w:r>
      <w:r>
        <w:fldChar w:fldCharType="end"/>
      </w:r>
      <w:r>
        <w:fldChar w:fldCharType="end"/>
      </w:r>
    </w:p>
    <w:p>
      <w:pPr>
        <w:pStyle w:val="5"/>
        <w:tabs>
          <w:tab w:val="right" w:leader="dot" w:pos="8296"/>
        </w:tabs>
        <w:rPr>
          <w:rFonts w:ascii="DengXian" w:hAnsi="DengXian" w:eastAsia="DengXian"/>
        </w:rPr>
      </w:pPr>
      <w:r>
        <w:fldChar w:fldCharType="begin"/>
      </w:r>
      <w:r>
        <w:instrText xml:space="preserve"> HYPERLINK \l "_Toc516005304" </w:instrText>
      </w:r>
      <w:r>
        <w:fldChar w:fldCharType="separate"/>
      </w:r>
      <w:r>
        <w:rPr>
          <w:rStyle w:val="16"/>
          <w:rFonts w:ascii="微软雅黑" w:hAnsi="微软雅黑" w:cs="微软雅黑"/>
        </w:rPr>
        <w:t>6.1. SDK与BaaS平台</w:t>
      </w:r>
      <w:r>
        <w:tab/>
      </w:r>
      <w:r>
        <w:fldChar w:fldCharType="begin"/>
      </w:r>
      <w:r>
        <w:instrText xml:space="preserve"> PAGEREF _Toc516005304 \h </w:instrText>
      </w:r>
      <w:r>
        <w:fldChar w:fldCharType="separate"/>
      </w:r>
      <w:r>
        <w:t>15</w:t>
      </w:r>
      <w:r>
        <w:fldChar w:fldCharType="end"/>
      </w:r>
      <w:r>
        <w:fldChar w:fldCharType="end"/>
      </w:r>
    </w:p>
    <w:p>
      <w:pPr>
        <w:pStyle w:val="12"/>
        <w:tabs>
          <w:tab w:val="left" w:pos="840"/>
          <w:tab w:val="right" w:leader="dot" w:pos="8296"/>
        </w:tabs>
        <w:rPr>
          <w:rFonts w:ascii="DengXian" w:hAnsi="DengXian" w:eastAsia="DengXian"/>
        </w:rPr>
      </w:pPr>
      <w:r>
        <w:fldChar w:fldCharType="begin"/>
      </w:r>
      <w:r>
        <w:instrText xml:space="preserve"> HYPERLINK \l "_Toc516005305" </w:instrText>
      </w:r>
      <w:r>
        <w:fldChar w:fldCharType="separate"/>
      </w:r>
      <w:r>
        <w:rPr>
          <w:rStyle w:val="16"/>
          <w:rFonts w:ascii="微软雅黑" w:hAnsi="微软雅黑" w:cs="微软雅黑"/>
        </w:rPr>
        <w:t>7.</w:t>
      </w:r>
      <w:r>
        <w:rPr>
          <w:rFonts w:ascii="DengXian" w:hAnsi="DengXian" w:eastAsia="DengXian"/>
        </w:rPr>
        <w:tab/>
      </w:r>
      <w:r>
        <w:rPr>
          <w:rStyle w:val="16"/>
          <w:rFonts w:ascii="微软雅黑" w:hAnsi="微软雅黑" w:cs="微软雅黑"/>
        </w:rPr>
        <w:t>全球分布式项目开发</w:t>
      </w:r>
      <w:r>
        <w:tab/>
      </w:r>
      <w:r>
        <w:fldChar w:fldCharType="begin"/>
      </w:r>
      <w:r>
        <w:instrText xml:space="preserve"> PAGEREF _Toc516005305 \h </w:instrText>
      </w:r>
      <w:r>
        <w:fldChar w:fldCharType="separate"/>
      </w:r>
      <w:r>
        <w:t>16</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"_Toc516005306" </w:instrText>
      </w:r>
      <w:r>
        <w:fldChar w:fldCharType="separate"/>
      </w:r>
      <w:r>
        <w:rPr>
          <w:rStyle w:val="16"/>
          <w:rFonts w:ascii="微软雅黑" w:hAnsi="微软雅黑" w:cs="微软雅黑"/>
          <w:kern w:val="0"/>
        </w:rPr>
        <w:t>四、代币发行计划</w:t>
      </w:r>
      <w:r>
        <w:tab/>
      </w:r>
      <w:r>
        <w:fldChar w:fldCharType="begin"/>
      </w:r>
      <w:r>
        <w:instrText xml:space="preserve"> PAGEREF _Toc516005306 \h </w:instrText>
      </w:r>
      <w:r>
        <w:fldChar w:fldCharType="separate"/>
      </w:r>
      <w:r>
        <w:t>16</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"_Toc516005307" </w:instrText>
      </w:r>
      <w:r>
        <w:fldChar w:fldCharType="separate"/>
      </w:r>
      <w:r>
        <w:rPr>
          <w:rStyle w:val="16"/>
          <w:rFonts w:ascii="微软雅黑" w:hAnsi="微软雅黑" w:cs="微软雅黑"/>
        </w:rPr>
        <w:t>五、团队介绍</w:t>
      </w:r>
      <w:r>
        <w:tab/>
      </w:r>
      <w:r>
        <w:fldChar w:fldCharType="begin"/>
      </w:r>
      <w:r>
        <w:instrText xml:space="preserve"> PAGEREF _Toc516005307 \h </w:instrText>
      </w:r>
      <w:r>
        <w:fldChar w:fldCharType="separate"/>
      </w:r>
      <w:r>
        <w:t>17</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"_Toc516005308" </w:instrText>
      </w:r>
      <w:r>
        <w:fldChar w:fldCharType="separate"/>
      </w:r>
      <w:r>
        <w:rPr>
          <w:rStyle w:val="16"/>
          <w:rFonts w:ascii="微软雅黑" w:hAnsi="微软雅黑" w:cs="微软雅黑"/>
          <w:kern w:val="0"/>
        </w:rPr>
        <w:t>六、风险控制</w:t>
      </w:r>
      <w:r>
        <w:tab/>
      </w:r>
      <w:r>
        <w:fldChar w:fldCharType="begin"/>
      </w:r>
      <w:r>
        <w:instrText xml:space="preserve"> PAGEREF _Toc516005308 \h </w:instrText>
      </w:r>
      <w:r>
        <w:fldChar w:fldCharType="separate"/>
      </w:r>
      <w:r>
        <w:t>27</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"_Toc516005309" </w:instrText>
      </w:r>
      <w:r>
        <w:fldChar w:fldCharType="separate"/>
      </w:r>
      <w:r>
        <w:rPr>
          <w:rStyle w:val="16"/>
          <w:rFonts w:ascii="微软雅黑" w:hAnsi="微软雅黑" w:cs="微软雅黑"/>
          <w:kern w:val="0"/>
        </w:rPr>
        <w:t>1、 Internet FinTech（IFT）的治理机制</w:t>
      </w:r>
      <w:r>
        <w:tab/>
      </w:r>
      <w:r>
        <w:fldChar w:fldCharType="begin"/>
      </w:r>
      <w:r>
        <w:instrText xml:space="preserve"> PAGEREF _Toc516005309 \h </w:instrText>
      </w:r>
      <w:r>
        <w:fldChar w:fldCharType="separate"/>
      </w:r>
      <w:r>
        <w:t>27</w:t>
      </w:r>
      <w:r>
        <w:fldChar w:fldCharType="end"/>
      </w:r>
      <w:r>
        <w:fldChar w:fldCharType="end"/>
      </w:r>
    </w:p>
    <w:p>
      <w:pPr>
        <w:pStyle w:val="12"/>
        <w:tabs>
          <w:tab w:val="right" w:leader="dot" w:pos="8296"/>
        </w:tabs>
        <w:rPr>
          <w:rFonts w:ascii="DengXian" w:hAnsi="DengXian" w:eastAsia="DengXian"/>
        </w:rPr>
      </w:pPr>
      <w:r>
        <w:fldChar w:fldCharType="begin"/>
      </w:r>
      <w:r>
        <w:instrText xml:space="preserve"> HYPERLINK \l "_Toc516005310" </w:instrText>
      </w:r>
      <w:r>
        <w:fldChar w:fldCharType="separate"/>
      </w:r>
      <w:r>
        <w:rPr>
          <w:rStyle w:val="16"/>
          <w:rFonts w:ascii="微软雅黑" w:hAnsi="微软雅黑" w:cs="微软雅黑"/>
        </w:rPr>
        <w:t>2、审计</w:t>
      </w:r>
      <w:r>
        <w:tab/>
      </w:r>
      <w:r>
        <w:fldChar w:fldCharType="begin"/>
      </w:r>
      <w:r>
        <w:instrText xml:space="preserve"> PAGEREF _Toc516005310 \h </w:instrText>
      </w:r>
      <w:r>
        <w:fldChar w:fldCharType="separate"/>
      </w:r>
      <w:r>
        <w:t>28</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"_Toc516005311" </w:instrText>
      </w:r>
      <w:r>
        <w:fldChar w:fldCharType="separate"/>
      </w:r>
      <w:r>
        <w:rPr>
          <w:rStyle w:val="16"/>
          <w:rFonts w:ascii="微软雅黑" w:hAnsi="微软雅黑" w:cs="微软雅黑"/>
        </w:rPr>
        <w:t>七、项目规划</w:t>
      </w:r>
      <w:r>
        <w:tab/>
      </w:r>
      <w:r>
        <w:fldChar w:fldCharType="begin"/>
      </w:r>
      <w:r>
        <w:instrText xml:space="preserve"> PAGEREF _Toc516005311 \h </w:instrText>
      </w:r>
      <w:r>
        <w:fldChar w:fldCharType="separate"/>
      </w:r>
      <w:r>
        <w:t>29</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"_Toc516005312" </w:instrText>
      </w:r>
      <w:r>
        <w:fldChar w:fldCharType="separate"/>
      </w:r>
      <w:r>
        <w:rPr>
          <w:rStyle w:val="16"/>
          <w:rFonts w:ascii="微软雅黑" w:hAnsi="微软雅黑" w:cs="微软雅黑"/>
          <w:kern w:val="0"/>
        </w:rPr>
        <w:t>八、法律事务及风险声明</w:t>
      </w:r>
      <w:r>
        <w:tab/>
      </w:r>
      <w:r>
        <w:fldChar w:fldCharType="begin"/>
      </w:r>
      <w:r>
        <w:instrText xml:space="preserve"> PAGEREF _Toc516005312 \h </w:instrText>
      </w:r>
      <w:r>
        <w:fldChar w:fldCharType="separate"/>
      </w:r>
      <w:r>
        <w:t>29</w:t>
      </w:r>
      <w:r>
        <w:fldChar w:fldCharType="end"/>
      </w:r>
      <w:r>
        <w:fldChar w:fldCharType="end"/>
      </w:r>
    </w:p>
    <w:p>
      <w:pPr>
        <w:pStyle w:val="10"/>
        <w:tabs>
          <w:tab w:val="right" w:leader="dot" w:pos="8296"/>
        </w:tabs>
        <w:rPr>
          <w:rFonts w:ascii="DengXian" w:hAnsi="DengXian" w:eastAsia="DengXian"/>
        </w:rPr>
      </w:pPr>
      <w:r>
        <w:fldChar w:fldCharType="begin"/>
      </w:r>
      <w:r>
        <w:instrText xml:space="preserve"> HYPERLINK \l "_Toc516005313" </w:instrText>
      </w:r>
      <w:r>
        <w:fldChar w:fldCharType="separate"/>
      </w:r>
      <w:r>
        <w:rPr>
          <w:rStyle w:val="16"/>
          <w:rFonts w:ascii="微软雅黑" w:hAnsi="微软雅黑" w:cs="微软雅黑"/>
          <w:kern w:val="0"/>
        </w:rPr>
        <w:t>九、联系我们</w:t>
      </w:r>
      <w:r>
        <w:tab/>
      </w:r>
      <w:r>
        <w:fldChar w:fldCharType="begin"/>
      </w:r>
      <w:r>
        <w:instrText xml:space="preserve"> PAGEREF _Toc516005313 \h </w:instrText>
      </w:r>
      <w:r>
        <w:fldChar w:fldCharType="separate"/>
      </w:r>
      <w:r>
        <w:t>31</w:t>
      </w:r>
      <w:r>
        <w:fldChar w:fldCharType="end"/>
      </w:r>
      <w:r>
        <w:fldChar w:fldCharType="end"/>
      </w:r>
    </w:p>
    <w:p>
      <w:r>
        <w:rPr>
          <w:b/>
          <w:bCs/>
          <w:lang w:val="zh-CN"/>
        </w:rPr>
        <w:fldChar w:fldCharType="end"/>
      </w: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pStyle w:val="2"/>
        <w:rPr>
          <w:rFonts w:ascii="微软雅黑" w:hAnsi="微软雅黑" w:eastAsia="微软雅黑" w:cs="微软雅黑"/>
          <w:szCs w:val="24"/>
          <w:shd w:val="clear" w:color="auto" w:fill="FFFFFF"/>
        </w:rPr>
      </w:pPr>
      <w:bookmarkStart w:id="0" w:name="_Toc516005284"/>
      <w:bookmarkStart w:id="1" w:name="_Toc22927"/>
      <w:r>
        <w:rPr>
          <w:rFonts w:hint="eastAsia" w:ascii="微软雅黑" w:hAnsi="微软雅黑" w:eastAsia="微软雅黑" w:cs="微软雅黑"/>
          <w:szCs w:val="24"/>
          <w:shd w:val="clear" w:color="auto" w:fill="FFFFFF"/>
        </w:rPr>
        <w:t>一、项目介绍</w:t>
      </w:r>
      <w:bookmarkEnd w:id="0"/>
    </w:p>
    <w:p>
      <w:pPr>
        <w:pStyle w:val="3"/>
        <w:rPr>
          <w:rFonts w:ascii="微软雅黑" w:hAnsi="微软雅黑" w:cs="微软雅黑"/>
          <w:b w:val="0"/>
          <w:bCs w:val="0"/>
          <w:sz w:val="24"/>
          <w:szCs w:val="24"/>
        </w:rPr>
      </w:pPr>
      <w:bookmarkStart w:id="2" w:name="_Toc516005285"/>
      <w:r>
        <w:rPr>
          <w:rFonts w:hint="eastAsia" w:ascii="微软雅黑" w:hAnsi="微软雅黑" w:cs="微软雅黑"/>
          <w:b w:val="0"/>
          <w:bCs w:val="0"/>
          <w:sz w:val="24"/>
          <w:szCs w:val="24"/>
        </w:rPr>
        <w:t>1、项目背景</w:t>
      </w:r>
      <w:bookmarkEnd w:id="2"/>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区块链是一种新兴技术模式，因其通过分布式数据存储、点对点传输、共识机制、加密算法等技术的集成，从而构建可信交易环境，打造可信社会</w:t>
      </w:r>
      <w:r>
        <w:rPr>
          <w:rFonts w:ascii="微软雅黑" w:hAnsi="微软雅黑" w:cs="微软雅黑"/>
          <w:color w:val="404040"/>
          <w:sz w:val="24"/>
          <w:szCs w:val="24"/>
        </w:rPr>
        <w:t>。</w:t>
      </w:r>
      <w:r>
        <w:rPr>
          <w:rFonts w:hint="eastAsia" w:ascii="微软雅黑" w:hAnsi="微软雅黑" w:cs="微软雅黑"/>
          <w:color w:val="404040"/>
          <w:sz w:val="24"/>
          <w:szCs w:val="24"/>
        </w:rPr>
        <w:t>区块链的应用已由开始的金融延伸到物联网、智能制造、供应链管理、数据存证及交易等多个领域，将为云计算、大数据、承载网络等新一代信息技术的发展带来新的机遇，其构建的可信机制，将改变当前社会商业模式，从而引发新一轮的技术创新和产业变革。</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在此期间，出现了后来被广泛讨论的案列——以太坊(Ethereum): 即下一代智能合约和去中心化应用平台，它允许任何人在平台中建立和使用通过区块链技术运行的去中心化应用。但由于现有的以太坊(Ethereum)块链平台使用费高昂、性能有限、垂直行业及担保支付应用的局限性，极大地阻碍了区块链应用的广泛传播。2017年由EOS团队提出的DPOS架构平台声称解决了Ethereum块链平台使用费高昂、性能有限的问题，我们拭目以待其在技术上的创新与突破，并为未来的项目提供更优质的平台架构以及为商业的变革提供新的途径。</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Internet FinTech（IFT）团队前身一直服务于银行业的金融科技创新，主导了以支付结算系统为核心的银行支付结算体系及账户体系的开发和维护，截至目前拥有20家银行、超1000家渠道及100万+商户、2亿消费用户的基础。IFT团队在整个金融市场的研究中发现，区块链技术和Token的应用将会在整个消费市场的金融科技领域出现突破性创新，因此，IFT团队在Ethereum及EOS的基础上建立了一个可以应用于垂直领域的基础链底层平台即Internet FinTech（IFT）。</w:t>
      </w:r>
    </w:p>
    <w:p>
      <w:pPr>
        <w:pStyle w:val="3"/>
        <w:rPr>
          <w:rFonts w:ascii="微软雅黑" w:hAnsi="微软雅黑" w:cs="微软雅黑"/>
          <w:b w:val="0"/>
          <w:color w:val="404040"/>
          <w:sz w:val="24"/>
          <w:szCs w:val="24"/>
        </w:rPr>
      </w:pPr>
      <w:bookmarkStart w:id="3" w:name="_Toc516005286"/>
      <w:r>
        <w:rPr>
          <w:rFonts w:hint="eastAsia" w:ascii="微软雅黑" w:hAnsi="微软雅黑" w:cs="微软雅黑"/>
          <w:b w:val="0"/>
          <w:sz w:val="24"/>
          <w:szCs w:val="24"/>
        </w:rPr>
        <w:t>2、项目亮点</w:t>
      </w:r>
      <w:bookmarkEnd w:id="3"/>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IFT的推出将会通过以下四种设计方案让区块链技术更贴近商业：</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A、利用区块链独特的应用模式，灵活实施加密数字子货币的发行；</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B、</w:t>
      </w:r>
      <w:r>
        <w:rPr>
          <w:rFonts w:hint="eastAsia" w:ascii="微软雅黑" w:hAnsi="微软雅黑" w:cs="微软雅黑"/>
          <w:color w:val="404040"/>
          <w:kern w:val="0"/>
          <w:sz w:val="24"/>
          <w:szCs w:val="24"/>
        </w:rPr>
        <w:t>IFT的支付交易结算系统采用状态机副本复制算法超级账本PBFT，</w:t>
      </w:r>
      <w:r>
        <w:rPr>
          <w:rFonts w:hint="eastAsia" w:ascii="微软雅黑" w:hAnsi="微软雅黑" w:cs="微软雅黑"/>
          <w:color w:val="404040"/>
          <w:sz w:val="24"/>
          <w:szCs w:val="24"/>
        </w:rPr>
        <w:t>打造支付交易结算系统以实现消费者、商户、商业机构之间金融生态循环系统建设；</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C、高性能、高安全性</w:t>
      </w:r>
      <w:r>
        <w:rPr>
          <w:rFonts w:hint="eastAsia" w:ascii="微软雅黑" w:hAnsi="微软雅黑" w:cs="微软雅黑"/>
          <w:color w:val="404040"/>
          <w:kern w:val="0"/>
          <w:sz w:val="24"/>
          <w:szCs w:val="24"/>
        </w:rPr>
        <w:t>的账户体系，帮助</w:t>
      </w:r>
      <w:r>
        <w:rPr>
          <w:rFonts w:hint="eastAsia" w:ascii="微软雅黑" w:hAnsi="微软雅黑" w:cs="微软雅黑"/>
          <w:color w:val="404040"/>
          <w:sz w:val="24"/>
          <w:szCs w:val="24"/>
        </w:rPr>
        <w:t>实现记录、支付消费或转入转出自己的数字货币资产的账户体系；</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D、</w:t>
      </w:r>
      <w:r>
        <w:rPr>
          <w:rFonts w:hint="eastAsia" w:ascii="微软雅黑" w:hAnsi="微软雅黑" w:cs="微软雅黑"/>
          <w:color w:val="404040"/>
          <w:kern w:val="0"/>
          <w:sz w:val="24"/>
          <w:szCs w:val="24"/>
        </w:rPr>
        <w:t>IFT将会打破现有的中心化数字资产交易所独揽大权的局面，实现真正意义上的交易撮合环节，</w:t>
      </w:r>
      <w:r>
        <w:rPr>
          <w:rFonts w:hint="eastAsia" w:ascii="微软雅黑" w:hAnsi="微软雅黑" w:cs="微软雅黑"/>
          <w:color w:val="404040"/>
          <w:sz w:val="24"/>
          <w:szCs w:val="24"/>
        </w:rPr>
        <w:t>支持所有商业机构、行业组织以最低成本创建开发维护属于自己的去中心化数字资产交易所。</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t>通过对智能合约和加密货币交易的实际应用进行标准化，使得日常用户能够流畅地体验分布式账本技术。同样地，通过展示区块链技术在各个垂直领域的实际应用，我们希望能拓宽大众对区块链技术及其潜在应用的理解，帮助各个商业机构、行业组织重构自己的商业体系。</w:t>
      </w:r>
    </w:p>
    <w:p>
      <w:pPr>
        <w:rPr>
          <w:rFonts w:ascii="微软雅黑" w:hAnsi="微软雅黑" w:cs="微软雅黑"/>
          <w:color w:val="404040"/>
          <w:sz w:val="24"/>
          <w:szCs w:val="24"/>
        </w:rPr>
      </w:pPr>
    </w:p>
    <w:p>
      <w:pPr>
        <w:pStyle w:val="3"/>
        <w:rPr>
          <w:rFonts w:ascii="微软雅黑" w:hAnsi="微软雅黑" w:cs="微软雅黑"/>
          <w:b w:val="0"/>
          <w:color w:val="404040"/>
          <w:sz w:val="24"/>
          <w:szCs w:val="24"/>
        </w:rPr>
      </w:pPr>
      <w:bookmarkStart w:id="4" w:name="_Toc516005287"/>
      <w:r>
        <w:rPr>
          <w:rFonts w:hint="eastAsia" w:ascii="微软雅黑" w:hAnsi="微软雅黑" w:cs="微软雅黑"/>
          <w:b w:val="0"/>
          <w:color w:val="404040"/>
          <w:sz w:val="24"/>
          <w:szCs w:val="24"/>
        </w:rPr>
        <w:t>3、项目愿景</w:t>
      </w:r>
      <w:bookmarkEnd w:id="4"/>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微软雅黑" w:hAnsi="微软雅黑" w:cs="微软雅黑"/>
          <w:color w:val="404040"/>
          <w:sz w:val="24"/>
          <w:szCs w:val="24"/>
        </w:rPr>
      </w:pPr>
      <w:r>
        <w:rPr>
          <w:rFonts w:ascii="微软雅黑" w:hAnsi="微软雅黑" w:cs="微软雅黑"/>
          <w:color w:val="404040"/>
          <w:sz w:val="24"/>
          <w:szCs w:val="24"/>
        </w:rPr>
        <w:t>商业的本质是交换，即人与人之间的交易，随着互联网的迅猛发展，各种线上交易形式逐渐成为主流，但网络交易行为具有交易成本低、交易方式多样化、交易环境虚拟化、交易行为瞬时性、隐蔽性等特点，全球各地的信任危机发生频次上升，去年包括亚马逊、Facebook、微软等巨头在内的多家品牌爆发信任危机，导致整个社会的交易成本在极速提升，警示着消费者对商家的信任正在变弱。此外，中小企业融资难的问题始终未得到有效解决，创业者们因缺乏银行认可的抵押物，无法利用各类直接融资产品，时常陷入资金链断裂的险境。</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微软雅黑" w:hAnsi="微软雅黑" w:cs="微软雅黑"/>
          <w:color w:val="404040"/>
          <w:sz w:val="24"/>
          <w:szCs w:val="24"/>
        </w:rPr>
      </w:pPr>
      <w:r>
        <w:rPr>
          <w:rFonts w:ascii="微软雅黑" w:hAnsi="微软雅黑" w:cs="微软雅黑"/>
          <w:color w:val="404040"/>
          <w:sz w:val="24"/>
          <w:szCs w:val="24"/>
        </w:rPr>
        <w:t xml:space="preserve"> </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微软雅黑" w:hAnsi="微软雅黑" w:cs="微软雅黑"/>
          <w:color w:val="404040"/>
          <w:sz w:val="24"/>
          <w:szCs w:val="24"/>
        </w:rPr>
      </w:pPr>
      <w:r>
        <w:rPr>
          <w:rFonts w:ascii="微软雅黑" w:hAnsi="微软雅黑" w:cs="微软雅黑"/>
          <w:color w:val="404040"/>
          <w:sz w:val="24"/>
          <w:szCs w:val="24"/>
        </w:rPr>
        <w:t>商业的革新已刻不容缓，而这也是我们的愿景：</w:t>
      </w:r>
    </w:p>
    <w:p>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ascii="微软雅黑" w:hAnsi="微软雅黑" w:cs="微软雅黑"/>
          <w:color w:val="404040"/>
          <w:sz w:val="24"/>
          <w:szCs w:val="24"/>
        </w:rPr>
      </w:pPr>
      <w:r>
        <w:rPr>
          <w:rFonts w:ascii="微软雅黑" w:hAnsi="微软雅黑" w:cs="微软雅黑"/>
          <w:color w:val="404040"/>
          <w:sz w:val="24"/>
          <w:szCs w:val="24"/>
        </w:rPr>
        <w:t>为了重建消费者与商家之间的信任，推动融资模式改革，重</w:t>
      </w:r>
      <w:r>
        <w:rPr>
          <w:rFonts w:hint="eastAsia" w:ascii="微软雅黑" w:hAnsi="微软雅黑" w:cs="微软雅黑"/>
          <w:color w:val="404040"/>
          <w:sz w:val="24"/>
          <w:szCs w:val="24"/>
        </w:rPr>
        <w:t>构</w:t>
      </w:r>
      <w:r>
        <w:rPr>
          <w:rFonts w:ascii="微软雅黑" w:hAnsi="微软雅黑" w:cs="微软雅黑"/>
          <w:color w:val="404040"/>
          <w:sz w:val="24"/>
          <w:szCs w:val="24"/>
        </w:rPr>
        <w:t>全球商业，我们向全球用户推出——IFT（Internet FinTech），基于区块链技术的全球支付交易结算平台。</w:t>
      </w:r>
    </w:p>
    <w:p>
      <w:pPr>
        <w:rPr>
          <w:rFonts w:ascii="微软雅黑" w:hAnsi="微软雅黑" w:cs="微软雅黑"/>
          <w:color w:val="404040"/>
          <w:sz w:val="24"/>
          <w:szCs w:val="24"/>
        </w:rPr>
      </w:pPr>
    </w:p>
    <w:p>
      <w:pPr>
        <w:rPr>
          <w:rFonts w:ascii="微软雅黑" w:hAnsi="微软雅黑" w:cs="微软雅黑"/>
          <w:color w:val="404040"/>
          <w:sz w:val="24"/>
          <w:szCs w:val="24"/>
        </w:rPr>
      </w:pPr>
      <w:r>
        <w:rPr>
          <w:rFonts w:hint="eastAsia" w:ascii="微软雅黑" w:hAnsi="微软雅黑" w:cs="微软雅黑"/>
          <w:color w:val="404040"/>
          <w:sz w:val="24"/>
          <w:szCs w:val="24"/>
        </w:rPr>
        <w:t>通过IFT，我们规划了针对区块链技术的未来愿景。我们相信区块链技术将会对现实生活的很多方面产生根本性影响，包括从商业到数据存储以及其他事情。基于这一点，我们认为针对区块链/分布式账本技术制定健壮的和开放的标准是必要的，因为这能推动区块链技术在主流商业化领域得到应用，我们希望IFT是一张空白的帆布，任何个人、商业机构、行业组织可以在上面创建任何区块链应用。IFT协议的目的是重构世界商业体系，以使其核心特征能够以任意方式结合。理想状态下，IFT上的数据采集和处理程序会利用IFT区块链来建立解决方案，这些解决方案将依靠去中心化的一致性提供以往无法实现的新产品和服务。</w:t>
      </w:r>
    </w:p>
    <w:p>
      <w:pPr>
        <w:rPr>
          <w:rFonts w:ascii="微软雅黑" w:hAnsi="微软雅黑" w:cs="微软雅黑"/>
          <w:color w:val="404040"/>
          <w:sz w:val="24"/>
          <w:szCs w:val="24"/>
        </w:rPr>
      </w:pPr>
    </w:p>
    <w:p/>
    <w:p>
      <w:pPr>
        <w:pStyle w:val="3"/>
        <w:rPr>
          <w:rFonts w:ascii="微软雅黑" w:hAnsi="微软雅黑" w:cs="微软雅黑"/>
          <w:b w:val="0"/>
          <w:sz w:val="24"/>
          <w:szCs w:val="24"/>
          <w:shd w:val="clear" w:color="auto" w:fill="FFFFFF"/>
        </w:rPr>
      </w:pPr>
      <w:bookmarkStart w:id="5" w:name="_Toc516005288"/>
      <w:r>
        <w:rPr>
          <w:rFonts w:hint="eastAsia" w:ascii="微软雅黑" w:hAnsi="微软雅黑" w:cs="微软雅黑"/>
          <w:b w:val="0"/>
          <w:sz w:val="24"/>
          <w:szCs w:val="24"/>
          <w:shd w:val="clear" w:color="auto" w:fill="FFFFFF"/>
        </w:rPr>
        <w:t>4、智能合约</w:t>
      </w:r>
      <w:bookmarkEnd w:id="5"/>
    </w:p>
    <w:p>
      <w:pPr>
        <w:rPr>
          <w:rFonts w:ascii="微软雅黑" w:hAnsi="微软雅黑" w:cs="微软雅黑"/>
          <w:color w:val="FF0000"/>
          <w:sz w:val="24"/>
          <w:szCs w:val="24"/>
        </w:rPr>
      </w:pPr>
      <w:r>
        <w:rPr>
          <w:rFonts w:hint="eastAsia" w:ascii="Helvetica Neue" w:hAnsi="Helvetica Neue" w:eastAsia="宋体" w:cs="Helvetica Neue"/>
          <w:kern w:val="0"/>
          <w:sz w:val="26"/>
          <w:szCs w:val="26"/>
        </w:rPr>
        <w:t>IFT的</w:t>
      </w:r>
      <w:r>
        <w:rPr>
          <w:rFonts w:ascii="Helvetica Neue" w:hAnsi="Helvetica Neue" w:eastAsia="宋体" w:cs="Helvetica Neue"/>
          <w:kern w:val="0"/>
          <w:sz w:val="26"/>
          <w:szCs w:val="26"/>
        </w:rPr>
        <w:t>智能合约不仅可以发挥智能合约在成本效率方面的优势，而且可以避免恶意行为对合约正常执行的干扰。将智能合约以数字化的形式写入区块链中，由区块链技术的特性保障存储、读取、执行整个过程透明可跟踪、不可攥改。同时，由区块链自带的共识算法构建出一套状态机系统，使得智能合约能够高效地运行。智能合约系统根据事件描述信息中包含的触发条件，当触发条件满足时，从智能合约自动发出预设的数据资源，以及包括触发条件的事件；整个</w:t>
      </w:r>
      <w:r>
        <w:rPr>
          <w:rFonts w:hint="eastAsia" w:ascii="Helvetica Neue" w:hAnsi="Helvetica Neue" w:eastAsia="宋体" w:cs="Helvetica Neue"/>
          <w:kern w:val="0"/>
          <w:sz w:val="26"/>
          <w:szCs w:val="26"/>
        </w:rPr>
        <w:t>IFT</w:t>
      </w:r>
      <w:r>
        <w:rPr>
          <w:rFonts w:ascii="Helvetica Neue" w:hAnsi="Helvetica Neue" w:eastAsia="宋体" w:cs="Helvetica Neue"/>
          <w:kern w:val="0"/>
          <w:sz w:val="26"/>
          <w:szCs w:val="26"/>
        </w:rPr>
        <w:t>智能合约系统的核心就在于智能合约以事务和事件的方式经过智能合约模块的处理，出去还是一组事务和事件；智能合约只是一个事务处理模块和状态机构成的系统，它不产生智能合约，也不会修改智能合约；它的存在只是为了让一组复杂的、带有触发条件的数字化承诺能够按照参与者的意志，正确执行。</w:t>
      </w:r>
    </w:p>
    <w:p>
      <w:pPr>
        <w:rPr>
          <w:rFonts w:ascii="微软雅黑" w:hAnsi="微软雅黑" w:cs="微软雅黑"/>
          <w:color w:val="404040"/>
          <w:sz w:val="24"/>
          <w:szCs w:val="24"/>
        </w:rPr>
      </w:pPr>
    </w:p>
    <w:p>
      <w:pPr>
        <w:rPr>
          <w:rFonts w:ascii="微软雅黑" w:hAnsi="微软雅黑" w:cs="微软雅黑"/>
          <w:b/>
          <w:color w:val="404040"/>
          <w:sz w:val="24"/>
          <w:szCs w:val="24"/>
        </w:rPr>
      </w:pPr>
      <w:r>
        <w:rPr>
          <w:rFonts w:hint="eastAsia" w:ascii="微软雅黑" w:hAnsi="微软雅黑" w:cs="微软雅黑"/>
          <w:b/>
          <w:color w:val="404040"/>
          <w:sz w:val="24"/>
          <w:szCs w:val="24"/>
        </w:rPr>
        <w:t>应用</w:t>
      </w:r>
    </w:p>
    <w:p>
      <w:pPr>
        <w:rPr>
          <w:rFonts w:ascii="微软雅黑" w:hAnsi="微软雅黑" w:cs="微软雅黑"/>
          <w:color w:val="404040"/>
          <w:sz w:val="24"/>
          <w:szCs w:val="24"/>
        </w:rPr>
      </w:pPr>
      <w:r>
        <w:rPr>
          <w:rFonts w:hint="eastAsia" w:ascii="微软雅黑" w:hAnsi="微软雅黑" w:cs="微软雅黑"/>
          <w:color w:val="404040"/>
          <w:sz w:val="24"/>
          <w:szCs w:val="24"/>
        </w:rPr>
        <w:t>这里列举了一些例子，用来展示</w:t>
      </w:r>
      <w:r>
        <w:rPr>
          <w:rFonts w:hint="eastAsia" w:ascii="微软雅黑" w:hAnsi="微软雅黑" w:cs="微软雅黑"/>
          <w:color w:val="404040"/>
          <w:kern w:val="0"/>
          <w:sz w:val="24"/>
          <w:szCs w:val="24"/>
        </w:rPr>
        <w:t>IFT</w:t>
      </w:r>
      <w:r>
        <w:rPr>
          <w:rFonts w:hint="eastAsia" w:ascii="微软雅黑" w:hAnsi="微软雅黑" w:cs="微软雅黑"/>
          <w:color w:val="404040"/>
          <w:sz w:val="24"/>
          <w:szCs w:val="24"/>
        </w:rPr>
        <w:t>合约可以实现些什么，这些代码例子用我们将要发布的类 C 高级语言写成。变量 tx.sender、tx.value、tx.fee、tx.data 和 tx.datan 都是输入交易的属性，变量 contract.storage 和 contract.address 是合约本身的属性，而变量 block.contract_storage、block.account_balance、block.number、block.difficulty、block.parenthash、block.basefee 和 block.timestamp 则是区块的属性。变量 block.basefee 是基准费用，</w:t>
      </w:r>
      <w:r>
        <w:rPr>
          <w:rFonts w:hint="eastAsia" w:ascii="微软雅黑" w:hAnsi="微软雅黑" w:cs="微软雅黑"/>
          <w:color w:val="404040"/>
          <w:kern w:val="0"/>
          <w:sz w:val="24"/>
          <w:szCs w:val="24"/>
        </w:rPr>
        <w:t>IFT</w:t>
      </w:r>
      <w:r>
        <w:rPr>
          <w:rFonts w:hint="eastAsia" w:ascii="微软雅黑" w:hAnsi="微软雅黑" w:cs="微软雅黑"/>
          <w:color w:val="404040"/>
          <w:sz w:val="24"/>
          <w:szCs w:val="24"/>
        </w:rPr>
        <w:t>里面的所有交易费用都是基准费用的整数倍。</w:t>
      </w:r>
    </w:p>
    <w:p>
      <w:pPr>
        <w:rPr>
          <w:rFonts w:ascii="微软雅黑" w:hAnsi="微软雅黑" w:cs="微软雅黑"/>
          <w:sz w:val="24"/>
          <w:szCs w:val="24"/>
          <w:shd w:val="clear" w:color="auto" w:fill="FFFFFF"/>
        </w:rPr>
      </w:pPr>
    </w:p>
    <w:p>
      <w:pPr>
        <w:pStyle w:val="2"/>
        <w:rPr>
          <w:rFonts w:ascii="微软雅黑" w:hAnsi="微软雅黑" w:eastAsia="微软雅黑" w:cs="微软雅黑"/>
          <w:szCs w:val="24"/>
          <w:shd w:val="clear" w:color="auto" w:fill="FFFFFF"/>
        </w:rPr>
      </w:pPr>
      <w:bookmarkStart w:id="6" w:name="_Toc6853_WPSOffice_Level1"/>
      <w:bookmarkStart w:id="7" w:name="_Toc515047620"/>
      <w:bookmarkStart w:id="8" w:name="_Toc18143_WPSOffice_Level1"/>
      <w:bookmarkStart w:id="9" w:name="_Toc20188"/>
      <w:bookmarkStart w:id="10" w:name="_Toc516005289"/>
      <w:r>
        <w:rPr>
          <w:rFonts w:hint="eastAsia" w:ascii="微软雅黑" w:hAnsi="微软雅黑" w:eastAsia="微软雅黑" w:cs="微软雅黑"/>
          <w:szCs w:val="24"/>
          <w:shd w:val="clear" w:color="auto" w:fill="FFFFFF"/>
        </w:rPr>
        <w:t>二、</w:t>
      </w:r>
      <w:bookmarkEnd w:id="6"/>
      <w:bookmarkEnd w:id="7"/>
      <w:bookmarkEnd w:id="8"/>
      <w:bookmarkEnd w:id="9"/>
      <w:r>
        <w:rPr>
          <w:rFonts w:hint="eastAsia" w:ascii="微软雅黑" w:hAnsi="微软雅黑" w:eastAsia="微软雅黑" w:cs="微软雅黑"/>
          <w:szCs w:val="24"/>
          <w:shd w:val="clear" w:color="auto" w:fill="FFFFFF"/>
        </w:rPr>
        <w:t>商业模式</w:t>
      </w:r>
      <w:bookmarkEnd w:id="10"/>
    </w:p>
    <w:p>
      <w:pPr>
        <w:pStyle w:val="3"/>
        <w:rPr>
          <w:rFonts w:ascii="微软雅黑" w:hAnsi="微软雅黑" w:eastAsia="微软雅黑" w:cs="微软雅黑"/>
          <w:sz w:val="24"/>
          <w:szCs w:val="24"/>
        </w:rPr>
      </w:pPr>
      <w:bookmarkStart w:id="11" w:name="_Toc5571_WPSOffice_Level2"/>
      <w:bookmarkStart w:id="12" w:name="_Toc16456"/>
      <w:bookmarkStart w:id="13" w:name="_Toc516005290"/>
      <w:r>
        <w:rPr>
          <w:rFonts w:hint="eastAsia" w:ascii="微软雅黑" w:hAnsi="微软雅黑" w:eastAsia="微软雅黑" w:cs="微软雅黑"/>
          <w:sz w:val="24"/>
          <w:szCs w:val="24"/>
        </w:rPr>
        <w:t>1、</w:t>
      </w:r>
      <w:bookmarkEnd w:id="11"/>
      <w:bookmarkEnd w:id="12"/>
      <w:r>
        <w:rPr>
          <w:rFonts w:hint="eastAsia" w:ascii="微软雅黑" w:hAnsi="微软雅黑" w:eastAsia="微软雅黑" w:cs="微软雅黑"/>
          <w:sz w:val="24"/>
          <w:szCs w:val="24"/>
        </w:rPr>
        <w:t>商业模式</w:t>
      </w:r>
      <w:bookmarkEnd w:id="1"/>
      <w:bookmarkStart w:id="14" w:name="_Toc18089"/>
      <w:bookmarkStart w:id="15" w:name="_Toc19782"/>
      <w:bookmarkStart w:id="16" w:name="_Toc24873"/>
      <w:bookmarkStart w:id="17" w:name="_Toc19624"/>
      <w:bookmarkStart w:id="18" w:name="_Toc1049"/>
      <w:bookmarkStart w:id="19" w:name="_Toc9042"/>
      <w:r>
        <w:rPr>
          <w:rFonts w:hint="eastAsia" w:ascii="微软雅黑" w:hAnsi="微软雅黑" w:eastAsia="微软雅黑" w:cs="微软雅黑"/>
          <w:sz w:val="24"/>
          <w:szCs w:val="24"/>
        </w:rPr>
        <w:t>简介</w:t>
      </w:r>
      <w:bookmarkEnd w:id="13"/>
    </w:p>
    <w:p>
      <w:pPr>
        <w:rPr>
          <w:rFonts w:ascii="微软雅黑" w:hAnsi="微软雅黑" w:cs="微软雅黑"/>
          <w:color w:val="404040"/>
          <w:kern w:val="0"/>
          <w:sz w:val="24"/>
          <w:szCs w:val="24"/>
        </w:rPr>
      </w:pPr>
      <w:r>
        <w:rPr>
          <w:rFonts w:hint="eastAsia" w:ascii="微软雅黑" w:hAnsi="微软雅黑" w:cs="微软雅黑"/>
          <w:color w:val="404040"/>
          <w:kern w:val="0"/>
          <w:sz w:val="24"/>
          <w:szCs w:val="24"/>
        </w:rPr>
        <w:t xml:space="preserve">IFT提供标准的项目底层操作系统，可以作为基础设施，在上面构建各种生态，延伸了各种商业的使用场景，为有需求的商业机构建立基于担保支付的账户体系、加密数字子货币发行、支付交易结算系统及用于去中心化的数字货币交易所开源的代码及实施方案，实现自己的商业模式架构。 </w:t>
      </w:r>
    </w:p>
    <w:p>
      <w:pPr>
        <w:rPr>
          <w:rFonts w:ascii="微软雅黑" w:hAnsi="微软雅黑" w:cs="微软雅黑"/>
          <w:color w:val="404040"/>
          <w:kern w:val="0"/>
          <w:sz w:val="24"/>
          <w:szCs w:val="24"/>
        </w:rPr>
      </w:pPr>
      <w:r>
        <w:rPr>
          <w:rFonts w:ascii="微软雅黑" w:hAnsi="微软雅黑" w:cs="微软雅黑"/>
          <w:color w:val="404040"/>
          <w:kern w:val="0"/>
          <w:sz w:val="24"/>
          <w:szCs w:val="24"/>
        </w:rPr>
        <w:drawing>
          <wp:inline distT="0" distB="0" distL="0" distR="0">
            <wp:extent cx="5270500" cy="290830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2908300"/>
                    </a:xfrm>
                    <a:prstGeom prst="rect">
                      <a:avLst/>
                    </a:prstGeom>
                    <a:noFill/>
                    <a:ln>
                      <a:noFill/>
                    </a:ln>
                  </pic:spPr>
                </pic:pic>
              </a:graphicData>
            </a:graphic>
          </wp:inline>
        </w:drawing>
      </w:r>
    </w:p>
    <w:p>
      <w:pPr>
        <w:rPr>
          <w:rFonts w:ascii="微软雅黑" w:hAnsi="微软雅黑" w:cs="微软雅黑"/>
          <w:color w:val="404040"/>
          <w:kern w:val="0"/>
          <w:sz w:val="24"/>
          <w:szCs w:val="24"/>
        </w:rPr>
      </w:pPr>
      <w:r>
        <w:rPr>
          <w:rFonts w:ascii="微软雅黑" w:hAnsi="微软雅黑" w:cs="微软雅黑"/>
          <w:color w:val="404040"/>
          <w:kern w:val="0"/>
          <w:sz w:val="24"/>
          <w:szCs w:val="24"/>
        </w:rPr>
        <w:drawing>
          <wp:inline distT="0" distB="0" distL="0" distR="0">
            <wp:extent cx="5283200" cy="4711700"/>
            <wp:effectExtent l="0" t="0" r="0" b="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6">
                      <a:extLst>
                        <a:ext uri="{28A0092B-C50C-407E-A947-70E740481C1C}">
                          <a14:useLocalDpi xmlns:a14="http://schemas.microsoft.com/office/drawing/2010/main" val="0"/>
                        </a:ext>
                      </a:extLst>
                    </a:blip>
                    <a:srcRect/>
                    <a:stretch>
                      <a:fillRect/>
                    </a:stretch>
                  </pic:blipFill>
                  <pic:spPr>
                    <a:xfrm>
                      <a:off x="0" y="0"/>
                      <a:ext cx="5283200" cy="4711700"/>
                    </a:xfrm>
                    <a:prstGeom prst="rect">
                      <a:avLst/>
                    </a:prstGeom>
                    <a:noFill/>
                    <a:ln>
                      <a:noFill/>
                    </a:ln>
                  </pic:spPr>
                </pic:pic>
              </a:graphicData>
            </a:graphic>
          </wp:inline>
        </w:drawing>
      </w:r>
    </w:p>
    <w:p>
      <w:pPr>
        <w:pStyle w:val="3"/>
        <w:rPr>
          <w:rFonts w:ascii="微软雅黑" w:hAnsi="微软雅黑" w:eastAsia="微软雅黑" w:cs="微软雅黑"/>
          <w:sz w:val="24"/>
          <w:szCs w:val="24"/>
        </w:rPr>
      </w:pPr>
      <w:bookmarkStart w:id="20" w:name="_Toc4931"/>
      <w:bookmarkStart w:id="21" w:name="_Toc12428_WPSOffice_Level2"/>
      <w:bookmarkStart w:id="22" w:name="_Toc4488"/>
      <w:bookmarkStart w:id="23" w:name="_Toc516005291"/>
      <w:r>
        <w:rPr>
          <w:rFonts w:hint="eastAsia" w:ascii="微软雅黑" w:hAnsi="微软雅黑" w:eastAsia="微软雅黑" w:cs="微软雅黑"/>
          <w:sz w:val="24"/>
          <w:szCs w:val="24"/>
        </w:rPr>
        <w:t>2、</w:t>
      </w:r>
      <w:bookmarkEnd w:id="14"/>
      <w:bookmarkEnd w:id="15"/>
      <w:bookmarkEnd w:id="16"/>
      <w:bookmarkEnd w:id="17"/>
      <w:bookmarkEnd w:id="18"/>
      <w:bookmarkEnd w:id="19"/>
      <w:bookmarkEnd w:id="20"/>
      <w:bookmarkEnd w:id="21"/>
      <w:bookmarkEnd w:id="22"/>
      <w:r>
        <w:rPr>
          <w:rFonts w:hint="eastAsia" w:ascii="微软雅黑" w:hAnsi="微软雅黑" w:eastAsia="微软雅黑" w:cs="微软雅黑"/>
          <w:sz w:val="24"/>
          <w:szCs w:val="24"/>
        </w:rPr>
        <w:t>设计方案</w:t>
      </w:r>
      <w:bookmarkEnd w:id="23"/>
    </w:p>
    <w:p>
      <w:pPr>
        <w:pStyle w:val="4"/>
        <w:rPr>
          <w:rFonts w:ascii="微软雅黑" w:hAnsi="微软雅黑" w:eastAsia="微软雅黑" w:cs="微软雅黑"/>
          <w:sz w:val="24"/>
          <w:szCs w:val="24"/>
        </w:rPr>
      </w:pPr>
      <w:bookmarkStart w:id="24" w:name="_Toc516005292"/>
      <w:bookmarkStart w:id="25" w:name="_Toc4939"/>
      <w:bookmarkStart w:id="26" w:name="_Toc4041"/>
      <w:bookmarkStart w:id="27" w:name="_Toc658"/>
      <w:bookmarkStart w:id="28" w:name="_Toc30399"/>
      <w:bookmarkStart w:id="29" w:name="_Toc9231"/>
      <w:bookmarkStart w:id="30" w:name="_Toc17940"/>
      <w:bookmarkStart w:id="31" w:name="_Toc7123"/>
      <w:bookmarkStart w:id="32" w:name="_Toc10026"/>
      <w:r>
        <w:rPr>
          <w:rFonts w:hint="eastAsia" w:ascii="微软雅黑" w:hAnsi="微软雅黑" w:eastAsia="微软雅黑" w:cs="微软雅黑"/>
          <w:sz w:val="24"/>
          <w:szCs w:val="24"/>
        </w:rPr>
        <w:t>2.1 加密数字子货币发行</w:t>
      </w:r>
      <w:bookmarkEnd w:id="24"/>
      <w:bookmarkEnd w:id="25"/>
      <w:bookmarkEnd w:id="26"/>
      <w:bookmarkEnd w:id="27"/>
      <w:bookmarkEnd w:id="28"/>
      <w:bookmarkEnd w:id="29"/>
      <w:bookmarkEnd w:id="30"/>
      <w:bookmarkEnd w:id="31"/>
      <w:bookmarkEnd w:id="32"/>
    </w:p>
    <w:p>
      <w:pPr>
        <w:widowControl/>
        <w:jc w:val="left"/>
        <w:rPr>
          <w:rFonts w:ascii="微软雅黑" w:hAnsi="微软雅黑" w:cs="微软雅黑"/>
          <w:color w:val="404040"/>
          <w:kern w:val="0"/>
          <w:sz w:val="24"/>
          <w:szCs w:val="24"/>
        </w:rPr>
      </w:pPr>
      <w:bookmarkStart w:id="33" w:name="_Toc27457"/>
      <w:bookmarkStart w:id="34" w:name="_Toc11350"/>
      <w:r>
        <w:rPr>
          <w:rFonts w:ascii="微软雅黑" w:hAnsi="微软雅黑" w:cs="微软雅黑"/>
          <w:color w:val="404040"/>
          <w:kern w:val="0"/>
          <w:sz w:val="24"/>
          <w:szCs w:val="24"/>
        </w:rPr>
        <w:t>首先可以将</w:t>
      </w:r>
      <w:r>
        <w:rPr>
          <w:rFonts w:hint="eastAsia" w:ascii="微软雅黑" w:hAnsi="微软雅黑" w:cs="微软雅黑"/>
          <w:color w:val="404040"/>
          <w:kern w:val="0"/>
          <w:sz w:val="24"/>
          <w:szCs w:val="24"/>
        </w:rPr>
        <w:t>IFT</w:t>
      </w:r>
      <w:r>
        <w:rPr>
          <w:rFonts w:ascii="微软雅黑" w:hAnsi="微软雅黑" w:cs="微软雅黑"/>
          <w:color w:val="404040"/>
          <w:kern w:val="0"/>
          <w:sz w:val="24"/>
          <w:szCs w:val="24"/>
        </w:rPr>
        <w:t>理解成是一个工具，这个工具可以通过抵押</w:t>
      </w:r>
      <w:r>
        <w:rPr>
          <w:rFonts w:hint="eastAsia" w:ascii="微软雅黑" w:hAnsi="微软雅黑" w:cs="微软雅黑"/>
          <w:color w:val="404040"/>
          <w:kern w:val="0"/>
          <w:sz w:val="24"/>
          <w:szCs w:val="24"/>
        </w:rPr>
        <w:t>项目资产</w:t>
      </w:r>
      <w:r>
        <w:rPr>
          <w:rFonts w:ascii="微软雅黑" w:hAnsi="微软雅黑" w:cs="微软雅黑"/>
          <w:color w:val="404040"/>
          <w:kern w:val="0"/>
          <w:sz w:val="24"/>
          <w:szCs w:val="24"/>
        </w:rPr>
        <w:t>和锚定外部资产来预测市场共识价格，</w:t>
      </w:r>
      <w:r>
        <w:rPr>
          <w:rFonts w:hint="eastAsia" w:ascii="微软雅黑" w:hAnsi="微软雅黑" w:cs="微软雅黑"/>
          <w:color w:val="404040"/>
          <w:kern w:val="0"/>
          <w:sz w:val="24"/>
          <w:szCs w:val="24"/>
        </w:rPr>
        <w:t>基于IFT智能合约，商业机构、组织可轻松发行自己的子货币</w:t>
      </w:r>
      <w:r>
        <w:rPr>
          <w:rFonts w:ascii="微软雅黑" w:hAnsi="微软雅黑" w:cs="微软雅黑"/>
          <w:color w:val="404040"/>
          <w:kern w:val="0"/>
          <w:sz w:val="24"/>
          <w:szCs w:val="24"/>
        </w:rPr>
        <w:t>。锚定机制</w:t>
      </w:r>
      <w:r>
        <w:rPr>
          <w:rFonts w:hint="eastAsia" w:ascii="微软雅黑" w:hAnsi="微软雅黑" w:cs="微软雅黑"/>
          <w:color w:val="404040"/>
          <w:kern w:val="0"/>
          <w:sz w:val="24"/>
          <w:szCs w:val="24"/>
        </w:rPr>
        <w:t>通俗一点讲就是</w:t>
      </w:r>
      <w:r>
        <w:rPr>
          <w:rFonts w:ascii="微软雅黑" w:hAnsi="微软雅黑" w:cs="微软雅黑"/>
          <w:color w:val="404040"/>
          <w:kern w:val="0"/>
          <w:sz w:val="24"/>
          <w:szCs w:val="24"/>
        </w:rPr>
        <w:t>通过一些金融衍生品的设计和技术手段使得</w:t>
      </w:r>
      <w:r>
        <w:rPr>
          <w:rFonts w:hint="eastAsia" w:ascii="微软雅黑" w:hAnsi="微软雅黑" w:cs="微软雅黑"/>
          <w:color w:val="404040"/>
          <w:kern w:val="0"/>
          <w:sz w:val="24"/>
          <w:szCs w:val="24"/>
        </w:rPr>
        <w:t>ERC</w:t>
      </w:r>
      <w:r>
        <w:rPr>
          <w:rFonts w:ascii="微软雅黑" w:hAnsi="微软雅黑" w:cs="微软雅黑"/>
          <w:color w:val="404040"/>
          <w:kern w:val="0"/>
          <w:sz w:val="24"/>
          <w:szCs w:val="24"/>
        </w:rPr>
        <w:t>资产通过抵押</w:t>
      </w:r>
      <w:r>
        <w:rPr>
          <w:rFonts w:hint="eastAsia" w:ascii="微软雅黑" w:hAnsi="微软雅黑" w:cs="微软雅黑"/>
          <w:color w:val="404040"/>
          <w:kern w:val="0"/>
          <w:sz w:val="24"/>
          <w:szCs w:val="24"/>
        </w:rPr>
        <w:t>项目</w:t>
      </w:r>
      <w:r>
        <w:rPr>
          <w:rFonts w:ascii="微软雅黑" w:hAnsi="微软雅黑" w:cs="微软雅黑"/>
          <w:color w:val="404040"/>
          <w:kern w:val="0"/>
          <w:sz w:val="24"/>
          <w:szCs w:val="24"/>
        </w:rPr>
        <w:t>发行的资产</w:t>
      </w:r>
      <w:r>
        <w:rPr>
          <w:rFonts w:hint="eastAsia" w:ascii="微软雅黑" w:hAnsi="微软雅黑" w:cs="微软雅黑"/>
          <w:color w:val="404040"/>
          <w:kern w:val="0"/>
          <w:sz w:val="24"/>
          <w:szCs w:val="24"/>
        </w:rPr>
        <w:t>如</w:t>
      </w:r>
      <w:r>
        <w:rPr>
          <w:rFonts w:ascii="微软雅黑" w:hAnsi="微软雅黑" w:cs="微软雅黑"/>
          <w:color w:val="404040"/>
          <w:kern w:val="0"/>
          <w:sz w:val="24"/>
          <w:szCs w:val="24"/>
        </w:rPr>
        <w:t>真实</w:t>
      </w:r>
      <w:r>
        <w:rPr>
          <w:rFonts w:hint="eastAsia" w:ascii="微软雅黑" w:hAnsi="微软雅黑" w:cs="微软雅黑"/>
          <w:color w:val="404040"/>
          <w:kern w:val="0"/>
          <w:sz w:val="24"/>
          <w:szCs w:val="24"/>
        </w:rPr>
        <w:t>子</w:t>
      </w:r>
      <w:r>
        <w:rPr>
          <w:rFonts w:ascii="微软雅黑" w:hAnsi="微软雅黑" w:cs="微软雅黑"/>
          <w:color w:val="404040"/>
          <w:kern w:val="0"/>
          <w:sz w:val="24"/>
          <w:szCs w:val="24"/>
        </w:rPr>
        <w:t>货币</w:t>
      </w:r>
      <w:r>
        <w:rPr>
          <w:rFonts w:hint="eastAsia" w:ascii="微软雅黑" w:hAnsi="微软雅黑" w:cs="微软雅黑"/>
          <w:color w:val="404040"/>
          <w:kern w:val="0"/>
          <w:sz w:val="24"/>
          <w:szCs w:val="24"/>
        </w:rPr>
        <w:t>的价</w:t>
      </w:r>
      <w:r>
        <w:rPr>
          <w:rFonts w:ascii="微软雅黑" w:hAnsi="微软雅黑" w:cs="微软雅黑"/>
          <w:color w:val="404040"/>
          <w:kern w:val="0"/>
          <w:sz w:val="24"/>
          <w:szCs w:val="24"/>
        </w:rPr>
        <w:t>值趋于一致。通过一个数字公共总账便能够成立相对应的分布式自治公司，</w:t>
      </w:r>
      <w:r>
        <w:rPr>
          <w:rFonts w:hint="eastAsia" w:ascii="微软雅黑" w:hAnsi="微软雅黑" w:cs="微软雅黑"/>
          <w:color w:val="404040"/>
          <w:kern w:val="0"/>
          <w:sz w:val="24"/>
          <w:szCs w:val="24"/>
        </w:rPr>
        <w:t>基于IFT</w:t>
      </w:r>
      <w:r>
        <w:rPr>
          <w:rFonts w:ascii="微软雅黑" w:hAnsi="微软雅黑" w:cs="微软雅黑"/>
          <w:color w:val="404040"/>
          <w:kern w:val="0"/>
          <w:sz w:val="24"/>
          <w:szCs w:val="24"/>
        </w:rPr>
        <w:t>发</w:t>
      </w:r>
      <w:r>
        <w:rPr>
          <w:rFonts w:hint="eastAsia" w:ascii="微软雅黑" w:hAnsi="微软雅黑" w:cs="微软雅黑"/>
          <w:color w:val="404040"/>
          <w:kern w:val="0"/>
          <w:sz w:val="24"/>
          <w:szCs w:val="24"/>
        </w:rPr>
        <w:t>行的</w:t>
      </w:r>
      <w:r>
        <w:rPr>
          <w:rFonts w:ascii="微软雅黑" w:hAnsi="微软雅黑" w:cs="微软雅黑"/>
          <w:color w:val="404040"/>
          <w:kern w:val="0"/>
          <w:sz w:val="24"/>
          <w:szCs w:val="24"/>
        </w:rPr>
        <w:t>很多</w:t>
      </w:r>
      <w:r>
        <w:rPr>
          <w:rFonts w:hint="eastAsia" w:ascii="微软雅黑" w:hAnsi="微软雅黑" w:cs="微软雅黑"/>
          <w:color w:val="404040"/>
          <w:kern w:val="0"/>
          <w:sz w:val="24"/>
          <w:szCs w:val="24"/>
        </w:rPr>
        <w:t>具有特殊目的的高</w:t>
      </w:r>
      <w:r>
        <w:rPr>
          <w:rFonts w:ascii="微软雅黑" w:hAnsi="微软雅黑" w:cs="微软雅黑"/>
          <w:color w:val="404040"/>
          <w:kern w:val="0"/>
          <w:sz w:val="24"/>
          <w:szCs w:val="24"/>
        </w:rPr>
        <w:t>级</w:t>
      </w:r>
      <w:r>
        <w:rPr>
          <w:rFonts w:hint="eastAsia" w:ascii="微软雅黑" w:hAnsi="微软雅黑" w:cs="微软雅黑"/>
          <w:color w:val="404040"/>
          <w:kern w:val="0"/>
          <w:sz w:val="24"/>
          <w:szCs w:val="24"/>
        </w:rPr>
        <w:t>金融</w:t>
      </w:r>
      <w:r>
        <w:rPr>
          <w:rFonts w:ascii="微软雅黑" w:hAnsi="微软雅黑" w:cs="微软雅黑"/>
          <w:color w:val="404040"/>
          <w:kern w:val="0"/>
          <w:sz w:val="24"/>
          <w:szCs w:val="24"/>
        </w:rPr>
        <w:t>协议</w:t>
      </w:r>
      <w:r>
        <w:rPr>
          <w:rFonts w:hint="eastAsia" w:ascii="微软雅黑" w:hAnsi="微软雅黑" w:cs="微软雅黑"/>
          <w:color w:val="404040"/>
          <w:kern w:val="0"/>
          <w:sz w:val="24"/>
          <w:szCs w:val="24"/>
        </w:rPr>
        <w:t>，它</w:t>
      </w:r>
      <w:r>
        <w:rPr>
          <w:rFonts w:ascii="微软雅黑" w:hAnsi="微软雅黑" w:cs="微软雅黑"/>
          <w:color w:val="404040"/>
          <w:kern w:val="0"/>
          <w:sz w:val="24"/>
          <w:szCs w:val="24"/>
        </w:rPr>
        <w:t>们</w:t>
      </w:r>
      <w:r>
        <w:rPr>
          <w:rFonts w:hint="eastAsia" w:ascii="微软雅黑" w:hAnsi="微软雅黑" w:cs="微软雅黑"/>
          <w:color w:val="404040"/>
          <w:kern w:val="0"/>
          <w:sz w:val="24"/>
          <w:szCs w:val="24"/>
        </w:rPr>
        <w:t>想</w:t>
      </w:r>
      <w:r>
        <w:rPr>
          <w:rFonts w:ascii="微软雅黑" w:hAnsi="微软雅黑" w:cs="微软雅黑"/>
          <w:color w:val="404040"/>
          <w:kern w:val="0"/>
          <w:sz w:val="24"/>
          <w:szCs w:val="24"/>
        </w:rPr>
        <w:t>拥</w:t>
      </w:r>
      <w:r>
        <w:rPr>
          <w:rFonts w:hint="eastAsia" w:ascii="微软雅黑" w:hAnsi="微软雅黑" w:cs="微软雅黑"/>
          <w:color w:val="404040"/>
          <w:kern w:val="0"/>
          <w:sz w:val="24"/>
          <w:szCs w:val="24"/>
        </w:rPr>
        <w:t>有自己内部的货币来作</w:t>
      </w:r>
      <w:r>
        <w:rPr>
          <w:rFonts w:ascii="微软雅黑" w:hAnsi="微软雅黑" w:cs="微软雅黑"/>
          <w:color w:val="404040"/>
          <w:kern w:val="0"/>
          <w:sz w:val="24"/>
          <w:szCs w:val="24"/>
        </w:rPr>
        <w:t>为组织</w:t>
      </w:r>
      <w:r>
        <w:rPr>
          <w:rFonts w:hint="eastAsia" w:ascii="微软雅黑" w:hAnsi="微软雅黑" w:cs="微软雅黑"/>
          <w:color w:val="404040"/>
          <w:kern w:val="0"/>
          <w:sz w:val="24"/>
          <w:szCs w:val="24"/>
        </w:rPr>
        <w:t>形式，我们</w:t>
      </w:r>
      <w:r>
        <w:rPr>
          <w:rFonts w:ascii="微软雅黑" w:hAnsi="微软雅黑" w:cs="微软雅黑"/>
          <w:color w:val="404040"/>
          <w:kern w:val="0"/>
          <w:sz w:val="24"/>
          <w:szCs w:val="24"/>
        </w:rPr>
        <w:t>建立一个去中心化的和自治的</w:t>
      </w:r>
      <w:r>
        <w:rPr>
          <w:rFonts w:hint="eastAsia" w:ascii="微软雅黑" w:hAnsi="微软雅黑" w:cs="微软雅黑"/>
          <w:color w:val="404040"/>
          <w:kern w:val="0"/>
          <w:sz w:val="24"/>
          <w:szCs w:val="24"/>
        </w:rPr>
        <w:t>商</w:t>
      </w:r>
      <w:r>
        <w:rPr>
          <w:rFonts w:ascii="微软雅黑" w:hAnsi="微软雅黑" w:cs="微软雅黑"/>
          <w:color w:val="404040"/>
          <w:kern w:val="0"/>
          <w:sz w:val="24"/>
          <w:szCs w:val="24"/>
        </w:rPr>
        <w:t>业</w:t>
      </w:r>
      <w:r>
        <w:rPr>
          <w:rFonts w:hint="eastAsia" w:ascii="微软雅黑" w:hAnsi="微软雅黑" w:cs="微软雅黑"/>
          <w:color w:val="404040"/>
          <w:kern w:val="0"/>
          <w:sz w:val="24"/>
          <w:szCs w:val="24"/>
        </w:rPr>
        <w:t>体交易</w:t>
      </w:r>
      <w:r>
        <w:rPr>
          <w:rFonts w:ascii="微软雅黑" w:hAnsi="微软雅黑" w:cs="微软雅黑"/>
          <w:color w:val="404040"/>
          <w:kern w:val="0"/>
          <w:sz w:val="24"/>
          <w:szCs w:val="24"/>
        </w:rPr>
        <w:t>组织</w:t>
      </w:r>
      <w:r>
        <w:rPr>
          <w:rFonts w:hint="eastAsia" w:ascii="微软雅黑" w:hAnsi="微软雅黑" w:cs="微软雅黑"/>
          <w:color w:val="404040"/>
          <w:kern w:val="0"/>
          <w:sz w:val="24"/>
          <w:szCs w:val="24"/>
        </w:rPr>
        <w:t>形式</w:t>
      </w:r>
      <w:r>
        <w:rPr>
          <w:rFonts w:ascii="微软雅黑" w:hAnsi="微软雅黑" w:cs="微软雅黑"/>
          <w:color w:val="404040"/>
          <w:kern w:val="0"/>
          <w:sz w:val="24"/>
          <w:szCs w:val="24"/>
        </w:rPr>
        <w:t>，通过</w:t>
      </w:r>
      <w:r>
        <w:rPr>
          <w:rFonts w:hint="eastAsia" w:ascii="微软雅黑" w:hAnsi="微软雅黑" w:cs="微软雅黑"/>
          <w:color w:val="404040"/>
          <w:kern w:val="0"/>
          <w:sz w:val="24"/>
          <w:szCs w:val="24"/>
        </w:rPr>
        <w:t>将</w:t>
      </w:r>
      <w:r>
        <w:rPr>
          <w:rFonts w:ascii="微软雅黑" w:hAnsi="微软雅黑" w:cs="微软雅黑"/>
          <w:color w:val="404040"/>
          <w:kern w:val="0"/>
          <w:sz w:val="24"/>
          <w:szCs w:val="24"/>
        </w:rPr>
        <w:t>公正公开的规则编</w:t>
      </w:r>
      <w:r>
        <w:rPr>
          <w:rFonts w:hint="eastAsia" w:ascii="微软雅黑" w:hAnsi="微软雅黑" w:cs="微软雅黑"/>
          <w:color w:val="404040"/>
          <w:kern w:val="0"/>
          <w:sz w:val="24"/>
          <w:szCs w:val="24"/>
        </w:rPr>
        <w:t>入</w:t>
      </w:r>
      <w:r>
        <w:rPr>
          <w:rFonts w:ascii="微软雅黑" w:hAnsi="微软雅黑" w:cs="微软雅黑"/>
          <w:color w:val="404040"/>
          <w:kern w:val="0"/>
          <w:sz w:val="24"/>
          <w:szCs w:val="24"/>
        </w:rPr>
        <w:t>开源程序中，在无人干预和管理的情况下实现自主运行的组织机构</w:t>
      </w:r>
      <w:r>
        <w:rPr>
          <w:rFonts w:hint="eastAsia" w:ascii="微软雅黑" w:hAnsi="微软雅黑" w:cs="微软雅黑"/>
          <w:color w:val="404040"/>
          <w:kern w:val="0"/>
          <w:sz w:val="24"/>
          <w:szCs w:val="24"/>
        </w:rPr>
        <w:t>。</w:t>
      </w:r>
    </w:p>
    <w:p>
      <w:pPr>
        <w:widowControl/>
        <w:autoSpaceDE w:val="0"/>
        <w:autoSpaceDN w:val="0"/>
        <w:adjustRightInd w:val="0"/>
        <w:spacing w:after="240"/>
        <w:rPr>
          <w:rFonts w:ascii="微软雅黑" w:hAnsi="微软雅黑" w:cs="微软雅黑"/>
          <w:color w:val="404040"/>
          <w:kern w:val="0"/>
          <w:sz w:val="24"/>
          <w:szCs w:val="24"/>
        </w:rPr>
      </w:pPr>
    </w:p>
    <w:p>
      <w:pPr>
        <w:pStyle w:val="4"/>
        <w:rPr>
          <w:rFonts w:ascii="微软雅黑" w:hAnsi="微软雅黑" w:eastAsia="微软雅黑" w:cs="微软雅黑"/>
          <w:sz w:val="24"/>
          <w:szCs w:val="24"/>
        </w:rPr>
      </w:pPr>
      <w:bookmarkStart w:id="35" w:name="_Toc730"/>
      <w:bookmarkStart w:id="36" w:name="_Toc26654"/>
      <w:bookmarkStart w:id="37" w:name="_Toc6224"/>
      <w:bookmarkStart w:id="38" w:name="_Toc18919"/>
      <w:bookmarkStart w:id="39" w:name="_Toc15012"/>
      <w:bookmarkStart w:id="40" w:name="_Toc30138"/>
      <w:bookmarkStart w:id="41" w:name="_Toc516005293"/>
      <w:r>
        <w:rPr>
          <w:rFonts w:hint="eastAsia" w:ascii="微软雅黑" w:hAnsi="微软雅黑" w:eastAsia="微软雅黑" w:cs="微软雅黑"/>
          <w:sz w:val="24"/>
          <w:szCs w:val="24"/>
        </w:rPr>
        <w:t>2.2 支付交易结算系统</w:t>
      </w:r>
      <w:bookmarkEnd w:id="33"/>
      <w:bookmarkEnd w:id="34"/>
      <w:bookmarkEnd w:id="35"/>
      <w:bookmarkEnd w:id="36"/>
      <w:bookmarkEnd w:id="37"/>
      <w:bookmarkEnd w:id="38"/>
      <w:bookmarkEnd w:id="39"/>
      <w:bookmarkEnd w:id="40"/>
      <w:bookmarkEnd w:id="41"/>
    </w:p>
    <w:p>
      <w:pPr>
        <w:widowControl/>
        <w:jc w:val="left"/>
        <w:rPr>
          <w:rFonts w:ascii="微软雅黑" w:hAnsi="微软雅黑" w:cs="微软雅黑"/>
          <w:color w:val="404040"/>
          <w:kern w:val="0"/>
          <w:sz w:val="24"/>
          <w:szCs w:val="24"/>
        </w:rPr>
      </w:pPr>
      <w:r>
        <w:rPr>
          <w:rFonts w:hint="eastAsia" w:ascii="微软雅黑" w:hAnsi="微软雅黑" w:cs="微软雅黑"/>
          <w:color w:val="404040"/>
          <w:kern w:val="0"/>
          <w:sz w:val="24"/>
          <w:szCs w:val="24"/>
        </w:rPr>
        <w:t>目前，基于区块链技术的支付系统，交易速度至关重要，特别是对于小额交易而言。IFT的支付交易结算系统采用状态机副本复制算法超级账本PBFT，让支付时间缩减到秒级，消费者的每笔交易金额，会即时加密记录在后端区块链系统，商家可通过区块链账本查询完整的交易记录；同时，IFT创建了“开放支付”和“锁定支付”的交易模型，进行担保支付完成消费者的预存、数字货币营销和子商户的数字货币融资。</w:t>
      </w:r>
    </w:p>
    <w:p>
      <w:pPr>
        <w:widowControl/>
        <w:jc w:val="left"/>
        <w:rPr>
          <w:rFonts w:ascii="微软雅黑" w:hAnsi="微软雅黑" w:cs="微软雅黑"/>
          <w:color w:val="404040"/>
          <w:kern w:val="0"/>
          <w:sz w:val="24"/>
          <w:szCs w:val="24"/>
        </w:rPr>
      </w:pPr>
      <w:r>
        <w:rPr>
          <w:rFonts w:hint="eastAsia" w:ascii="微软雅黑" w:hAnsi="微软雅黑" w:cs="微软雅黑"/>
          <w:color w:val="404040"/>
          <w:kern w:val="0"/>
          <w:sz w:val="24"/>
          <w:szCs w:val="24"/>
        </w:rPr>
        <w:t>IFT将提供这套支付交易结算系统开放的接口，商业机构、组织可轻松建立旗下商业的收单工具，让其子商户有更多的能力应用其发行的数字货币完成交易</w:t>
      </w:r>
      <w:bookmarkStart w:id="42" w:name="_Toc15784"/>
      <w:bookmarkStart w:id="43" w:name="_Toc8127"/>
      <w:r>
        <w:rPr>
          <w:rFonts w:hint="eastAsia" w:ascii="微软雅黑" w:hAnsi="微软雅黑" w:cs="微软雅黑"/>
          <w:color w:val="404040"/>
          <w:kern w:val="0"/>
          <w:sz w:val="24"/>
          <w:szCs w:val="24"/>
        </w:rPr>
        <w:t xml:space="preserve">。 </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b/>
          <w:bCs/>
          <w:color w:val="404040"/>
          <w:kern w:val="0"/>
          <w:sz w:val="24"/>
          <w:szCs w:val="24"/>
        </w:rPr>
        <w:t>开放支付：</w:t>
      </w:r>
      <w:r>
        <w:rPr>
          <w:rFonts w:hint="eastAsia" w:ascii="微软雅黑" w:hAnsi="微软雅黑" w:cs="微软雅黑"/>
          <w:color w:val="404040"/>
          <w:kern w:val="0"/>
          <w:sz w:val="24"/>
          <w:szCs w:val="24"/>
        </w:rPr>
        <w:t>即基于IFT智能合约，支付交易通过合约来完成，具体流程就是首先用户输入交易信息，然后向智能合约发送资金，最后由合约来执行交易。一旦合约收到双方的交易信息，它会将资金直接发送给各相关方。</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b/>
          <w:bCs/>
          <w:color w:val="404040"/>
          <w:kern w:val="0"/>
          <w:sz w:val="24"/>
          <w:szCs w:val="24"/>
        </w:rPr>
        <w:t>锁定支付：</w:t>
      </w:r>
      <w:r>
        <w:rPr>
          <w:rFonts w:hint="eastAsia" w:ascii="微软雅黑" w:hAnsi="微软雅黑" w:cs="微软雅黑"/>
          <w:color w:val="404040"/>
          <w:kern w:val="0"/>
          <w:sz w:val="24"/>
          <w:szCs w:val="24"/>
        </w:rPr>
        <w:t>即基于IFT智能合约，支付交易数额可直接锁定于固定商户用于预存消费，预存消费数额可获得对等的数字货币，从而构建属于消费者自己的数字货币账户体系。锁定支付功能实现了消费者的预存、数字货币营销和子商户的数字货币融资等金融生态的建设。</w:t>
      </w:r>
    </w:p>
    <w:p>
      <w:pPr>
        <w:widowControl/>
        <w:autoSpaceDE w:val="0"/>
        <w:autoSpaceDN w:val="0"/>
        <w:adjustRightInd w:val="0"/>
        <w:spacing w:after="240"/>
        <w:rPr>
          <w:rFonts w:ascii="微软雅黑" w:hAnsi="微软雅黑" w:cs="微软雅黑"/>
          <w:color w:val="404040"/>
          <w:kern w:val="0"/>
          <w:sz w:val="24"/>
          <w:szCs w:val="24"/>
        </w:rPr>
      </w:pPr>
    </w:p>
    <w:p>
      <w:pPr>
        <w:pStyle w:val="4"/>
        <w:rPr>
          <w:rFonts w:ascii="微软雅黑" w:hAnsi="微软雅黑" w:eastAsia="微软雅黑" w:cs="微软雅黑"/>
          <w:sz w:val="24"/>
          <w:szCs w:val="24"/>
        </w:rPr>
      </w:pPr>
      <w:bookmarkStart w:id="44" w:name="_Toc23059"/>
      <w:bookmarkStart w:id="45" w:name="_Toc516005294"/>
      <w:bookmarkStart w:id="46" w:name="_Toc10157"/>
      <w:bookmarkStart w:id="47" w:name="_Toc13100"/>
      <w:bookmarkStart w:id="48" w:name="_Toc32258"/>
      <w:bookmarkStart w:id="49" w:name="_Toc28085"/>
      <w:bookmarkStart w:id="50" w:name="_Toc31752"/>
      <w:r>
        <w:rPr>
          <w:rFonts w:hint="eastAsia" w:ascii="微软雅黑" w:hAnsi="微软雅黑" w:eastAsia="微软雅黑" w:cs="微软雅黑"/>
          <w:sz w:val="24"/>
          <w:szCs w:val="24"/>
        </w:rPr>
        <w:t>2.3 账户体系</w:t>
      </w:r>
      <w:bookmarkEnd w:id="42"/>
      <w:bookmarkEnd w:id="43"/>
      <w:bookmarkEnd w:id="44"/>
      <w:bookmarkEnd w:id="45"/>
      <w:bookmarkEnd w:id="46"/>
      <w:bookmarkEnd w:id="47"/>
      <w:bookmarkEnd w:id="48"/>
      <w:bookmarkEnd w:id="49"/>
      <w:bookmarkEnd w:id="50"/>
    </w:p>
    <w:p>
      <w:pPr>
        <w:widowControl/>
        <w:jc w:val="left"/>
        <w:rPr>
          <w:rFonts w:ascii="微软雅黑" w:hAnsi="微软雅黑" w:cs="微软雅黑"/>
          <w:color w:val="404040"/>
          <w:kern w:val="0"/>
          <w:sz w:val="24"/>
          <w:szCs w:val="24"/>
        </w:rPr>
      </w:pPr>
      <w:r>
        <w:rPr>
          <w:rFonts w:hint="eastAsia" w:ascii="微软雅黑" w:hAnsi="微软雅黑" w:cs="微软雅黑"/>
          <w:color w:val="404040"/>
          <w:kern w:val="0"/>
          <w:sz w:val="24"/>
          <w:szCs w:val="24"/>
        </w:rPr>
        <w:t>IFT团队凭借多年交易数据安全的技术经验，创建了IFT账户体系，这套体系中，</w:t>
      </w:r>
      <w:r>
        <w:rPr>
          <w:rFonts w:ascii="微软雅黑" w:hAnsi="微软雅黑" w:cs="微软雅黑"/>
          <w:color w:val="404040"/>
          <w:kern w:val="0"/>
          <w:sz w:val="24"/>
          <w:szCs w:val="24"/>
        </w:rPr>
        <w:t>当</w:t>
      </w:r>
      <w:r>
        <w:rPr>
          <w:rFonts w:hint="eastAsia" w:ascii="微软雅黑" w:hAnsi="微软雅黑" w:cs="微软雅黑"/>
          <w:color w:val="404040"/>
          <w:kern w:val="0"/>
          <w:sz w:val="24"/>
          <w:szCs w:val="24"/>
        </w:rPr>
        <w:t>用户</w:t>
      </w:r>
      <w:r>
        <w:rPr>
          <w:rFonts w:ascii="微软雅黑" w:hAnsi="微软雅黑" w:cs="微软雅黑"/>
          <w:color w:val="404040"/>
          <w:kern w:val="0"/>
          <w:sz w:val="24"/>
          <w:szCs w:val="24"/>
        </w:rPr>
        <w:t>创建</w:t>
      </w:r>
      <w:r>
        <w:rPr>
          <w:rFonts w:hint="eastAsia" w:ascii="微软雅黑" w:hAnsi="微软雅黑" w:cs="微软雅黑"/>
          <w:color w:val="404040"/>
          <w:kern w:val="0"/>
          <w:sz w:val="24"/>
          <w:szCs w:val="24"/>
        </w:rPr>
        <w:t>了</w:t>
      </w:r>
      <w:r>
        <w:rPr>
          <w:rFonts w:ascii="微软雅黑" w:hAnsi="微软雅黑" w:cs="微软雅黑"/>
          <w:color w:val="404040"/>
          <w:kern w:val="0"/>
          <w:sz w:val="24"/>
          <w:szCs w:val="24"/>
        </w:rPr>
        <w:t>一个账户之后，会根据生成的私钥文件，生成一套助记词，</w:t>
      </w:r>
      <w:r>
        <w:rPr>
          <w:rFonts w:hint="eastAsia" w:ascii="微软雅黑" w:hAnsi="微软雅黑" w:cs="微软雅黑"/>
          <w:color w:val="404040"/>
          <w:kern w:val="0"/>
          <w:sz w:val="24"/>
          <w:szCs w:val="24"/>
        </w:rPr>
        <w:t>通过</w:t>
      </w:r>
      <w:r>
        <w:rPr>
          <w:rFonts w:ascii="微软雅黑" w:hAnsi="微软雅黑" w:cs="微软雅黑"/>
          <w:color w:val="404040"/>
          <w:kern w:val="0"/>
          <w:sz w:val="24"/>
          <w:szCs w:val="24"/>
        </w:rPr>
        <w:t>算法加密技术</w:t>
      </w:r>
      <w:r>
        <w:rPr>
          <w:rFonts w:hint="eastAsia" w:ascii="微软雅黑" w:hAnsi="微软雅黑" w:cs="微软雅黑"/>
          <w:color w:val="404040"/>
          <w:kern w:val="0"/>
          <w:sz w:val="24"/>
          <w:szCs w:val="24"/>
        </w:rPr>
        <w:t>保证对外广播交易的同时，又保证敏感的私钥信息安全，</w:t>
      </w:r>
      <w:r>
        <w:rPr>
          <w:rFonts w:ascii="微软雅黑" w:hAnsi="微软雅黑" w:cs="微软雅黑"/>
          <w:color w:val="404040"/>
          <w:kern w:val="0"/>
          <w:sz w:val="24"/>
          <w:szCs w:val="24"/>
        </w:rPr>
        <w:t>助记词的重要作用，也是</w:t>
      </w:r>
      <w:r>
        <w:rPr>
          <w:rFonts w:hint="eastAsia" w:ascii="微软雅黑" w:hAnsi="微软雅黑" w:cs="微软雅黑"/>
          <w:color w:val="404040"/>
          <w:kern w:val="0"/>
          <w:sz w:val="24"/>
          <w:szCs w:val="24"/>
        </w:rPr>
        <w:t>该账户体系</w:t>
      </w:r>
      <w:r>
        <w:rPr>
          <w:rFonts w:ascii="微软雅黑" w:hAnsi="微软雅黑" w:cs="微软雅黑"/>
          <w:color w:val="404040"/>
          <w:kern w:val="0"/>
          <w:sz w:val="24"/>
          <w:szCs w:val="24"/>
        </w:rPr>
        <w:t>功能的一个亮点。</w:t>
      </w:r>
      <w:r>
        <w:rPr>
          <w:rFonts w:hint="eastAsia" w:ascii="微软雅黑" w:hAnsi="微软雅黑" w:cs="微软雅黑"/>
          <w:color w:val="404040"/>
          <w:kern w:val="0"/>
          <w:sz w:val="24"/>
          <w:szCs w:val="24"/>
        </w:rPr>
        <w:t>此外，技术上对</w:t>
      </w:r>
      <w:r>
        <w:rPr>
          <w:rFonts w:ascii="微软雅黑" w:hAnsi="微软雅黑" w:cs="微软雅黑"/>
          <w:color w:val="404040"/>
          <w:kern w:val="0"/>
          <w:sz w:val="24"/>
          <w:szCs w:val="24"/>
        </w:rPr>
        <w:t>性能的保障，当用户注册时只是将数据库的数据建立了一个关联，而不用去执行费时的加密算法来生成私钥和文件。</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color w:val="404040"/>
          <w:kern w:val="0"/>
          <w:sz w:val="24"/>
          <w:szCs w:val="24"/>
        </w:rPr>
        <w:t>我们做</w:t>
      </w:r>
      <w:r>
        <w:rPr>
          <w:rFonts w:ascii="微软雅黑" w:hAnsi="微软雅黑" w:cs="微软雅黑"/>
          <w:color w:val="404040"/>
          <w:kern w:val="0"/>
          <w:sz w:val="24"/>
          <w:szCs w:val="24"/>
        </w:rPr>
        <w:t>去中心化</w:t>
      </w:r>
      <w:r>
        <w:rPr>
          <w:rFonts w:hint="eastAsia" w:ascii="微软雅黑" w:hAnsi="微软雅黑" w:cs="微软雅黑"/>
          <w:color w:val="404040"/>
          <w:kern w:val="0"/>
          <w:sz w:val="24"/>
          <w:szCs w:val="24"/>
        </w:rPr>
        <w:t>的数字</w:t>
      </w:r>
      <w:r>
        <w:rPr>
          <w:rFonts w:ascii="微软雅黑" w:hAnsi="微软雅黑" w:cs="微软雅黑"/>
          <w:color w:val="404040"/>
          <w:kern w:val="0"/>
          <w:sz w:val="24"/>
          <w:szCs w:val="24"/>
        </w:rPr>
        <w:t>钱包</w:t>
      </w:r>
      <w:r>
        <w:rPr>
          <w:rFonts w:hint="eastAsia" w:ascii="微软雅黑" w:hAnsi="微软雅黑" w:cs="微软雅黑"/>
          <w:color w:val="404040"/>
          <w:kern w:val="0"/>
          <w:sz w:val="24"/>
          <w:szCs w:val="24"/>
        </w:rPr>
        <w:t>，并且将该接口开放给商业机构、组织，实现基于IFT可轻松建立自己的钱包或者IFT公共钱包，帮助参与者记录、支付消费或转入转出自己的数字货币资产，同时通过此账户体系完成数字资产交易所的数字资产交易。去中心化的账户体系</w:t>
      </w:r>
      <w:r>
        <w:rPr>
          <w:rFonts w:ascii="微软雅黑" w:hAnsi="微软雅黑" w:cs="微软雅黑"/>
          <w:color w:val="404040"/>
          <w:kern w:val="0"/>
          <w:sz w:val="24"/>
          <w:szCs w:val="24"/>
        </w:rPr>
        <w:t xml:space="preserve">好处是不用担心平台从中作梗，不用担心平台被黑客攻击而导致资产损失。 </w:t>
      </w:r>
    </w:p>
    <w:p>
      <w:pPr>
        <w:widowControl/>
        <w:autoSpaceDE w:val="0"/>
        <w:autoSpaceDN w:val="0"/>
        <w:adjustRightInd w:val="0"/>
        <w:spacing w:after="240"/>
        <w:rPr>
          <w:rFonts w:ascii="微软雅黑" w:hAnsi="微软雅黑" w:cs="微软雅黑"/>
          <w:color w:val="404040"/>
          <w:kern w:val="0"/>
          <w:sz w:val="24"/>
          <w:szCs w:val="24"/>
        </w:rPr>
      </w:pPr>
      <w:bookmarkStart w:id="51" w:name="_Toc4759"/>
      <w:bookmarkStart w:id="52" w:name="_Toc24045"/>
    </w:p>
    <w:p>
      <w:pPr>
        <w:pStyle w:val="4"/>
        <w:rPr>
          <w:rFonts w:ascii="微软雅黑" w:hAnsi="微软雅黑" w:eastAsia="微软雅黑" w:cs="微软雅黑"/>
          <w:b w:val="0"/>
          <w:color w:val="000000"/>
          <w:sz w:val="24"/>
          <w:szCs w:val="24"/>
        </w:rPr>
      </w:pPr>
      <w:bookmarkStart w:id="53" w:name="_Toc21199"/>
      <w:bookmarkStart w:id="54" w:name="_Toc29985"/>
      <w:bookmarkStart w:id="55" w:name="_Toc4389"/>
      <w:bookmarkStart w:id="56" w:name="_Toc31078"/>
      <w:bookmarkStart w:id="57" w:name="_Toc516005295"/>
      <w:bookmarkStart w:id="58" w:name="_Toc8791"/>
      <w:bookmarkStart w:id="59" w:name="_Toc18011"/>
      <w:r>
        <w:rPr>
          <w:rFonts w:hint="eastAsia" w:ascii="微软雅黑" w:hAnsi="微软雅黑" w:eastAsia="微软雅黑" w:cs="微软雅黑"/>
          <w:b w:val="0"/>
          <w:color w:val="000000"/>
          <w:sz w:val="24"/>
          <w:szCs w:val="24"/>
        </w:rPr>
        <w:t>2.4 去中心化数字资产交易所</w:t>
      </w:r>
      <w:bookmarkEnd w:id="51"/>
      <w:bookmarkEnd w:id="52"/>
      <w:bookmarkEnd w:id="53"/>
      <w:bookmarkEnd w:id="54"/>
      <w:bookmarkEnd w:id="55"/>
      <w:bookmarkEnd w:id="56"/>
      <w:bookmarkEnd w:id="57"/>
      <w:bookmarkEnd w:id="58"/>
      <w:bookmarkEnd w:id="59"/>
    </w:p>
    <w:p>
      <w:pPr>
        <w:widowControl/>
        <w:jc w:val="left"/>
        <w:rPr>
          <w:rFonts w:eastAsia="Times New Roman"/>
          <w:kern w:val="0"/>
          <w:sz w:val="24"/>
          <w:szCs w:val="24"/>
        </w:rPr>
      </w:pPr>
      <w:r>
        <w:rPr>
          <w:rFonts w:ascii="微软雅黑" w:hAnsi="微软雅黑" w:cs="微软雅黑"/>
          <w:color w:val="404040"/>
          <w:kern w:val="0"/>
          <w:sz w:val="24"/>
          <w:szCs w:val="24"/>
        </w:rPr>
        <w:t>任何标准化的外部资产都可以在</w:t>
      </w:r>
      <w:r>
        <w:rPr>
          <w:rFonts w:hint="eastAsia" w:ascii="微软雅黑" w:hAnsi="微软雅黑" w:cs="微软雅黑"/>
          <w:color w:val="404040"/>
          <w:kern w:val="0"/>
          <w:sz w:val="24"/>
          <w:szCs w:val="24"/>
        </w:rPr>
        <w:t>IFT</w:t>
      </w:r>
      <w:r>
        <w:rPr>
          <w:rFonts w:ascii="微软雅黑" w:hAnsi="微软雅黑" w:cs="微软雅黑"/>
          <w:color w:val="404040"/>
          <w:kern w:val="0"/>
          <w:sz w:val="24"/>
          <w:szCs w:val="24"/>
        </w:rPr>
        <w:t>系统里创建“资产“，</w:t>
      </w:r>
      <w:r>
        <w:rPr>
          <w:rFonts w:hint="eastAsia" w:ascii="微软雅黑" w:hAnsi="微软雅黑" w:cs="微软雅黑"/>
          <w:color w:val="404040"/>
          <w:kern w:val="0"/>
          <w:sz w:val="24"/>
          <w:szCs w:val="24"/>
        </w:rPr>
        <w:t>众多的</w:t>
      </w:r>
      <w:r>
        <w:rPr>
          <w:rFonts w:ascii="微软雅黑" w:hAnsi="微软雅黑" w:cs="微软雅黑"/>
          <w:color w:val="404040"/>
          <w:kern w:val="0"/>
          <w:sz w:val="24"/>
          <w:szCs w:val="24"/>
        </w:rPr>
        <w:t>资产在去中心化的交易所里相互兑换，形成交易市场。</w:t>
      </w:r>
      <w:r>
        <w:rPr>
          <w:rFonts w:hint="eastAsia" w:ascii="微软雅黑" w:hAnsi="微软雅黑" w:cs="微软雅黑"/>
          <w:color w:val="404040"/>
          <w:kern w:val="0"/>
          <w:sz w:val="24"/>
          <w:szCs w:val="24"/>
        </w:rPr>
        <w:t>IFT交易所最大的特点是用</w:t>
      </w:r>
      <w:r>
        <w:rPr>
          <w:rFonts w:ascii="微软雅黑" w:hAnsi="微软雅黑" w:cs="微软雅黑"/>
          <w:color w:val="404040"/>
          <w:kern w:val="0"/>
          <w:sz w:val="24"/>
          <w:szCs w:val="24"/>
        </w:rPr>
        <w:t>区块链技术构筑清算链</w:t>
      </w:r>
      <w:r>
        <w:rPr>
          <w:rFonts w:hint="eastAsia" w:ascii="微软雅黑" w:hAnsi="微软雅黑" w:cs="微软雅黑"/>
          <w:color w:val="404040"/>
          <w:kern w:val="0"/>
          <w:sz w:val="24"/>
          <w:szCs w:val="24"/>
        </w:rPr>
        <w:t>中的锁定支付，保证两个节点之间可以不需要中介化，直接进行交易的资产安全可控，并且将这套接口开放给所有商业机构、行业组织，他们都可以创建自己的去中心化交易所，实现数字资产代币持有人跨区跨币种直接进行实时交易。IFT将会打破现有的中心化数字资产交易所独揽大权（往常投资者将自己的Token转给中心化的交易所，在交易所任人宰割，得不到任何安全保障的局面）实现真正意义上的交易撮合环节。对于商业而言，有了去中心化的交易所，商业机构、组织也不用支付高额的入驻费用进入中心化交易所来进行交易，只需要通过IFT发行自己的数字货币即可实现上架交易所、拥有交易功能。</w:t>
      </w:r>
    </w:p>
    <w:p>
      <w:pPr>
        <w:widowControl/>
        <w:autoSpaceDE w:val="0"/>
        <w:autoSpaceDN w:val="0"/>
        <w:adjustRightInd w:val="0"/>
        <w:spacing w:after="240"/>
        <w:rPr>
          <w:rFonts w:ascii="微软雅黑" w:hAnsi="微软雅黑" w:cs="微软雅黑"/>
          <w:color w:val="404040"/>
          <w:kern w:val="0"/>
          <w:sz w:val="24"/>
          <w:szCs w:val="24"/>
        </w:rPr>
      </w:pPr>
    </w:p>
    <w:p>
      <w:pPr>
        <w:pStyle w:val="4"/>
        <w:rPr>
          <w:rFonts w:ascii="微软雅黑" w:hAnsi="微软雅黑" w:eastAsia="微软雅黑" w:cs="微软雅黑"/>
          <w:sz w:val="24"/>
          <w:szCs w:val="24"/>
        </w:rPr>
      </w:pPr>
      <w:bookmarkStart w:id="60" w:name="_Toc28241"/>
      <w:bookmarkStart w:id="61" w:name="_Toc20688"/>
      <w:bookmarkStart w:id="62" w:name="_Toc22575"/>
      <w:bookmarkStart w:id="63" w:name="_Toc6967"/>
      <w:bookmarkStart w:id="64" w:name="_Toc5772"/>
      <w:bookmarkStart w:id="65" w:name="_Toc17459"/>
      <w:bookmarkStart w:id="66" w:name="_Toc516005296"/>
      <w:r>
        <w:rPr>
          <w:rFonts w:hint="eastAsia" w:ascii="微软雅黑" w:hAnsi="微软雅黑" w:eastAsia="微软雅黑" w:cs="微软雅黑"/>
          <w:sz w:val="24"/>
          <w:szCs w:val="24"/>
        </w:rPr>
        <w:t>2.5 案例说明</w:t>
      </w:r>
      <w:bookmarkEnd w:id="60"/>
      <w:bookmarkEnd w:id="61"/>
      <w:bookmarkEnd w:id="62"/>
      <w:bookmarkEnd w:id="63"/>
      <w:bookmarkEnd w:id="64"/>
      <w:bookmarkEnd w:id="65"/>
      <w:bookmarkEnd w:id="66"/>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color w:val="404040"/>
          <w:kern w:val="0"/>
          <w:sz w:val="24"/>
          <w:szCs w:val="24"/>
        </w:rPr>
        <w:t>一个商业体ASHOP商场利用IFT智能协议发布商城的数字货币ASPC以及交易清算系统用于进行商城的消费及担保。消费者在去ASHOP商场的时候，可以通过ATOKEN进行目标店铺的担保预存，在IFT或者AWALLET获得和自己银行卡等价的数字货币，同时获得更多商家或商场提供的优惠，通过ASHOP的钱包AWALLET可进行消费支付，而商户可通过锁定支付的功能模块进行数字货币融资，同时商户和消费者的数字货币ASPC可通过IFT数字资产交易所进行交易。</w:t>
      </w:r>
    </w:p>
    <w:p>
      <w:pPr>
        <w:widowControl/>
        <w:autoSpaceDE w:val="0"/>
        <w:autoSpaceDN w:val="0"/>
        <w:adjustRightInd w:val="0"/>
        <w:spacing w:after="240"/>
        <w:rPr>
          <w:rFonts w:ascii="微软雅黑" w:hAnsi="微软雅黑" w:cs="微软雅黑"/>
          <w:color w:val="404040"/>
          <w:kern w:val="0"/>
          <w:sz w:val="24"/>
          <w:szCs w:val="24"/>
        </w:rPr>
      </w:pPr>
      <w:r>
        <w:rPr>
          <w:rFonts w:ascii="微软雅黑" w:hAnsi="微软雅黑" w:cs="微软雅黑"/>
          <w:color w:val="404040"/>
          <w:kern w:val="0"/>
          <w:sz w:val="24"/>
          <w:szCs w:val="24"/>
        </w:rPr>
        <w:drawing>
          <wp:inline distT="0" distB="0" distL="0" distR="0">
            <wp:extent cx="5270500" cy="2362200"/>
            <wp:effectExtent l="0" t="0" r="0" b="0"/>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0500" cy="2362200"/>
                    </a:xfrm>
                    <a:prstGeom prst="rect">
                      <a:avLst/>
                    </a:prstGeom>
                    <a:noFill/>
                    <a:ln>
                      <a:noFill/>
                    </a:ln>
                  </pic:spPr>
                </pic:pic>
              </a:graphicData>
            </a:graphic>
          </wp:inline>
        </w:drawing>
      </w:r>
    </w:p>
    <w:p>
      <w:pPr>
        <w:pStyle w:val="2"/>
        <w:rPr>
          <w:rFonts w:ascii="微软雅黑" w:hAnsi="微软雅黑" w:eastAsia="微软雅黑" w:cs="微软雅黑"/>
          <w:color w:val="404040"/>
          <w:szCs w:val="24"/>
        </w:rPr>
      </w:pPr>
      <w:bookmarkStart w:id="67" w:name="_Toc11328_WPSOffice_Level1"/>
      <w:bookmarkStart w:id="68" w:name="_Toc513804291"/>
      <w:bookmarkStart w:id="69" w:name="_Toc24310"/>
      <w:bookmarkStart w:id="70" w:name="_Toc396"/>
      <w:bookmarkStart w:id="71" w:name="_Toc12802"/>
      <w:bookmarkStart w:id="72" w:name="_Toc11438_WPSOffice_Level1"/>
      <w:bookmarkStart w:id="73" w:name="_Toc516005297"/>
      <w:r>
        <w:rPr>
          <w:rFonts w:hint="eastAsia" w:ascii="微软雅黑" w:hAnsi="微软雅黑" w:eastAsia="微软雅黑" w:cs="微软雅黑"/>
          <w:color w:val="404040"/>
          <w:szCs w:val="24"/>
        </w:rPr>
        <w:t>三、</w:t>
      </w:r>
      <w:bookmarkEnd w:id="67"/>
      <w:bookmarkEnd w:id="68"/>
      <w:bookmarkEnd w:id="69"/>
      <w:bookmarkEnd w:id="70"/>
      <w:bookmarkEnd w:id="71"/>
      <w:bookmarkEnd w:id="72"/>
      <w:r>
        <w:rPr>
          <w:rFonts w:hint="eastAsia" w:ascii="微软雅黑" w:hAnsi="微软雅黑" w:eastAsia="微软雅黑" w:cs="微软雅黑"/>
          <w:color w:val="404040"/>
          <w:szCs w:val="24"/>
        </w:rPr>
        <w:t>技术结构</w:t>
      </w:r>
      <w:bookmarkEnd w:id="73"/>
    </w:p>
    <w:p>
      <w:pPr>
        <w:pStyle w:val="3"/>
        <w:rPr>
          <w:rFonts w:ascii="微软雅黑" w:hAnsi="微软雅黑" w:cs="微软雅黑"/>
          <w:b w:val="0"/>
          <w:color w:val="404040"/>
          <w:sz w:val="24"/>
          <w:szCs w:val="24"/>
        </w:rPr>
      </w:pPr>
      <w:bookmarkStart w:id="74" w:name="_Toc516005298"/>
      <w:r>
        <w:rPr>
          <w:rFonts w:hint="eastAsia" w:ascii="微软雅黑" w:hAnsi="微软雅黑" w:cs="微软雅黑"/>
          <w:b w:val="0"/>
          <w:color w:val="404040"/>
          <w:sz w:val="24"/>
          <w:szCs w:val="24"/>
        </w:rPr>
        <w:t>1、共识机制</w:t>
      </w:r>
      <w:bookmarkEnd w:id="74"/>
    </w:p>
    <w:p>
      <w:pPr>
        <w:rPr>
          <w:rFonts w:ascii="微软雅黑" w:hAnsi="微软雅黑" w:cs="微软雅黑"/>
          <w:color w:val="404040"/>
          <w:sz w:val="24"/>
          <w:szCs w:val="24"/>
        </w:rPr>
      </w:pPr>
      <w:r>
        <w:rPr>
          <w:rFonts w:ascii="微软雅黑" w:hAnsi="微软雅黑" w:cs="微软雅黑"/>
          <w:color w:val="404040"/>
          <w:sz w:val="24"/>
          <w:szCs w:val="24"/>
        </w:rPr>
        <w:t>DPOS（授权股权证明）由受托人来创建区块，受托人来自于普通用户节点，需要首先进行注册，然后通过宣传推广，寻求社区信任并投票，获得足够排行到前101名的时候，才可以被系统接纳为真正可以处理区块的节点，并获得铸币奖励。比特币是通过计算机算力来投票，算力高的自然得票较多，容易获胜。DPOS机制是通过资产占比（股权）来投票，更多的加入了社区人的力量，人们为了自身利益的最大化会投票选择相对可靠的节点，相比更加安全和去中心化。整个机制需要完成如下过程：</w:t>
      </w:r>
    </w:p>
    <w:p>
      <w:pPr>
        <w:rPr>
          <w:rFonts w:ascii="微软雅黑" w:hAnsi="微软雅黑" w:cs="微软雅黑"/>
          <w:color w:val="404040"/>
          <w:sz w:val="24"/>
          <w:szCs w:val="24"/>
        </w:rPr>
      </w:pPr>
      <w:r>
        <w:rPr>
          <w:rFonts w:ascii="微软雅黑" w:hAnsi="微软雅黑" w:cs="微软雅黑"/>
          <w:color w:val="404040"/>
          <w:sz w:val="24"/>
          <w:szCs w:val="24"/>
        </w:rPr>
        <w:t>（1）注册受托人，并接受投票</w:t>
      </w:r>
    </w:p>
    <w:p>
      <w:pPr>
        <w:rPr>
          <w:rFonts w:ascii="微软雅黑" w:hAnsi="微软雅黑" w:cs="微软雅黑"/>
          <w:color w:val="404040"/>
          <w:sz w:val="24"/>
          <w:szCs w:val="24"/>
        </w:rPr>
      </w:pPr>
      <w:r>
        <w:rPr>
          <w:rFonts w:ascii="微软雅黑" w:hAnsi="微软雅黑" w:cs="微软雅黑"/>
          <w:color w:val="404040"/>
          <w:sz w:val="24"/>
          <w:szCs w:val="24"/>
        </w:rPr>
        <w:t>• 用户注册为受托人;</w:t>
      </w:r>
    </w:p>
    <w:p>
      <w:pPr>
        <w:rPr>
          <w:rFonts w:ascii="微软雅黑" w:hAnsi="微软雅黑" w:cs="微软雅黑"/>
          <w:color w:val="404040"/>
          <w:sz w:val="24"/>
          <w:szCs w:val="24"/>
        </w:rPr>
      </w:pPr>
      <w:r>
        <w:rPr>
          <w:rFonts w:ascii="微软雅黑" w:hAnsi="微软雅黑" w:cs="微软雅黑"/>
          <w:color w:val="404040"/>
          <w:sz w:val="24"/>
          <w:szCs w:val="24"/>
        </w:rPr>
        <w:t>• 接受投票（得票数排行前101位）;</w:t>
      </w:r>
    </w:p>
    <w:p>
      <w:pPr>
        <w:rPr>
          <w:rFonts w:ascii="微软雅黑" w:hAnsi="微软雅黑" w:cs="微软雅黑"/>
          <w:color w:val="404040"/>
          <w:sz w:val="24"/>
          <w:szCs w:val="24"/>
        </w:rPr>
      </w:pPr>
      <w:r>
        <w:rPr>
          <w:rFonts w:ascii="微软雅黑" w:hAnsi="微软雅黑" w:cs="微软雅黑"/>
          <w:color w:val="404040"/>
          <w:sz w:val="24"/>
          <w:szCs w:val="24"/>
        </w:rPr>
        <w:t>（2）维持循环，调整受托人</w:t>
      </w:r>
    </w:p>
    <w:p>
      <w:pPr>
        <w:rPr>
          <w:rFonts w:ascii="微软雅黑" w:hAnsi="微软雅黑" w:cs="微软雅黑"/>
          <w:color w:val="404040"/>
          <w:sz w:val="24"/>
          <w:szCs w:val="24"/>
        </w:rPr>
      </w:pPr>
      <w:r>
        <w:rPr>
          <w:rFonts w:ascii="微软雅黑" w:hAnsi="微软雅黑" w:cs="微软雅黑"/>
          <w:color w:val="404040"/>
          <w:sz w:val="24"/>
          <w:szCs w:val="24"/>
        </w:rPr>
        <w:t>• 块周期：也称为时段周期（Slot），每个块需要10秒，为一个时段（Slot）；</w:t>
      </w:r>
    </w:p>
    <w:p>
      <w:pPr>
        <w:rPr>
          <w:rFonts w:ascii="微软雅黑" w:hAnsi="微软雅黑" w:cs="微软雅黑"/>
          <w:color w:val="404040"/>
          <w:sz w:val="24"/>
          <w:szCs w:val="24"/>
        </w:rPr>
      </w:pPr>
      <w:r>
        <w:rPr>
          <w:rFonts w:ascii="微软雅黑" w:hAnsi="微软雅黑" w:cs="微软雅黑"/>
          <w:color w:val="404040"/>
          <w:sz w:val="24"/>
          <w:szCs w:val="24"/>
        </w:rPr>
        <w:t>• 受托人周期：或叫循环周期（Round），每101个区块为一个循环周期（Round）。这些块均由101个代表随机生成，每个代表生成1个块。一个完整循环周期大概需要1010秒(101x10)，约16分钟；每个周期结束，前101名的代表都要重新调整一次；</w:t>
      </w:r>
    </w:p>
    <w:p>
      <w:pPr>
        <w:rPr>
          <w:rFonts w:ascii="微软雅黑" w:hAnsi="微软雅黑" w:cs="微软雅黑"/>
          <w:color w:val="404040"/>
          <w:sz w:val="24"/>
          <w:szCs w:val="24"/>
        </w:rPr>
      </w:pPr>
      <w:r>
        <w:rPr>
          <w:rFonts w:ascii="微软雅黑" w:hAnsi="微软雅黑" w:cs="微软雅黑"/>
          <w:color w:val="404040"/>
          <w:sz w:val="24"/>
          <w:szCs w:val="24"/>
        </w:rPr>
        <w:t>• 奖励周期：根据区块链高度，设置里程碑时间（Milestone），在某个时间点调整区块奖励。</w:t>
      </w:r>
    </w:p>
    <w:p>
      <w:pPr>
        <w:rPr>
          <w:rFonts w:ascii="微软雅黑" w:hAnsi="微软雅黑" w:cs="微软雅黑"/>
          <w:color w:val="404040"/>
          <w:sz w:val="24"/>
          <w:szCs w:val="24"/>
        </w:rPr>
      </w:pPr>
      <w:r>
        <w:rPr>
          <w:rFonts w:ascii="微软雅黑" w:hAnsi="微软雅黑" w:cs="微软雅黑"/>
          <w:color w:val="404040"/>
          <w:sz w:val="24"/>
          <w:szCs w:val="24"/>
        </w:rPr>
        <w:t>1.注册受托人</w:t>
      </w:r>
    </w:p>
    <w:p>
      <w:pPr>
        <w:rPr>
          <w:rFonts w:ascii="微软雅黑" w:hAnsi="微软雅黑" w:cs="微软雅黑"/>
          <w:color w:val="404040"/>
          <w:sz w:val="24"/>
          <w:szCs w:val="24"/>
        </w:rPr>
      </w:pPr>
      <w:r>
        <w:rPr>
          <w:rFonts w:ascii="微软雅黑" w:hAnsi="微软雅黑" w:cs="微软雅黑"/>
          <w:color w:val="404040"/>
          <w:sz w:val="24"/>
          <w:szCs w:val="24"/>
        </w:rPr>
        <w:t>注册受托人必须使用客户端软件，因此这项功能需要与节点进行交互，也就是说客户端要调用节点Api。管理受托人的模块是 modules/delegates.js ，根据前面篇章的经验，我们很容易找到该模块提供的Api：</w:t>
      </w:r>
    </w:p>
    <w:p>
      <w:pPr>
        <w:rPr>
          <w:rFonts w:ascii="微软雅黑" w:hAnsi="微软雅黑" w:cs="微软雅黑"/>
          <w:color w:val="404040"/>
          <w:sz w:val="24"/>
          <w:szCs w:val="24"/>
        </w:rPr>
      </w:pPr>
      <w:r>
        <w:rPr>
          <w:rFonts w:ascii="微软雅黑" w:hAnsi="微软雅黑" w:cs="微软雅黑"/>
          <w:color w:val="404040"/>
          <w:sz w:val="24"/>
          <w:szCs w:val="24"/>
        </w:rPr>
        <w:t>"put /": "addDelegate"</w:t>
      </w:r>
    </w:p>
    <w:p>
      <w:pPr>
        <w:rPr>
          <w:rFonts w:ascii="微软雅黑" w:hAnsi="微软雅黑" w:cs="微软雅黑"/>
          <w:color w:val="404040"/>
          <w:sz w:val="24"/>
          <w:szCs w:val="24"/>
        </w:rPr>
      </w:pPr>
      <w:r>
        <w:rPr>
          <w:rFonts w:ascii="微软雅黑" w:hAnsi="微软雅黑" w:cs="微软雅黑"/>
          <w:color w:val="404040"/>
          <w:sz w:val="24"/>
          <w:szCs w:val="24"/>
        </w:rPr>
        <w:t>最终的Api信息如下：</w:t>
      </w:r>
    </w:p>
    <w:p>
      <w:pPr>
        <w:rPr>
          <w:rFonts w:ascii="微软雅黑" w:hAnsi="微软雅黑" w:cs="微软雅黑"/>
          <w:color w:val="404040"/>
          <w:sz w:val="24"/>
          <w:szCs w:val="24"/>
        </w:rPr>
      </w:pPr>
      <w:r>
        <w:rPr>
          <w:rFonts w:ascii="微软雅黑" w:hAnsi="微软雅黑" w:cs="微软雅黑"/>
          <w:color w:val="404040"/>
          <w:sz w:val="24"/>
          <w:szCs w:val="24"/>
        </w:rPr>
        <w:t>put /api/delegates</w:t>
      </w:r>
    </w:p>
    <w:p>
      <w:pPr>
        <w:rPr>
          <w:rFonts w:ascii="微软雅黑" w:hAnsi="微软雅黑" w:cs="微软雅黑"/>
          <w:color w:val="404040"/>
          <w:sz w:val="24"/>
          <w:szCs w:val="24"/>
        </w:rPr>
      </w:pPr>
      <w:r>
        <w:rPr>
          <w:rFonts w:ascii="微软雅黑" w:hAnsi="微软雅黑" w:cs="微软雅黑"/>
          <w:color w:val="404040"/>
          <w:sz w:val="24"/>
          <w:szCs w:val="24"/>
        </w:rPr>
        <w:t>对应的方法是，modules/delegates.js模块的addDelegate()方法。该方法与注册用户别名地址等功能性交易没有区别，注册受托人也是一种交易，类型为“DELEGATE”（受托人）。</w:t>
      </w:r>
    </w:p>
    <w:p>
      <w:pPr>
        <w:pStyle w:val="3"/>
        <w:rPr>
          <w:rFonts w:ascii="微软雅黑" w:hAnsi="微软雅黑" w:cs="微软雅黑"/>
          <w:b w:val="0"/>
          <w:color w:val="404040"/>
          <w:sz w:val="24"/>
          <w:szCs w:val="24"/>
        </w:rPr>
      </w:pPr>
      <w:bookmarkStart w:id="75" w:name="_Toc516005299"/>
      <w:r>
        <w:rPr>
          <w:rFonts w:ascii="微软雅黑" w:hAnsi="微软雅黑" w:cs="微软雅黑"/>
          <w:b w:val="0"/>
          <w:color w:val="404040"/>
          <w:sz w:val="24"/>
          <w:szCs w:val="24"/>
        </w:rPr>
        <w:t>2.投票</w:t>
      </w:r>
      <w:bookmarkEnd w:id="75"/>
    </w:p>
    <w:p>
      <w:pPr>
        <w:rPr>
          <w:rFonts w:ascii="微软雅黑" w:hAnsi="微软雅黑" w:cs="微软雅黑"/>
          <w:b/>
          <w:color w:val="404040"/>
          <w:sz w:val="24"/>
          <w:szCs w:val="24"/>
        </w:rPr>
      </w:pPr>
      <w:r>
        <w:rPr>
          <w:rFonts w:ascii="微软雅黑" w:hAnsi="微软雅黑" w:cs="微软雅黑"/>
          <w:color w:val="404040"/>
          <w:sz w:val="24"/>
          <w:szCs w:val="24"/>
        </w:rPr>
        <w:t>该功能是普通用户具备的功能，任何普通用户都有投票权利，所以放在帐号管理模块，即“modules/accounts.js”文件里，是符合逻辑的。</w:t>
      </w:r>
      <w:r>
        <w:rPr>
          <w:rFonts w:ascii="微软雅黑" w:hAnsi="微软雅黑" w:cs="微软雅黑"/>
          <w:b/>
          <w:color w:val="404040"/>
          <w:sz w:val="24"/>
          <w:szCs w:val="24"/>
        </w:rPr>
        <w:t xml:space="preserve"> </w:t>
      </w:r>
    </w:p>
    <w:p>
      <w:pPr>
        <w:pStyle w:val="3"/>
        <w:rPr>
          <w:rFonts w:ascii="微软雅黑" w:hAnsi="微软雅黑" w:cs="微软雅黑"/>
          <w:b w:val="0"/>
          <w:color w:val="404040"/>
          <w:sz w:val="24"/>
          <w:szCs w:val="24"/>
        </w:rPr>
      </w:pPr>
      <w:bookmarkStart w:id="76" w:name="_Toc516005300"/>
      <w:r>
        <w:rPr>
          <w:rFonts w:ascii="微软雅黑" w:hAnsi="微软雅黑" w:cs="微软雅黑"/>
          <w:b w:val="0"/>
          <w:color w:val="404040"/>
          <w:sz w:val="24"/>
          <w:szCs w:val="24"/>
        </w:rPr>
        <w:t>3.块（时段）周期（Slots）</w:t>
      </w:r>
      <w:bookmarkEnd w:id="76"/>
    </w:p>
    <w:p>
      <w:pPr>
        <w:rPr>
          <w:rFonts w:ascii="微软雅黑" w:hAnsi="微软雅黑" w:cs="微软雅黑"/>
          <w:color w:val="404040"/>
          <w:sz w:val="24"/>
          <w:szCs w:val="24"/>
        </w:rPr>
      </w:pPr>
      <w:r>
        <w:rPr>
          <w:rFonts w:ascii="微软雅黑" w:hAnsi="微软雅黑" w:cs="微软雅黑"/>
          <w:color w:val="404040"/>
          <w:sz w:val="24"/>
          <w:szCs w:val="24"/>
        </w:rPr>
        <w:t>（1）时间处理</w:t>
      </w:r>
    </w:p>
    <w:p>
      <w:pPr>
        <w:rPr>
          <w:rFonts w:ascii="微软雅黑" w:hAnsi="微软雅黑" w:cs="微软雅黑"/>
          <w:color w:val="404040"/>
          <w:sz w:val="24"/>
          <w:szCs w:val="24"/>
        </w:rPr>
      </w:pPr>
      <w:r>
        <w:rPr>
          <w:rFonts w:ascii="微软雅黑" w:hAnsi="微软雅黑" w:cs="微软雅黑"/>
          <w:color w:val="404040"/>
          <w:sz w:val="24"/>
          <w:szCs w:val="24"/>
        </w:rPr>
        <w:t>创世时间beginEpochTime()和getEpochTime(time)两个私有方法定义了首尾两个时间点，其他的方法都是基于这两个方法计算出来的时间段，所以不会出现时间上不统一的错误。</w:t>
      </w:r>
    </w:p>
    <w:p>
      <w:pPr>
        <w:rPr>
          <w:rFonts w:ascii="微软雅黑" w:hAnsi="微软雅黑" w:cs="微软雅黑"/>
          <w:color w:val="404040"/>
          <w:sz w:val="24"/>
          <w:szCs w:val="24"/>
        </w:rPr>
      </w:pPr>
      <w:r>
        <w:rPr>
          <w:rFonts w:ascii="微软雅黑" w:hAnsi="微软雅黑" w:cs="微软雅黑"/>
          <w:color w:val="404040"/>
          <w:sz w:val="24"/>
          <w:szCs w:val="24"/>
        </w:rPr>
        <w:t>（2）编码风险</w:t>
      </w:r>
    </w:p>
    <w:p>
      <w:pPr>
        <w:rPr>
          <w:rFonts w:ascii="微软雅黑" w:hAnsi="微软雅黑" w:cs="微软雅黑"/>
          <w:color w:val="404040"/>
          <w:sz w:val="24"/>
          <w:szCs w:val="24"/>
        </w:rPr>
      </w:pPr>
      <w:r>
        <w:rPr>
          <w:rFonts w:ascii="微软雅黑" w:hAnsi="微软雅黑" w:cs="微软雅黑"/>
          <w:color w:val="404040"/>
          <w:sz w:val="24"/>
          <w:szCs w:val="24"/>
        </w:rPr>
        <w:t>但是，唯一可能出现错误的地方，就是getEpochTime(time)方法，看下面代码的16行，new Date() 方法获得的是操作系统的时间，这个是可以人为改变的，一般情况下不会有什么影响，但个别情况也可能引起分叉行为。</w:t>
      </w:r>
    </w:p>
    <w:p>
      <w:pPr>
        <w:rPr>
          <w:rFonts w:ascii="微软雅黑" w:hAnsi="微软雅黑" w:cs="微软雅黑"/>
          <w:color w:val="404040"/>
          <w:sz w:val="24"/>
          <w:szCs w:val="24"/>
        </w:rPr>
      </w:pPr>
      <w:r>
        <w:rPr>
          <w:rFonts w:ascii="微软雅黑" w:hAnsi="微软雅黑" w:cs="微软雅黑"/>
          <w:color w:val="404040"/>
          <w:sz w:val="24"/>
          <w:szCs w:val="24"/>
        </w:rPr>
        <w:t>// helpers/slots.js</w:t>
      </w:r>
    </w:p>
    <w:p>
      <w:pPr>
        <w:rPr>
          <w:rFonts w:ascii="微软雅黑" w:hAnsi="微软雅黑" w:cs="微软雅黑"/>
          <w:color w:val="404040"/>
          <w:sz w:val="24"/>
          <w:szCs w:val="24"/>
        </w:rPr>
      </w:pPr>
      <w:r>
        <w:rPr>
          <w:rFonts w:ascii="微软雅黑" w:hAnsi="微软雅黑" w:cs="微软雅黑"/>
          <w:color w:val="404040"/>
          <w:sz w:val="24"/>
          <w:szCs w:val="24"/>
        </w:rPr>
        <w:t>function getEpochTime(time) {</w:t>
      </w:r>
    </w:p>
    <w:p>
      <w:pPr>
        <w:rPr>
          <w:rFonts w:ascii="微软雅黑" w:hAnsi="微软雅黑" w:cs="微软雅黑"/>
          <w:color w:val="404040"/>
          <w:sz w:val="24"/>
          <w:szCs w:val="24"/>
        </w:rPr>
      </w:pPr>
      <w:r>
        <w:rPr>
          <w:rFonts w:ascii="微软雅黑" w:hAnsi="微软雅黑" w:cs="微软雅黑"/>
          <w:color w:val="404040"/>
          <w:sz w:val="24"/>
          <w:szCs w:val="24"/>
        </w:rPr>
        <w:t xml:space="preserve">   if (time === undefined) {</w:t>
      </w:r>
    </w:p>
    <w:p>
      <w:pPr>
        <w:rPr>
          <w:rFonts w:ascii="微软雅黑" w:hAnsi="微软雅黑" w:cs="微软雅黑"/>
          <w:color w:val="404040"/>
          <w:sz w:val="24"/>
          <w:szCs w:val="24"/>
        </w:rPr>
      </w:pPr>
      <w:r>
        <w:rPr>
          <w:rFonts w:ascii="微软雅黑" w:hAnsi="微软雅黑" w:cs="微软雅黑"/>
          <w:color w:val="404040"/>
          <w:sz w:val="24"/>
          <w:szCs w:val="24"/>
        </w:rPr>
        <w:t xml:space="preserve">     // 16行</w:t>
      </w:r>
    </w:p>
    <w:p>
      <w:pPr>
        <w:rPr>
          <w:rFonts w:ascii="微软雅黑" w:hAnsi="微软雅黑" w:cs="微软雅黑"/>
          <w:color w:val="404040"/>
          <w:sz w:val="24"/>
          <w:szCs w:val="24"/>
        </w:rPr>
      </w:pPr>
      <w:r>
        <w:rPr>
          <w:rFonts w:ascii="微软雅黑" w:hAnsi="微软雅黑" w:cs="微软雅黑"/>
          <w:color w:val="404040"/>
          <w:sz w:val="24"/>
          <w:szCs w:val="24"/>
        </w:rPr>
        <w:t xml:space="preserve">     time = (new Date()).getTime();</w:t>
      </w:r>
    </w:p>
    <w:p>
      <w:pPr>
        <w:rPr>
          <w:rFonts w:ascii="微软雅黑" w:hAnsi="微软雅黑" w:cs="微软雅黑"/>
          <w:color w:val="404040"/>
          <w:sz w:val="24"/>
          <w:szCs w:val="24"/>
        </w:rPr>
      </w:pPr>
      <w:r>
        <w:rPr>
          <w:rFonts w:ascii="微软雅黑" w:hAnsi="微软雅黑" w:cs="微软雅黑"/>
          <w:color w:val="404040"/>
          <w:sz w:val="24"/>
          <w:szCs w:val="24"/>
        </w:rPr>
        <w:t xml:space="preserve">   }</w:t>
      </w:r>
    </w:p>
    <w:p>
      <w:pPr>
        <w:rPr>
          <w:rFonts w:ascii="微软雅黑" w:hAnsi="微软雅黑" w:cs="微软雅黑"/>
          <w:color w:val="404040"/>
          <w:sz w:val="24"/>
          <w:szCs w:val="24"/>
        </w:rPr>
      </w:pPr>
      <w:r>
        <w:rPr>
          <w:rFonts w:ascii="微软雅黑" w:hAnsi="微软雅黑" w:cs="微软雅黑"/>
          <w:color w:val="404040"/>
          <w:sz w:val="24"/>
          <w:szCs w:val="24"/>
        </w:rPr>
        <w:t xml:space="preserve">   var d = beginEpochTime();</w:t>
      </w:r>
    </w:p>
    <w:p>
      <w:pPr>
        <w:rPr>
          <w:rFonts w:ascii="微软雅黑" w:hAnsi="微软雅黑" w:cs="微软雅黑"/>
          <w:color w:val="404040"/>
          <w:sz w:val="24"/>
          <w:szCs w:val="24"/>
        </w:rPr>
      </w:pPr>
      <w:r>
        <w:rPr>
          <w:rFonts w:ascii="微软雅黑" w:hAnsi="微软雅黑" w:cs="微软雅黑"/>
          <w:color w:val="404040"/>
          <w:sz w:val="24"/>
          <w:szCs w:val="24"/>
        </w:rPr>
        <w:t xml:space="preserve">   var t = d.getTime();</w:t>
      </w:r>
    </w:p>
    <w:p>
      <w:pPr>
        <w:rPr>
          <w:rFonts w:ascii="微软雅黑" w:hAnsi="微软雅黑" w:cs="微软雅黑"/>
          <w:color w:val="404040"/>
          <w:sz w:val="24"/>
          <w:szCs w:val="24"/>
        </w:rPr>
      </w:pPr>
      <w:r>
        <w:rPr>
          <w:rFonts w:ascii="微软雅黑" w:hAnsi="微软雅黑" w:cs="微软雅黑"/>
          <w:color w:val="404040"/>
          <w:sz w:val="24"/>
          <w:szCs w:val="24"/>
        </w:rPr>
        <w:t xml:space="preserve">   return Math.floor((time - t) / 1000);</w:t>
      </w:r>
    </w:p>
    <w:p>
      <w:pPr>
        <w:rPr>
          <w:rFonts w:ascii="微软雅黑" w:hAnsi="微软雅黑" w:cs="微软雅黑"/>
          <w:color w:val="404040"/>
          <w:sz w:val="24"/>
          <w:szCs w:val="24"/>
        </w:rPr>
      </w:pPr>
      <w:r>
        <w:rPr>
          <w:rFonts w:ascii="微软雅黑" w:hAnsi="微软雅黑" w:cs="微软雅黑"/>
          <w:color w:val="404040"/>
          <w:sz w:val="24"/>
          <w:szCs w:val="24"/>
        </w:rPr>
        <w:t>}</w:t>
      </w:r>
    </w:p>
    <w:p>
      <w:pPr>
        <w:rPr>
          <w:rFonts w:ascii="微软雅黑" w:hAnsi="微软雅黑" w:cs="微软雅黑"/>
          <w:color w:val="404040"/>
          <w:sz w:val="24"/>
          <w:szCs w:val="24"/>
        </w:rPr>
      </w:pPr>
      <w:r>
        <w:rPr>
          <w:rFonts w:ascii="微软雅黑" w:hAnsi="微软雅黑" w:cs="微软雅黑"/>
          <w:color w:val="404040"/>
          <w:sz w:val="24"/>
          <w:szCs w:val="24"/>
        </w:rPr>
        <w:t>（3）周期实现</w:t>
      </w:r>
    </w:p>
    <w:p>
      <w:pPr>
        <w:rPr>
          <w:rFonts w:ascii="微软雅黑" w:hAnsi="微软雅黑" w:cs="微软雅黑"/>
          <w:color w:val="404040"/>
          <w:sz w:val="24"/>
          <w:szCs w:val="24"/>
        </w:rPr>
      </w:pPr>
      <w:r>
        <w:rPr>
          <w:rFonts w:ascii="微软雅黑" w:hAnsi="微软雅黑" w:cs="微软雅黑"/>
          <w:color w:val="404040"/>
          <w:sz w:val="24"/>
          <w:szCs w:val="24"/>
        </w:rPr>
        <w:t xml:space="preserve">从现在时间点到创世时间，有一个时间段，大小假设为 t，那么 t/10 取整，就是当前时段数（getSlotNumber()）），这里的10是由 constants.slots.interval 设定的。 </w:t>
      </w:r>
    </w:p>
    <w:p>
      <w:pPr>
        <w:rPr>
          <w:rFonts w:ascii="微软雅黑" w:hAnsi="微软雅黑" w:cs="微软雅黑"/>
          <w:color w:val="404040"/>
          <w:sz w:val="24"/>
          <w:szCs w:val="24"/>
        </w:rPr>
      </w:pPr>
      <w:r>
        <w:rPr>
          <w:rFonts w:ascii="微软雅黑" w:hAnsi="微软雅黑" w:cs="微软雅黑"/>
          <w:color w:val="404040"/>
          <w:sz w:val="24"/>
          <w:szCs w:val="24"/>
        </w:rPr>
        <w:t>具体到一个受托人，它处理的区块时段值相差应该是受托人总数，这里是101, 这个值由 constants.delegates 设定</w:t>
      </w:r>
      <w:r>
        <w:rPr>
          <w:rFonts w:hint="eastAsia" w:ascii="微软雅黑" w:hAnsi="微软雅黑" w:cs="微软雅黑"/>
          <w:color w:val="404040"/>
          <w:sz w:val="24"/>
          <w:szCs w:val="24"/>
        </w:rPr>
        <w:t>。</w:t>
      </w:r>
      <w:r>
        <w:rPr>
          <w:rFonts w:ascii="微软雅黑" w:hAnsi="微软雅黑" w:cs="微软雅黑"/>
          <w:color w:val="404040"/>
          <w:sz w:val="24"/>
          <w:szCs w:val="24"/>
        </w:rPr>
        <w:t>因此，getLastSlot()方法</w:t>
      </w:r>
    </w:p>
    <w:p>
      <w:pPr>
        <w:rPr>
          <w:rFonts w:ascii="微软雅黑" w:hAnsi="微软雅黑" w:cs="微软雅黑"/>
          <w:color w:val="404040"/>
          <w:sz w:val="24"/>
          <w:szCs w:val="24"/>
        </w:rPr>
      </w:pPr>
      <w:r>
        <w:rPr>
          <w:rFonts w:ascii="微软雅黑" w:hAnsi="微软雅黑" w:cs="微软雅黑"/>
          <w:color w:val="404040"/>
          <w:sz w:val="24"/>
          <w:szCs w:val="24"/>
        </w:rPr>
        <w:t>（helpers/slots.js）返回的是受托人最新时段值。</w:t>
      </w:r>
    </w:p>
    <w:p>
      <w:pPr>
        <w:pStyle w:val="3"/>
        <w:rPr>
          <w:rFonts w:ascii="微软雅黑" w:hAnsi="微软雅黑" w:cs="微软雅黑"/>
          <w:b w:val="0"/>
          <w:color w:val="404040"/>
          <w:sz w:val="24"/>
          <w:szCs w:val="24"/>
        </w:rPr>
      </w:pPr>
      <w:bookmarkStart w:id="77" w:name="_Toc516005301"/>
      <w:r>
        <w:rPr>
          <w:rFonts w:ascii="微软雅黑" w:hAnsi="微软雅黑" w:cs="微软雅黑"/>
          <w:b w:val="0"/>
          <w:color w:val="404040"/>
          <w:sz w:val="24"/>
          <w:szCs w:val="24"/>
        </w:rPr>
        <w:t>4.受托人（循环）周期（Round）</w:t>
      </w:r>
      <w:bookmarkEnd w:id="77"/>
    </w:p>
    <w:p>
      <w:pPr>
        <w:rPr>
          <w:rFonts w:ascii="微软雅黑" w:hAnsi="微软雅黑" w:cs="微软雅黑"/>
          <w:color w:val="404040"/>
          <w:sz w:val="24"/>
          <w:szCs w:val="24"/>
        </w:rPr>
      </w:pPr>
      <w:r>
        <w:rPr>
          <w:rFonts w:ascii="微软雅黑" w:hAnsi="微软雅黑" w:cs="微软雅黑"/>
          <w:color w:val="404040"/>
          <w:sz w:val="24"/>
          <w:szCs w:val="24"/>
        </w:rPr>
        <w:t>为了安全，受托人每轮都要变更，确保那些不稳定或者做坏事的节点被及时剔除出去。另外，尽管系统会随机找寻受托人产生新块，但是在一个轮次内，每个受托人都有机会产生一个新区块（并获得奖励）并广播，这一点与比特币每个节点都要通过工作量证明机制（PoW）竞争获得广播权相比，要简化很多。</w:t>
      </w:r>
    </w:p>
    <w:p>
      <w:pPr>
        <w:pStyle w:val="3"/>
        <w:rPr>
          <w:rFonts w:ascii="微软雅黑" w:hAnsi="微软雅黑" w:cs="微软雅黑"/>
          <w:b w:val="0"/>
          <w:color w:val="404040"/>
          <w:sz w:val="24"/>
          <w:szCs w:val="24"/>
        </w:rPr>
      </w:pPr>
      <w:bookmarkStart w:id="78" w:name="_Toc516005302"/>
      <w:r>
        <w:rPr>
          <w:rFonts w:ascii="微软雅黑" w:hAnsi="微软雅黑" w:cs="微软雅黑"/>
          <w:b w:val="0"/>
          <w:color w:val="404040"/>
          <w:sz w:val="24"/>
          <w:szCs w:val="24"/>
        </w:rPr>
        <w:t>5.奖励周期（Milestones）</w:t>
      </w:r>
      <w:bookmarkEnd w:id="78"/>
    </w:p>
    <w:p>
      <w:pPr>
        <w:rPr>
          <w:rFonts w:ascii="微软雅黑" w:hAnsi="微软雅黑" w:cs="微软雅黑"/>
          <w:color w:val="404040"/>
          <w:sz w:val="24"/>
          <w:szCs w:val="24"/>
        </w:rPr>
      </w:pPr>
      <w:r>
        <w:rPr>
          <w:rFonts w:ascii="微软雅黑" w:hAnsi="微软雅黑" w:cs="微软雅黑"/>
          <w:color w:val="404040"/>
          <w:sz w:val="24"/>
          <w:szCs w:val="24"/>
        </w:rPr>
        <w:t>该周期主要针对块奖励进行设置，与比特币的块奖励每4年减半类似，IFT的块奖励也会遵循一定规则。大致的情况是这样的，第一阶段（大概1年）奖励5IFTC/块，第二年奖励4IFTC/块，4年之后降到1IFTC/块，以后永远保持1IFTC/块，所以总量始终在少量增发。</w:t>
      </w:r>
    </w:p>
    <w:p>
      <w:pPr>
        <w:rPr>
          <w:rFonts w:ascii="微软雅黑" w:hAnsi="微软雅黑" w:cs="微软雅黑"/>
          <w:color w:val="404040"/>
          <w:sz w:val="24"/>
          <w:szCs w:val="24"/>
        </w:rPr>
      </w:pPr>
      <w:r>
        <w:rPr>
          <w:rFonts w:ascii="微软雅黑" w:hAnsi="微软雅黑" w:cs="微软雅黑"/>
          <w:color w:val="404040"/>
          <w:sz w:val="24"/>
          <w:szCs w:val="24"/>
        </w:rPr>
        <w:t>具体增发量很容易计算，第一阶段时间长度 = rewards.distance 10秒 / （24 60 60） = 347.2天，增发量 = rewards.distance 5 = 3000000 * 5 = 1500万。第二阶段1200万，第三阶段900万，第四阶段600万，以后每阶段300万。这种适当通胀的情况是DPoS机制的一个特点，也是为了给节点提供奖励，争取更多用户为网络做贡献。</w:t>
      </w:r>
    </w:p>
    <w:p>
      <w:pPr>
        <w:pStyle w:val="3"/>
        <w:rPr>
          <w:rFonts w:ascii="微软雅黑" w:hAnsi="微软雅黑" w:eastAsia="微软雅黑" w:cs="微软雅黑"/>
          <w:color w:val="404040"/>
          <w:sz w:val="24"/>
          <w:szCs w:val="24"/>
        </w:rPr>
      </w:pPr>
      <w:bookmarkStart w:id="79" w:name="_Toc516005303"/>
      <w:r>
        <w:rPr>
          <w:rFonts w:ascii="微软雅黑" w:hAnsi="微软雅黑" w:eastAsia="微软雅黑" w:cs="微软雅黑"/>
          <w:color w:val="404040"/>
          <w:sz w:val="24"/>
          <w:szCs w:val="24"/>
        </w:rPr>
        <w:t>6</w:t>
      </w:r>
      <w:r>
        <w:rPr>
          <w:rFonts w:hint="eastAsia" w:ascii="微软雅黑" w:hAnsi="微软雅黑" w:eastAsia="微软雅黑" w:cs="微软雅黑"/>
          <w:color w:val="404040"/>
          <w:sz w:val="24"/>
          <w:szCs w:val="24"/>
        </w:rPr>
        <w:t>.底层架构</w:t>
      </w:r>
      <w:bookmarkEnd w:id="79"/>
      <w:r>
        <w:rPr>
          <w:rFonts w:hint="eastAsia" w:ascii="微软雅黑" w:hAnsi="微软雅黑" w:eastAsia="微软雅黑" w:cs="微软雅黑"/>
          <w:color w:val="404040"/>
          <w:sz w:val="24"/>
          <w:szCs w:val="24"/>
        </w:rPr>
        <w:t xml:space="preserve"> </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IFT的底层架构如下图所示。 </w:t>
      </w:r>
    </w:p>
    <w:p>
      <w:pPr>
        <w:rPr>
          <w:rFonts w:ascii="微软雅黑" w:hAnsi="微软雅黑" w:cs="微软雅黑"/>
          <w:color w:val="404040"/>
          <w:sz w:val="24"/>
          <w:szCs w:val="24"/>
        </w:rPr>
      </w:pPr>
      <w:r>
        <w:rPr>
          <w:rFonts w:ascii="微软雅黑" w:hAnsi="微软雅黑" w:cs="微软雅黑"/>
          <w:color w:val="404040"/>
          <w:sz w:val="24"/>
          <w:szCs w:val="24"/>
        </w:rPr>
        <w:drawing>
          <wp:inline distT="0" distB="0" distL="0" distR="0">
            <wp:extent cx="5270500" cy="4203700"/>
            <wp:effectExtent l="0" t="0" r="0" b="0"/>
            <wp:docPr id="4" name="图片 3" descr="759983478113145391"/>
            <wp:cNvGraphicFramePr/>
            <a:graphic xmlns:a="http://schemas.openxmlformats.org/drawingml/2006/main">
              <a:graphicData uri="http://schemas.openxmlformats.org/drawingml/2006/picture">
                <pic:pic xmlns:pic="http://schemas.openxmlformats.org/drawingml/2006/picture">
                  <pic:nvPicPr>
                    <pic:cNvPr id="4" name="图片 3" descr="75998347811314539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4203700"/>
                    </a:xfrm>
                    <a:prstGeom prst="rect">
                      <a:avLst/>
                    </a:prstGeom>
                    <a:noFill/>
                    <a:ln>
                      <a:noFill/>
                    </a:ln>
                  </pic:spPr>
                </pic:pic>
              </a:graphicData>
            </a:graphic>
          </wp:inline>
        </w:drawing>
      </w:r>
    </w:p>
    <w:p>
      <w:pPr>
        <w:jc w:val="center"/>
        <w:rPr>
          <w:rFonts w:ascii="微软雅黑" w:hAnsi="微软雅黑" w:cs="微软雅黑"/>
          <w:color w:val="404040"/>
          <w:sz w:val="24"/>
          <w:szCs w:val="24"/>
        </w:rPr>
      </w:pPr>
      <w:r>
        <w:rPr>
          <w:rFonts w:hint="eastAsia" w:ascii="微软雅黑" w:hAnsi="微软雅黑" w:cs="微软雅黑"/>
          <w:color w:val="404040"/>
          <w:sz w:val="24"/>
          <w:szCs w:val="24"/>
        </w:rPr>
        <w:t>图6-1：IFT底层架构</w:t>
      </w:r>
    </w:p>
    <w:p>
      <w:pPr>
        <w:pStyle w:val="4"/>
        <w:rPr>
          <w:rFonts w:ascii="微软雅黑" w:hAnsi="微软雅黑" w:eastAsia="微软雅黑" w:cs="微软雅黑"/>
          <w:color w:val="404040"/>
          <w:sz w:val="24"/>
          <w:szCs w:val="24"/>
        </w:rPr>
      </w:pPr>
      <w:bookmarkStart w:id="80" w:name="_Toc516005304"/>
      <w:r>
        <w:rPr>
          <w:rFonts w:ascii="微软雅黑" w:hAnsi="微软雅黑" w:eastAsia="微软雅黑" w:cs="微软雅黑"/>
          <w:color w:val="404040"/>
          <w:sz w:val="24"/>
          <w:szCs w:val="24"/>
        </w:rPr>
        <w:t>6.1.</w:t>
      </w:r>
      <w:r>
        <w:rPr>
          <w:rFonts w:hint="eastAsia" w:ascii="微软雅黑" w:hAnsi="微软雅黑" w:eastAsia="微软雅黑" w:cs="微软雅黑"/>
          <w:color w:val="404040"/>
          <w:sz w:val="24"/>
          <w:szCs w:val="24"/>
        </w:rPr>
        <w:t xml:space="preserve"> SDK与BaaS平台</w:t>
      </w:r>
      <w:bookmarkEnd w:id="80"/>
      <w:r>
        <w:rPr>
          <w:rFonts w:hint="eastAsia" w:ascii="微软雅黑" w:hAnsi="微软雅黑" w:eastAsia="微软雅黑" w:cs="微软雅黑"/>
          <w:color w:val="404040"/>
          <w:sz w:val="24"/>
          <w:szCs w:val="24"/>
        </w:rPr>
        <w:t xml:space="preserve"> </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IFT将为上层应用提供gRPC API，以及封装了API的SDK供应用调用。应用可以通过 SDK 访问IFT网络中的多种资源，包括IFTC账户、交易、账本、智能合约、监听（由智能合约发送或区块生成的）事件等。IFT SDK 同时将封装更多IFT场景下的特有功能，包括IFTC钱包、IP内容查询与访问等。IFT SDK初期将包括NodeJs和Python版本。IFT将上线完全公开的区块链服务（BaaS）平台，提供一站式的测试网络搭建、分布式账本内容可视化呈现、智能合约开发与测试、网络监控与分析等功能。BaaS平台提供的区块链模拟环境将贴近实际应用场景，使开发者可以将经过检验的业务模型很容易地迁移发布到IFT主链。 </w:t>
      </w:r>
    </w:p>
    <w:p>
      <w:pPr>
        <w:rPr>
          <w:rFonts w:ascii="微软雅黑" w:hAnsi="微软雅黑" w:cs="微软雅黑"/>
          <w:color w:val="404040"/>
          <w:sz w:val="24"/>
          <w:szCs w:val="24"/>
        </w:rPr>
      </w:pPr>
    </w:p>
    <w:p>
      <w:pPr>
        <w:pStyle w:val="3"/>
        <w:rPr>
          <w:rFonts w:ascii="微软雅黑" w:hAnsi="微软雅黑" w:eastAsia="微软雅黑" w:cs="微软雅黑"/>
          <w:sz w:val="24"/>
          <w:szCs w:val="24"/>
        </w:rPr>
      </w:pPr>
      <w:bookmarkStart w:id="81" w:name="_Toc516005305"/>
      <w:r>
        <w:rPr>
          <w:rFonts w:hint="eastAsia" w:ascii="微软雅黑" w:hAnsi="微软雅黑" w:eastAsia="微软雅黑" w:cs="微软雅黑"/>
          <w:sz w:val="24"/>
          <w:szCs w:val="24"/>
        </w:rPr>
        <w:t>7</w:t>
      </w:r>
      <w:r>
        <w:rPr>
          <w:rFonts w:ascii="微软雅黑" w:hAnsi="微软雅黑" w:eastAsia="微软雅黑" w:cs="微软雅黑"/>
          <w:sz w:val="24"/>
          <w:szCs w:val="24"/>
        </w:rPr>
        <w:t>.</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全球分布式项目开发</w:t>
      </w:r>
      <w:bookmarkEnd w:id="81"/>
    </w:p>
    <w:p>
      <w:pPr>
        <w:rPr>
          <w:rFonts w:ascii="微软雅黑" w:hAnsi="微软雅黑" w:cs="微软雅黑"/>
          <w:color w:val="404040"/>
          <w:sz w:val="24"/>
          <w:szCs w:val="24"/>
        </w:rPr>
      </w:pPr>
      <w:r>
        <w:rPr>
          <w:rFonts w:hint="eastAsia" w:ascii="微软雅黑" w:hAnsi="微软雅黑" w:cs="微软雅黑"/>
          <w:color w:val="404040"/>
          <w:sz w:val="24"/>
          <w:szCs w:val="24"/>
        </w:rPr>
        <w:t>聚全球开发者之力创造IFT平台， 开源核心代码，全球的程序员都可以进行再次开发和bug修复提交。IFT平台做的全球分布式开发系统，核心是提供了开发者一套参与开发的奖励机制，运营者提供开发任务 ，由全球的开发者认领开发竞争，根据平台规则在GitHub上每一条并入主线的任务代码都会获得IFTC代币奖励，激励全球更多优秀的开发者参与完善IFT平台。</w:t>
      </w:r>
    </w:p>
    <w:p>
      <w:pPr>
        <w:rPr>
          <w:rFonts w:ascii="微软雅黑" w:hAnsi="微软雅黑" w:cs="微软雅黑"/>
          <w:color w:val="404040"/>
          <w:sz w:val="24"/>
          <w:szCs w:val="24"/>
        </w:rPr>
      </w:pPr>
    </w:p>
    <w:p>
      <w:pPr>
        <w:rPr>
          <w:rFonts w:ascii="微软雅黑" w:hAnsi="微软雅黑" w:cs="微软雅黑"/>
          <w:color w:val="404040"/>
          <w:sz w:val="24"/>
          <w:szCs w:val="24"/>
        </w:rPr>
      </w:pPr>
    </w:p>
    <w:p>
      <w:pPr>
        <w:pStyle w:val="2"/>
        <w:rPr>
          <w:rFonts w:ascii="微软雅黑" w:hAnsi="微软雅黑" w:eastAsia="微软雅黑" w:cs="微软雅黑"/>
          <w:color w:val="404040"/>
          <w:kern w:val="0"/>
          <w:szCs w:val="24"/>
        </w:rPr>
      </w:pPr>
      <w:bookmarkStart w:id="82" w:name="_Toc23259"/>
      <w:bookmarkStart w:id="83" w:name="_Toc18145"/>
      <w:bookmarkStart w:id="84" w:name="_Toc9739"/>
      <w:bookmarkStart w:id="85" w:name="_Toc26029_WPSOffice_Level1"/>
      <w:bookmarkStart w:id="86" w:name="_Toc516005306"/>
      <w:bookmarkStart w:id="87" w:name="_Toc19884_WPSOffice_Level1"/>
      <w:bookmarkStart w:id="88" w:name="_Toc513804297"/>
      <w:r>
        <w:rPr>
          <w:rFonts w:hint="eastAsia" w:ascii="微软雅黑" w:hAnsi="微软雅黑" w:eastAsia="微软雅黑" w:cs="微软雅黑"/>
          <w:color w:val="404040"/>
          <w:kern w:val="0"/>
          <w:szCs w:val="24"/>
        </w:rPr>
        <w:t>四、代币发行计划</w:t>
      </w:r>
      <w:bookmarkEnd w:id="82"/>
      <w:bookmarkEnd w:id="83"/>
      <w:bookmarkEnd w:id="84"/>
      <w:bookmarkEnd w:id="85"/>
      <w:bookmarkEnd w:id="86"/>
      <w:bookmarkEnd w:id="87"/>
    </w:p>
    <w:p>
      <w:pPr>
        <w:rPr>
          <w:rFonts w:ascii="微软雅黑" w:hAnsi="微软雅黑" w:cs="微软雅黑"/>
          <w:b/>
          <w:bCs/>
          <w:color w:val="404040"/>
          <w:sz w:val="24"/>
          <w:szCs w:val="24"/>
        </w:rPr>
      </w:pPr>
      <w:bookmarkStart w:id="89" w:name="_Toc11862"/>
      <w:bookmarkStart w:id="90" w:name="_Toc22971"/>
      <w:bookmarkStart w:id="91" w:name="_Toc1630_WPSOffice_Level1"/>
      <w:bookmarkStart w:id="92" w:name="_Toc12374"/>
      <w:bookmarkStart w:id="93" w:name="_Toc14_WPSOffice_Level1"/>
      <w:r>
        <w:rPr>
          <w:rFonts w:hint="eastAsia" w:ascii="微软雅黑" w:hAnsi="微软雅黑" w:cs="微软雅黑"/>
          <w:b/>
          <w:bCs/>
          <w:color w:val="404040"/>
          <w:sz w:val="24"/>
          <w:szCs w:val="24"/>
        </w:rPr>
        <w:t>Internet FinTech Coin代币</w:t>
      </w:r>
    </w:p>
    <w:p>
      <w:pPr>
        <w:rPr>
          <w:rFonts w:ascii="微软雅黑" w:hAnsi="微软雅黑" w:cs="微软雅黑"/>
          <w:color w:val="404040"/>
          <w:sz w:val="24"/>
          <w:szCs w:val="24"/>
        </w:rPr>
      </w:pPr>
      <w:r>
        <w:rPr>
          <w:rFonts w:hint="eastAsia" w:ascii="微软雅黑" w:hAnsi="微软雅黑" w:cs="微软雅黑"/>
          <w:color w:val="404040"/>
          <w:sz w:val="24"/>
          <w:szCs w:val="24"/>
        </w:rPr>
        <w:t>【项目名称】：Internet FinTech Coin</w:t>
      </w:r>
    </w:p>
    <w:p>
      <w:pPr>
        <w:rPr>
          <w:rFonts w:ascii="微软雅黑" w:hAnsi="微软雅黑" w:cs="微软雅黑"/>
          <w:color w:val="404040"/>
          <w:sz w:val="24"/>
          <w:szCs w:val="24"/>
        </w:rPr>
      </w:pPr>
      <w:r>
        <w:rPr>
          <w:rFonts w:hint="eastAsia" w:ascii="微软雅黑" w:hAnsi="微软雅黑" w:cs="微软雅黑"/>
          <w:color w:val="404040"/>
          <w:sz w:val="24"/>
          <w:szCs w:val="24"/>
        </w:rPr>
        <w:t>【代币名称】：IFTC</w:t>
      </w:r>
    </w:p>
    <w:p>
      <w:pPr>
        <w:rPr>
          <w:rFonts w:ascii="微软雅黑" w:hAnsi="微软雅黑" w:cs="微软雅黑"/>
          <w:sz w:val="24"/>
          <w:szCs w:val="24"/>
        </w:rPr>
      </w:pPr>
      <w:r>
        <w:rPr>
          <w:rFonts w:hint="eastAsia" w:ascii="微软雅黑" w:hAnsi="微软雅黑" w:cs="微软雅黑"/>
          <w:sz w:val="24"/>
          <w:szCs w:val="24"/>
        </w:rPr>
        <w:t>【代币类型】： ERC20</w:t>
      </w:r>
    </w:p>
    <w:p>
      <w:pPr>
        <w:rPr>
          <w:rFonts w:ascii="微软雅黑" w:hAnsi="微软雅黑" w:cs="微软雅黑"/>
          <w:color w:val="404040"/>
          <w:sz w:val="24"/>
          <w:szCs w:val="24"/>
        </w:rPr>
      </w:pPr>
      <w:r>
        <w:rPr>
          <w:rFonts w:hint="eastAsia" w:ascii="微软雅黑" w:hAnsi="微软雅黑" w:cs="微软雅黑"/>
          <w:color w:val="404040"/>
          <w:sz w:val="24"/>
          <w:szCs w:val="24"/>
        </w:rPr>
        <w:t>【代币总量】：12亿</w:t>
      </w:r>
    </w:p>
    <w:p>
      <w:pPr>
        <w:rPr>
          <w:rFonts w:ascii="微软雅黑" w:hAnsi="微软雅黑" w:cs="微软雅黑"/>
          <w:color w:val="404040"/>
          <w:sz w:val="24"/>
          <w:szCs w:val="24"/>
        </w:rPr>
      </w:pPr>
    </w:p>
    <w:p>
      <w:pPr>
        <w:rPr>
          <w:rFonts w:ascii="微软雅黑" w:hAnsi="微软雅黑" w:cs="微软雅黑"/>
          <w:b/>
          <w:bCs/>
          <w:color w:val="000000"/>
          <w:sz w:val="24"/>
          <w:szCs w:val="24"/>
        </w:rPr>
      </w:pPr>
      <w:r>
        <w:rPr>
          <w:rFonts w:hint="eastAsia" w:ascii="微软雅黑" w:hAnsi="微软雅黑" w:cs="微软雅黑"/>
          <w:b/>
          <w:bCs/>
          <w:color w:val="000000"/>
          <w:sz w:val="24"/>
          <w:szCs w:val="24"/>
        </w:rPr>
        <w:t>代币分配</w:t>
      </w:r>
    </w:p>
    <w:p>
      <w:pPr>
        <w:rPr>
          <w:rFonts w:ascii="微软雅黑" w:hAnsi="微软雅黑" w:cs="微软雅黑"/>
          <w:color w:val="404040"/>
          <w:sz w:val="24"/>
          <w:szCs w:val="24"/>
        </w:rPr>
      </w:pPr>
      <w:r>
        <w:rPr>
          <w:rFonts w:hint="eastAsia" w:ascii="微软雅黑" w:hAnsi="微软雅黑" w:cs="微软雅黑"/>
          <w:color w:val="404040"/>
          <w:sz w:val="24"/>
          <w:szCs w:val="24"/>
        </w:rPr>
        <w:t>团队股东持有：1亿并锁定一年。</w:t>
      </w:r>
    </w:p>
    <w:p>
      <w:pPr>
        <w:rPr>
          <w:rFonts w:ascii="微软雅黑" w:hAnsi="微软雅黑" w:cs="微软雅黑"/>
          <w:color w:val="404040"/>
          <w:sz w:val="24"/>
          <w:szCs w:val="24"/>
        </w:rPr>
      </w:pPr>
      <w:r>
        <w:rPr>
          <w:rFonts w:hint="eastAsia" w:ascii="微软雅黑" w:hAnsi="微软雅黑" w:cs="微软雅黑"/>
          <w:color w:val="404040"/>
          <w:sz w:val="24"/>
          <w:szCs w:val="24"/>
        </w:rPr>
        <w:t>IFT营销：1亿，营销推广、IFT社区平台空投。</w:t>
      </w:r>
    </w:p>
    <w:p>
      <w:pPr>
        <w:rPr>
          <w:rFonts w:ascii="微软雅黑" w:hAnsi="微软雅黑" w:cs="微软雅黑"/>
          <w:sz w:val="24"/>
          <w:szCs w:val="24"/>
        </w:rPr>
      </w:pPr>
      <w:r>
        <w:rPr>
          <w:rFonts w:hint="eastAsia" w:ascii="微软雅黑" w:hAnsi="微软雅黑" w:cs="微软雅黑"/>
          <w:sz w:val="24"/>
          <w:szCs w:val="24"/>
        </w:rPr>
        <w:t>开发者奖励：0</w:t>
      </w:r>
      <w:r>
        <w:rPr>
          <w:rFonts w:ascii="微软雅黑" w:hAnsi="微软雅黑" w:cs="微软雅黑"/>
          <w:sz w:val="24"/>
          <w:szCs w:val="24"/>
        </w:rPr>
        <w:t>.5</w:t>
      </w:r>
      <w:r>
        <w:rPr>
          <w:rFonts w:hint="eastAsia" w:ascii="微软雅黑" w:hAnsi="微软雅黑" w:cs="微软雅黑"/>
          <w:sz w:val="24"/>
          <w:szCs w:val="24"/>
        </w:rPr>
        <w:t>亿，项目开发采取中心集成分布开发策略， 聚集全球有能力的开发者联合开发 ，用其中</w:t>
      </w:r>
      <w:r>
        <w:rPr>
          <w:rFonts w:ascii="微软雅黑" w:hAnsi="微软雅黑" w:cs="微软雅黑"/>
          <w:sz w:val="24"/>
          <w:szCs w:val="24"/>
        </w:rPr>
        <w:t>0.5</w:t>
      </w:r>
      <w:r>
        <w:rPr>
          <w:rFonts w:hint="eastAsia" w:ascii="微软雅黑" w:hAnsi="微软雅黑" w:cs="微软雅黑"/>
          <w:sz w:val="24"/>
          <w:szCs w:val="24"/>
        </w:rPr>
        <w:t>亿个IFTC通过pow机制对联合开发者进行奖励。</w:t>
      </w:r>
    </w:p>
    <w:p>
      <w:pPr>
        <w:rPr>
          <w:rFonts w:ascii="微软雅黑" w:hAnsi="微软雅黑" w:cs="微软雅黑"/>
          <w:sz w:val="24"/>
          <w:szCs w:val="24"/>
        </w:rPr>
      </w:pPr>
      <w:r>
        <w:rPr>
          <w:rFonts w:hint="eastAsia" w:ascii="微软雅黑" w:hAnsi="微软雅黑" w:cs="微软雅黑"/>
          <w:sz w:val="24"/>
          <w:szCs w:val="24"/>
        </w:rPr>
        <w:t>私人募资：总量0</w:t>
      </w:r>
      <w:r>
        <w:rPr>
          <w:rFonts w:ascii="微软雅黑" w:hAnsi="微软雅黑" w:cs="微软雅黑"/>
          <w:sz w:val="24"/>
          <w:szCs w:val="24"/>
        </w:rPr>
        <w:t>.5</w:t>
      </w:r>
      <w:r>
        <w:rPr>
          <w:rFonts w:hint="eastAsia" w:ascii="微软雅黑" w:hAnsi="微软雅黑" w:cs="微软雅黑"/>
          <w:sz w:val="24"/>
          <w:szCs w:val="24"/>
        </w:rPr>
        <w:t>亿，定额募集</w:t>
      </w:r>
    </w:p>
    <w:p>
      <w:pPr>
        <w:rPr>
          <w:rFonts w:ascii="微软雅黑" w:hAnsi="微软雅黑" w:cs="微软雅黑"/>
          <w:color w:val="404040"/>
          <w:sz w:val="24"/>
          <w:szCs w:val="24"/>
        </w:rPr>
      </w:pPr>
      <w:r>
        <w:rPr>
          <w:rFonts w:hint="eastAsia" w:ascii="微软雅黑" w:hAnsi="微软雅黑" w:cs="微软雅黑"/>
          <w:color w:val="404040"/>
          <w:sz w:val="24"/>
          <w:szCs w:val="24"/>
        </w:rPr>
        <w:t>白名单众筹：总量1亿，2018年8月27日</w:t>
      </w:r>
      <w:r>
        <w:rPr>
          <w:rFonts w:ascii="微软雅黑" w:hAnsi="微软雅黑" w:cs="微软雅黑"/>
          <w:color w:val="404040"/>
          <w:sz w:val="24"/>
          <w:szCs w:val="24"/>
        </w:rPr>
        <w:t xml:space="preserve">00:00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开始持续5天，至2018年8月31日</w:t>
      </w:r>
      <w:r>
        <w:rPr>
          <w:rFonts w:ascii="微软雅黑" w:hAnsi="微软雅黑" w:cs="微软雅黑"/>
          <w:color w:val="404040"/>
          <w:sz w:val="24"/>
          <w:szCs w:val="24"/>
        </w:rPr>
        <w:t xml:space="preserve">24:00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结束。无定价捐赠加权平均分配，通过Ethereum智能合约建立承销商机制，通过邀请制完成。</w:t>
      </w:r>
    </w:p>
    <w:p>
      <w:pPr>
        <w:rPr>
          <w:rFonts w:ascii="微软雅黑" w:hAnsi="微软雅黑" w:cs="微软雅黑"/>
          <w:color w:val="404040"/>
          <w:sz w:val="24"/>
          <w:szCs w:val="24"/>
        </w:rPr>
      </w:pPr>
      <w:r>
        <w:rPr>
          <w:rFonts w:hint="eastAsia" w:ascii="微软雅黑" w:hAnsi="微软雅黑" w:cs="微软雅黑"/>
          <w:color w:val="404040"/>
          <w:sz w:val="24"/>
          <w:szCs w:val="24"/>
        </w:rPr>
        <w:t>公开众筹：总量1亿，2018年9月2日</w:t>
      </w:r>
      <w:r>
        <w:rPr>
          <w:rFonts w:ascii="微软雅黑" w:hAnsi="微软雅黑" w:cs="微软雅黑"/>
          <w:color w:val="404040"/>
          <w:sz w:val="24"/>
          <w:szCs w:val="24"/>
        </w:rPr>
        <w:t xml:space="preserve">00:00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开始持续10天，至2018年9月11日</w:t>
      </w:r>
      <w:r>
        <w:rPr>
          <w:rFonts w:ascii="微软雅黑" w:hAnsi="微软雅黑" w:cs="微软雅黑"/>
          <w:color w:val="404040"/>
          <w:sz w:val="24"/>
          <w:szCs w:val="24"/>
        </w:rPr>
        <w:t xml:space="preserve">24:00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结束，无定价捐赠加权平均分配。</w:t>
      </w:r>
    </w:p>
    <w:p>
      <w:pPr>
        <w:rPr>
          <w:rFonts w:ascii="微软雅黑" w:hAnsi="微软雅黑" w:cs="微软雅黑"/>
          <w:color w:val="404040"/>
          <w:sz w:val="24"/>
          <w:szCs w:val="24"/>
        </w:rPr>
      </w:pPr>
      <w:r>
        <w:rPr>
          <w:rFonts w:hint="eastAsia" w:ascii="微软雅黑" w:hAnsi="微软雅黑" w:cs="微软雅黑"/>
          <w:color w:val="404040"/>
          <w:sz w:val="24"/>
          <w:szCs w:val="24"/>
        </w:rPr>
        <w:t>全球公筹：总量7亿，每批200万/ 23h，2018年9月13日</w:t>
      </w:r>
      <w:r>
        <w:rPr>
          <w:rFonts w:ascii="微软雅黑" w:hAnsi="微软雅黑" w:cs="微软雅黑"/>
          <w:color w:val="404040"/>
          <w:sz w:val="24"/>
          <w:szCs w:val="24"/>
        </w:rPr>
        <w:t xml:space="preserve">00:00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持续350天，至2019年8月28日</w:t>
      </w:r>
      <w:r>
        <w:rPr>
          <w:rFonts w:ascii="微软雅黑" w:hAnsi="微软雅黑" w:cs="微软雅黑"/>
          <w:color w:val="404040"/>
          <w:sz w:val="24"/>
          <w:szCs w:val="24"/>
        </w:rPr>
        <w:t xml:space="preserve">24:00 </w:t>
      </w:r>
      <w:r>
        <w:rPr>
          <w:rFonts w:hint="eastAsia" w:ascii="微软雅黑" w:hAnsi="微软雅黑" w:cs="微软雅黑"/>
          <w:color w:val="404040"/>
          <w:sz w:val="24"/>
          <w:szCs w:val="24"/>
        </w:rPr>
        <w:t>CST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UTC+</w:t>
      </w:r>
      <w:r>
        <w:rPr>
          <w:rFonts w:ascii="微软雅黑" w:hAnsi="微软雅黑" w:cs="微软雅黑"/>
          <w:color w:val="404040"/>
          <w:sz w:val="24"/>
          <w:szCs w:val="24"/>
        </w:rPr>
        <w:t>8</w:t>
      </w:r>
      <w:r>
        <w:rPr>
          <w:rFonts w:hint="eastAsia" w:ascii="微软雅黑" w:hAnsi="微软雅黑" w:cs="微软雅黑"/>
          <w:color w:val="404040"/>
          <w:sz w:val="24"/>
          <w:szCs w:val="24"/>
        </w:rPr>
        <w:t>结束，无定价捐赠加权平均分配。</w:t>
      </w:r>
    </w:p>
    <w:p>
      <w:pPr>
        <w:rPr>
          <w:rFonts w:ascii="微软雅黑" w:hAnsi="微软雅黑" w:cs="微软雅黑"/>
          <w:color w:val="404040"/>
          <w:sz w:val="24"/>
          <w:szCs w:val="24"/>
        </w:rPr>
      </w:pPr>
      <w:r>
        <w:rPr>
          <w:rFonts w:hint="eastAsia" w:ascii="微软雅黑" w:hAnsi="微软雅黑" w:cs="微软雅黑"/>
          <w:color w:val="404040"/>
          <w:sz w:val="24"/>
          <w:szCs w:val="24"/>
        </w:rPr>
        <w:t>募集币种：ETH</w:t>
      </w:r>
    </w:p>
    <w:p>
      <w:pPr>
        <w:rPr>
          <w:rFonts w:ascii="Helvetica Neue" w:hAnsi="Helvetica Neue" w:eastAsia="宋体" w:cs="Helvetica Neue"/>
          <w:kern w:val="0"/>
          <w:sz w:val="26"/>
          <w:szCs w:val="26"/>
        </w:rPr>
      </w:pPr>
      <w:r>
        <w:rPr>
          <w:rFonts w:hint="eastAsia" w:ascii="微软雅黑" w:hAnsi="微软雅黑" w:cs="微软雅黑"/>
          <w:color w:val="404040"/>
          <w:sz w:val="24"/>
          <w:szCs w:val="24"/>
        </w:rPr>
        <w:t>募集规则：</w:t>
      </w:r>
      <w:r>
        <w:rPr>
          <w:rFonts w:ascii="微软雅黑" w:hAnsi="微软雅黑" w:cs="微软雅黑"/>
          <w:color w:val="404040"/>
          <w:sz w:val="24"/>
          <w:szCs w:val="24"/>
        </w:rPr>
        <w:t>在每个阶段结束时，将根据这些阶段期限内贡献的ETH总数量来按比例分配给所有购买者IFTC</w:t>
      </w:r>
      <w:r>
        <w:rPr>
          <w:rFonts w:hint="eastAsia" w:ascii="微软雅黑" w:hAnsi="微软雅黑" w:cs="微软雅黑"/>
          <w:color w:val="404040"/>
          <w:sz w:val="24"/>
          <w:szCs w:val="24"/>
        </w:rPr>
        <w:t>，具体分配方案如下：</w:t>
      </w:r>
    </w:p>
    <w:p>
      <w:pPr>
        <w:rPr>
          <w:rFonts w:ascii="微软雅黑" w:hAnsi="微软雅黑" w:cs="微软雅黑"/>
          <w:color w:val="404040"/>
          <w:sz w:val="24"/>
          <w:szCs w:val="24"/>
        </w:rPr>
      </w:pPr>
      <w:r>
        <w:rPr>
          <w:rFonts w:hint="eastAsia" w:ascii="微软雅黑" w:hAnsi="微软雅黑" w:cs="微软雅黑"/>
          <w:color w:val="404040"/>
          <w:sz w:val="24"/>
          <w:szCs w:val="24"/>
        </w:rPr>
        <w:t>每批释放的代币总量/综合募集到的ETH价值总量*你投放的ETH价值量。</w:t>
      </w:r>
    </w:p>
    <w:p>
      <w:pPr>
        <w:rPr>
          <w:rFonts w:ascii="微软雅黑" w:hAnsi="微软雅黑" w:cs="微软雅黑"/>
          <w:color w:val="404040"/>
          <w:sz w:val="24"/>
          <w:szCs w:val="24"/>
        </w:rPr>
      </w:pPr>
      <w:r>
        <w:rPr>
          <w:rFonts w:hint="eastAsia" w:ascii="微软雅黑" w:hAnsi="微软雅黑" w:cs="微软雅黑"/>
          <w:color w:val="404040"/>
          <w:sz w:val="24"/>
          <w:szCs w:val="24"/>
        </w:rPr>
        <w:t>募集ETH用途：团队建设、项目开发。</w:t>
      </w:r>
    </w:p>
    <w:p>
      <w:pPr>
        <w:pStyle w:val="2"/>
        <w:rPr>
          <w:rFonts w:ascii="微软雅黑" w:hAnsi="微软雅黑" w:eastAsia="微软雅黑" w:cs="微软雅黑"/>
          <w:color w:val="404040"/>
          <w:szCs w:val="24"/>
        </w:rPr>
      </w:pPr>
    </w:p>
    <w:p>
      <w:pPr>
        <w:pStyle w:val="2"/>
        <w:rPr>
          <w:rFonts w:ascii="微软雅黑" w:hAnsi="微软雅黑" w:eastAsia="微软雅黑" w:cs="微软雅黑"/>
          <w:color w:val="404040"/>
          <w:szCs w:val="24"/>
        </w:rPr>
      </w:pPr>
      <w:bookmarkStart w:id="94" w:name="_Toc516005307"/>
      <w:r>
        <w:rPr>
          <w:rFonts w:hint="eastAsia" w:ascii="微软雅黑" w:hAnsi="微软雅黑" w:eastAsia="微软雅黑" w:cs="微软雅黑"/>
          <w:color w:val="404040"/>
          <w:szCs w:val="24"/>
        </w:rPr>
        <w:t>五、团队介绍</w:t>
      </w:r>
      <w:bookmarkEnd w:id="88"/>
      <w:bookmarkEnd w:id="89"/>
      <w:bookmarkEnd w:id="90"/>
      <w:bookmarkEnd w:id="91"/>
      <w:bookmarkEnd w:id="92"/>
      <w:bookmarkEnd w:id="93"/>
      <w:bookmarkEnd w:id="94"/>
    </w:p>
    <w:p>
      <w:pPr>
        <w:rPr>
          <w:rFonts w:ascii="微软雅黑" w:hAnsi="微软雅黑" w:cs="微软雅黑"/>
          <w:b/>
          <w:bCs/>
          <w:color w:val="404040"/>
          <w:sz w:val="24"/>
          <w:szCs w:val="24"/>
        </w:rPr>
      </w:pPr>
      <w:bookmarkStart w:id="95" w:name="_Toc5971_WPSOffice_Level2"/>
      <w:bookmarkStart w:id="96" w:name="_Toc24667"/>
      <w:bookmarkStart w:id="97" w:name="_Toc4332"/>
      <w:bookmarkStart w:id="98" w:name="_Toc513804298"/>
      <w:r>
        <w:rPr>
          <w:rFonts w:hint="eastAsia" w:ascii="微软雅黑" w:hAnsi="微软雅黑" w:cs="微软雅黑"/>
          <w:color w:val="404040"/>
          <w:sz w:val="24"/>
          <w:szCs w:val="24"/>
        </w:rPr>
        <w:t>1、核心团队</w:t>
      </w:r>
      <w:bookmarkEnd w:id="95"/>
      <w:bookmarkEnd w:id="96"/>
      <w:bookmarkEnd w:id="97"/>
      <w:bookmarkEnd w:id="98"/>
      <w:r>
        <w:rPr>
          <w:rFonts w:hint="eastAsia" w:ascii="微软雅黑" w:hAnsi="微软雅黑" w:cs="微软雅黑"/>
          <w:b/>
          <w:bCs/>
          <w:color w:val="404040"/>
          <w:sz w:val="24"/>
          <w:szCs w:val="24"/>
        </w:rPr>
        <w:t>DOGI LI（李杭俊） IFT项目创始人</w:t>
      </w: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drawing>
          <wp:inline distT="0" distB="0" distL="0" distR="0">
            <wp:extent cx="2857500" cy="2857500"/>
            <wp:effectExtent l="0" t="0" r="0" b="0"/>
            <wp:docPr id="5" name="图片 3" descr="510212001284458959"/>
            <wp:cNvGraphicFramePr/>
            <a:graphic xmlns:a="http://schemas.openxmlformats.org/drawingml/2006/main">
              <a:graphicData uri="http://schemas.openxmlformats.org/drawingml/2006/picture">
                <pic:pic xmlns:pic="http://schemas.openxmlformats.org/drawingml/2006/picture">
                  <pic:nvPicPr>
                    <pic:cNvPr id="5" name="图片 3" descr="510212001284458959"/>
                    <pic:cNvPicPr/>
                  </pic:nvPicPr>
                  <pic:blipFill>
                    <a:blip r:embed="rId9">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资深商业模式架构师</w:t>
      </w:r>
    </w:p>
    <w:p>
      <w:pPr>
        <w:rPr>
          <w:rFonts w:ascii="微软雅黑" w:hAnsi="微软雅黑" w:cs="微软雅黑"/>
          <w:color w:val="404040"/>
          <w:sz w:val="24"/>
          <w:szCs w:val="24"/>
        </w:rPr>
      </w:pPr>
      <w:r>
        <w:rPr>
          <w:rFonts w:hint="eastAsia" w:ascii="微软雅黑" w:hAnsi="微软雅黑" w:cs="微软雅黑"/>
          <w:color w:val="404040"/>
          <w:sz w:val="24"/>
          <w:szCs w:val="24"/>
        </w:rPr>
        <w:t>深圳大学汉语言文学、四川大学工商管理学士、西南财经大学MBA；</w:t>
      </w:r>
    </w:p>
    <w:p>
      <w:pPr>
        <w:rPr>
          <w:rFonts w:ascii="微软雅黑" w:hAnsi="微软雅黑" w:cs="微软雅黑"/>
          <w:color w:val="404040"/>
          <w:sz w:val="24"/>
          <w:szCs w:val="24"/>
        </w:rPr>
      </w:pPr>
      <w:r>
        <w:rPr>
          <w:rFonts w:hint="eastAsia" w:ascii="微软雅黑" w:hAnsi="微软雅黑" w:cs="微软雅黑"/>
          <w:color w:val="404040"/>
          <w:sz w:val="24"/>
          <w:szCs w:val="24"/>
        </w:rPr>
        <w:t>独立投资人，中国管理科学院区块链研究组组长、广东省企业创新发展协会副会长；</w:t>
      </w:r>
    </w:p>
    <w:p>
      <w:pPr>
        <w:rPr>
          <w:rFonts w:ascii="微软雅黑" w:hAnsi="微软雅黑" w:cs="微软雅黑"/>
          <w:color w:val="404040"/>
          <w:sz w:val="24"/>
          <w:szCs w:val="24"/>
        </w:rPr>
      </w:pPr>
      <w:r>
        <w:rPr>
          <w:rFonts w:hint="eastAsia" w:ascii="微软雅黑" w:hAnsi="微软雅黑" w:cs="微软雅黑"/>
          <w:color w:val="404040"/>
          <w:sz w:val="24"/>
          <w:szCs w:val="24"/>
        </w:rPr>
        <w:t>创建过多家科技公司，拥有超过15年互联</w:t>
      </w:r>
      <w:r>
        <w:rPr>
          <w:rFonts w:ascii="Heiti SC" w:hAnsi="Heiti SC" w:eastAsia="Heiti SC" w:cs="Heiti SC"/>
          <w:color w:val="404040"/>
          <w:sz w:val="24"/>
          <w:szCs w:val="24"/>
        </w:rPr>
        <w:t>⽹</w:t>
      </w:r>
      <w:r>
        <w:rPr>
          <w:rFonts w:hint="eastAsia" w:ascii="微软雅黑" w:hAnsi="微软雅黑" w:cs="微软雅黑"/>
          <w:color w:val="404040"/>
          <w:sz w:val="24"/>
          <w:szCs w:val="24"/>
        </w:rPr>
        <w:t>、房地产、</w:t>
      </w:r>
      <w:r>
        <w:rPr>
          <w:rFonts w:ascii="Heiti SC" w:hAnsi="Heiti SC" w:eastAsia="Heiti SC" w:cs="Heiti SC"/>
          <w:color w:val="404040"/>
          <w:sz w:val="24"/>
          <w:szCs w:val="24"/>
        </w:rPr>
        <w:t>⽀</w:t>
      </w:r>
      <w:r>
        <w:rPr>
          <w:rFonts w:hint="eastAsia" w:ascii="微软雅黑" w:hAnsi="微软雅黑" w:cs="微软雅黑"/>
          <w:color w:val="404040"/>
          <w:sz w:val="24"/>
          <w:szCs w:val="24"/>
        </w:rPr>
        <w:t>付、金融科技等</w:t>
      </w:r>
      <w:r>
        <w:rPr>
          <w:rFonts w:ascii="Heiti SC" w:hAnsi="Heiti SC" w:eastAsia="Heiti SC" w:cs="Heiti SC"/>
          <w:color w:val="404040"/>
          <w:sz w:val="24"/>
          <w:szCs w:val="24"/>
        </w:rPr>
        <w:t>⾏</w:t>
      </w:r>
      <w:r>
        <w:rPr>
          <w:rFonts w:hint="eastAsia" w:ascii="微软雅黑" w:hAnsi="微软雅黑" w:cs="微软雅黑"/>
          <w:color w:val="404040"/>
          <w:sz w:val="24"/>
          <w:szCs w:val="24"/>
        </w:rPr>
        <w:t>业的从业经验；</w:t>
      </w:r>
    </w:p>
    <w:p>
      <w:pPr>
        <w:rPr>
          <w:rFonts w:ascii="微软雅黑" w:hAnsi="微软雅黑" w:cs="微软雅黑"/>
          <w:color w:val="404040"/>
          <w:sz w:val="24"/>
          <w:szCs w:val="24"/>
        </w:rPr>
      </w:pPr>
      <w:r>
        <w:rPr>
          <w:rFonts w:hint="eastAsia" w:ascii="微软雅黑" w:hAnsi="微软雅黑" w:cs="微软雅黑"/>
          <w:color w:val="404040"/>
          <w:sz w:val="24"/>
          <w:szCs w:val="24"/>
        </w:rPr>
        <w:t>2013年投入区块链商业模式深度研究。</w:t>
      </w:r>
    </w:p>
    <w:p>
      <w:pPr>
        <w:widowControl/>
        <w:autoSpaceDE w:val="0"/>
        <w:autoSpaceDN w:val="0"/>
        <w:adjustRightInd w:val="0"/>
        <w:spacing w:line="440" w:lineRule="atLeast"/>
        <w:jc w:val="left"/>
        <w:rPr>
          <w:rFonts w:ascii="Songti SC" w:eastAsia="Songti SC" w:cs="Songti SC"/>
          <w:color w:val="000000"/>
          <w:kern w:val="0"/>
          <w:sz w:val="32"/>
          <w:szCs w:val="32"/>
        </w:rPr>
      </w:pPr>
    </w:p>
    <w:p>
      <w:pPr>
        <w:widowControl/>
        <w:autoSpaceDE w:val="0"/>
        <w:autoSpaceDN w:val="0"/>
        <w:adjustRightInd w:val="0"/>
        <w:spacing w:line="440" w:lineRule="atLeast"/>
        <w:jc w:val="left"/>
        <w:rPr>
          <w:rFonts w:ascii="Songti SC" w:eastAsia="Songti SC" w:cs="Songti SC"/>
          <w:color w:val="000000"/>
          <w:kern w:val="0"/>
          <w:sz w:val="32"/>
          <w:szCs w:val="32"/>
        </w:rPr>
      </w:pPr>
      <w:r>
        <w:rPr>
          <w:rFonts w:hint="eastAsia" w:ascii="Songti SC" w:eastAsia="Songti SC" w:cs="Songti SC"/>
          <w:color w:val="000000"/>
          <w:kern w:val="0"/>
          <w:sz w:val="32"/>
          <w:szCs w:val="32"/>
        </w:rPr>
        <w:t>Edwin C Lun 首席财务官CFO</w:t>
      </w:r>
    </w:p>
    <w:p>
      <w:pPr>
        <w:widowControl/>
        <w:autoSpaceDE w:val="0"/>
        <w:autoSpaceDN w:val="0"/>
        <w:adjustRightInd w:val="0"/>
        <w:spacing w:line="440" w:lineRule="atLeast"/>
        <w:jc w:val="left"/>
        <w:rPr>
          <w:rFonts w:ascii="Songti SC" w:eastAsia="Songti SC" w:cs="Songti SC"/>
          <w:color w:val="000000"/>
          <w:kern w:val="0"/>
          <w:sz w:val="32"/>
          <w:szCs w:val="32"/>
        </w:rPr>
      </w:pPr>
      <w:r>
        <w:rPr>
          <w:rFonts w:hint="eastAsia" w:ascii="Songti SC" w:eastAsia="Songti SC" w:cs="Songti SC"/>
          <w:color w:val="000000"/>
          <w:kern w:val="0"/>
          <w:sz w:val="32"/>
          <w:szCs w:val="32"/>
        </w:rPr>
        <w:t>伦知竞</w:t>
      </w:r>
    </w:p>
    <w:p>
      <w:pPr>
        <w:widowControl/>
        <w:autoSpaceDE w:val="0"/>
        <w:autoSpaceDN w:val="0"/>
        <w:adjustRightInd w:val="0"/>
        <w:spacing w:line="440" w:lineRule="atLeast"/>
        <w:jc w:val="left"/>
        <w:rPr>
          <w:rFonts w:ascii="Songti SC" w:eastAsia="Songti SC" w:cs="Songti SC"/>
          <w:color w:val="000000"/>
          <w:kern w:val="0"/>
          <w:sz w:val="32"/>
          <w:szCs w:val="32"/>
        </w:rPr>
      </w:pPr>
      <w:r>
        <w:rPr>
          <w:rFonts w:ascii="Songti SC" w:eastAsia="Songti SC" w:cs="Songti SC"/>
          <w:color w:val="000000"/>
          <w:kern w:val="0"/>
          <w:sz w:val="32"/>
          <w:szCs w:val="32"/>
        </w:rPr>
        <w:drawing>
          <wp:inline distT="0" distB="0" distL="0" distR="0">
            <wp:extent cx="1981200" cy="2717800"/>
            <wp:effectExtent l="0" t="0" r="0" b="0"/>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0">
                      <a:extLst>
                        <a:ext uri="{28A0092B-C50C-407E-A947-70E740481C1C}">
                          <a14:useLocalDpi xmlns:a14="http://schemas.microsoft.com/office/drawing/2010/main" val="0"/>
                        </a:ext>
                      </a:extLst>
                    </a:blip>
                    <a:srcRect/>
                    <a:stretch>
                      <a:fillRect/>
                    </a:stretch>
                  </pic:blipFill>
                  <pic:spPr>
                    <a:xfrm>
                      <a:off x="0" y="0"/>
                      <a:ext cx="1981200" cy="2717800"/>
                    </a:xfrm>
                    <a:prstGeom prst="rect">
                      <a:avLst/>
                    </a:prstGeom>
                    <a:noFill/>
                    <a:ln>
                      <a:noFill/>
                    </a:ln>
                  </pic:spPr>
                </pic:pic>
              </a:graphicData>
            </a:graphic>
          </wp:inline>
        </w:drawing>
      </w:r>
    </w:p>
    <w:p>
      <w:pPr>
        <w:widowControl/>
        <w:autoSpaceDE w:val="0"/>
        <w:autoSpaceDN w:val="0"/>
        <w:adjustRightInd w:val="0"/>
        <w:spacing w:line="440" w:lineRule="exact"/>
        <w:jc w:val="left"/>
        <w:rPr>
          <w:rFonts w:ascii="微软雅黑" w:hAnsi="微软雅黑" w:cs="微软雅黑"/>
          <w:color w:val="404040"/>
          <w:sz w:val="24"/>
          <w:szCs w:val="24"/>
        </w:rPr>
      </w:pPr>
      <w:r>
        <w:rPr>
          <w:rFonts w:hint="eastAsia" w:ascii="微软雅黑" w:hAnsi="微软雅黑" w:cs="微软雅黑"/>
          <w:color w:val="404040"/>
          <w:sz w:val="24"/>
          <w:szCs w:val="24"/>
        </w:rPr>
        <w:t>美国国际商业理学士，哈佛大学研修总裁管理课程；</w:t>
      </w:r>
      <w:r>
        <w:rPr>
          <w:rFonts w:ascii="微软雅黑" w:hAnsi="微软雅黑" w:cs="微软雅黑"/>
          <w:color w:val="404040"/>
          <w:sz w:val="24"/>
          <w:szCs w:val="24"/>
        </w:rPr>
        <w:t xml:space="preserve"> </w:t>
      </w:r>
    </w:p>
    <w:p>
      <w:pPr>
        <w:widowControl/>
        <w:autoSpaceDE w:val="0"/>
        <w:autoSpaceDN w:val="0"/>
        <w:adjustRightInd w:val="0"/>
        <w:spacing w:after="240" w:line="440" w:lineRule="exact"/>
        <w:jc w:val="left"/>
        <w:rPr>
          <w:rFonts w:ascii="微软雅黑" w:hAnsi="微软雅黑" w:cs="微软雅黑"/>
          <w:color w:val="404040"/>
          <w:sz w:val="24"/>
          <w:szCs w:val="24"/>
        </w:rPr>
      </w:pPr>
      <w:r>
        <w:rPr>
          <w:rFonts w:hint="eastAsia" w:ascii="微软雅黑" w:hAnsi="微软雅黑" w:cs="微软雅黑"/>
          <w:color w:val="404040"/>
          <w:sz w:val="24"/>
          <w:szCs w:val="24"/>
        </w:rPr>
        <w:t>二十年亚洲及北美的策略性业务发展和营运经验；</w:t>
      </w:r>
    </w:p>
    <w:p>
      <w:pPr>
        <w:widowControl/>
        <w:autoSpaceDE w:val="0"/>
        <w:autoSpaceDN w:val="0"/>
        <w:adjustRightInd w:val="0"/>
        <w:spacing w:after="240" w:line="440" w:lineRule="exact"/>
        <w:jc w:val="left"/>
        <w:rPr>
          <w:rFonts w:ascii="微软雅黑" w:hAnsi="微软雅黑" w:cs="微软雅黑"/>
          <w:color w:val="404040"/>
          <w:sz w:val="24"/>
          <w:szCs w:val="24"/>
        </w:rPr>
      </w:pPr>
      <w:r>
        <w:rPr>
          <w:rFonts w:hint="eastAsia" w:ascii="微软雅黑" w:hAnsi="微软雅黑" w:cs="微软雅黑"/>
          <w:color w:val="404040"/>
          <w:sz w:val="24"/>
          <w:szCs w:val="24"/>
        </w:rPr>
        <w:t>创办多家企业，包括</w:t>
      </w:r>
      <w:r>
        <w:rPr>
          <w:rFonts w:ascii="微软雅黑" w:hAnsi="微软雅黑" w:cs="微软雅黑"/>
          <w:color w:val="404040"/>
          <w:sz w:val="24"/>
          <w:szCs w:val="24"/>
        </w:rPr>
        <w:t xml:space="preserve">IDS </w:t>
      </w:r>
      <w:r>
        <w:rPr>
          <w:rFonts w:hint="eastAsia" w:ascii="微软雅黑" w:hAnsi="微软雅黑" w:cs="微软雅黑"/>
          <w:color w:val="404040"/>
          <w:sz w:val="24"/>
          <w:szCs w:val="24"/>
        </w:rPr>
        <w:t>控股、</w:t>
      </w:r>
      <w:r>
        <w:rPr>
          <w:rFonts w:ascii="微软雅黑" w:hAnsi="微软雅黑" w:cs="微软雅黑"/>
          <w:color w:val="404040"/>
          <w:sz w:val="24"/>
          <w:szCs w:val="24"/>
        </w:rPr>
        <w:t xml:space="preserve">Mission 3-D </w:t>
      </w:r>
      <w:r>
        <w:rPr>
          <w:rFonts w:hint="eastAsia" w:ascii="微软雅黑" w:hAnsi="微软雅黑" w:cs="微软雅黑"/>
          <w:color w:val="404040"/>
          <w:sz w:val="24"/>
          <w:szCs w:val="24"/>
        </w:rPr>
        <w:t>及</w:t>
      </w:r>
      <w:r>
        <w:rPr>
          <w:rFonts w:ascii="微软雅黑" w:hAnsi="微软雅黑" w:cs="微软雅黑"/>
          <w:color w:val="404040"/>
          <w:sz w:val="24"/>
          <w:szCs w:val="24"/>
        </w:rPr>
        <w:t>Pharos Medical Device</w:t>
      </w:r>
      <w:r>
        <w:rPr>
          <w:rFonts w:hint="eastAsia" w:ascii="微软雅黑" w:hAnsi="微软雅黑" w:cs="微软雅黑"/>
          <w:color w:val="404040"/>
          <w:sz w:val="24"/>
          <w:szCs w:val="24"/>
        </w:rPr>
        <w:t>，</w:t>
      </w:r>
      <w:r>
        <w:rPr>
          <w:rFonts w:ascii="微软雅黑" w:hAnsi="微软雅黑" w:cs="微软雅黑"/>
          <w:color w:val="404040"/>
          <w:sz w:val="24"/>
          <w:szCs w:val="24"/>
        </w:rPr>
        <w:t xml:space="preserve"> </w:t>
      </w:r>
      <w:r>
        <w:rPr>
          <w:rFonts w:hint="eastAsia" w:ascii="微软雅黑" w:hAnsi="微软雅黑" w:cs="微软雅黑"/>
          <w:color w:val="404040"/>
          <w:sz w:val="24"/>
          <w:szCs w:val="24"/>
        </w:rPr>
        <w:t>并领导家族企业及多间跨国企业</w:t>
      </w:r>
      <w:r>
        <w:rPr>
          <w:rFonts w:ascii="微软雅黑" w:hAnsi="微软雅黑" w:cs="微软雅黑"/>
          <w:color w:val="404040"/>
          <w:sz w:val="24"/>
          <w:szCs w:val="24"/>
        </w:rPr>
        <w:t>。</w:t>
      </w: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Jason  Hung首席运营官</w:t>
      </w:r>
    </w:p>
    <w:p>
      <w:pPr>
        <w:rPr>
          <w:rFonts w:ascii="微软雅黑" w:hAnsi="微软雅黑" w:cs="微软雅黑"/>
          <w:color w:val="404040"/>
          <w:sz w:val="24"/>
          <w:szCs w:val="24"/>
        </w:rPr>
      </w:pPr>
      <w:r>
        <w:rPr>
          <w:rFonts w:hint="eastAsia" w:ascii="微软雅黑" w:hAnsi="微软雅黑" w:cs="微软雅黑"/>
          <w:color w:val="404040"/>
          <w:sz w:val="24"/>
          <w:szCs w:val="24"/>
        </w:rPr>
        <w:drawing>
          <wp:inline distT="0" distB="0" distL="0" distR="0">
            <wp:extent cx="2832100" cy="2832100"/>
            <wp:effectExtent l="0" t="0" r="0" b="0"/>
            <wp:docPr id="7" name="图片 4" descr="微信图片_20180605175812"/>
            <wp:cNvGraphicFramePr/>
            <a:graphic xmlns:a="http://schemas.openxmlformats.org/drawingml/2006/main">
              <a:graphicData uri="http://schemas.openxmlformats.org/drawingml/2006/picture">
                <pic:pic xmlns:pic="http://schemas.openxmlformats.org/drawingml/2006/picture">
                  <pic:nvPicPr>
                    <pic:cNvPr id="7" name="图片 4" descr="微信图片_20180605175812"/>
                    <pic:cNvPicPr/>
                  </pic:nvPicPr>
                  <pic:blipFill>
                    <a:blip r:embed="rId11">
                      <a:extLst>
                        <a:ext uri="{28A0092B-C50C-407E-A947-70E740481C1C}">
                          <a14:useLocalDpi xmlns:a14="http://schemas.microsoft.com/office/drawing/2010/main" val="0"/>
                        </a:ext>
                      </a:extLst>
                    </a:blip>
                    <a:srcRect/>
                    <a:stretch>
                      <a:fillRect/>
                    </a:stretch>
                  </pic:blipFill>
                  <pic:spPr>
                    <a:xfrm>
                      <a:off x="0" y="0"/>
                      <a:ext cx="2832100" cy="2832100"/>
                    </a:xfrm>
                    <a:prstGeom prst="rect">
                      <a:avLst/>
                    </a:prstGeom>
                    <a:noFill/>
                    <a:ln>
                      <a:noFill/>
                    </a:ln>
                  </pic:spPr>
                </pic:pic>
              </a:graphicData>
            </a:graphic>
          </wp:inline>
        </w:drawing>
      </w:r>
    </w:p>
    <w:p>
      <w:pPr>
        <w:rPr>
          <w:rFonts w:ascii="微软雅黑" w:hAnsi="微软雅黑" w:cs="微软雅黑"/>
          <w:color w:val="404040"/>
          <w:sz w:val="24"/>
          <w:szCs w:val="24"/>
        </w:rPr>
      </w:pPr>
    </w:p>
    <w:p>
      <w:pPr>
        <w:rPr>
          <w:rFonts w:ascii="微软雅黑" w:hAnsi="微软雅黑" w:cs="微软雅黑"/>
          <w:color w:val="404040"/>
          <w:sz w:val="24"/>
          <w:szCs w:val="24"/>
        </w:rPr>
      </w:pPr>
      <w:r>
        <w:rPr>
          <w:rFonts w:hint="eastAsia" w:ascii="微软雅黑" w:hAnsi="微软雅黑" w:cs="微软雅黑"/>
          <w:color w:val="404040"/>
          <w:sz w:val="24"/>
          <w:szCs w:val="24"/>
        </w:rPr>
        <w:t>区块链生态系统，数字营销，人工智能和ERP相关业务专家及连续创业者。 Treascovery，Chidopi和TimeBox联合创始人；</w:t>
      </w:r>
    </w:p>
    <w:p>
      <w:pPr>
        <w:rPr>
          <w:rFonts w:ascii="微软雅黑" w:hAnsi="微软雅黑" w:cs="微软雅黑"/>
          <w:color w:val="404040"/>
          <w:sz w:val="24"/>
          <w:szCs w:val="24"/>
        </w:rPr>
      </w:pPr>
      <w:r>
        <w:rPr>
          <w:rFonts w:hint="eastAsia" w:ascii="微软雅黑" w:hAnsi="微软雅黑" w:cs="微软雅黑"/>
          <w:color w:val="404040"/>
          <w:sz w:val="24"/>
          <w:szCs w:val="24"/>
        </w:rPr>
        <w:t>EXSmart以及超过35个ICO的咨询委员会，包括SportsFix，CyClean，ICOMax，BitRewards，DateCoin，BlockLancer，eCoinomic，FaxPort，USAT，EVENFOUND，CoinArt，Kepler，PokerSports， EiraCube，SuchApp等；</w:t>
      </w:r>
    </w:p>
    <w:p>
      <w:pPr>
        <w:rPr>
          <w:rFonts w:ascii="微软雅黑" w:hAnsi="微软雅黑" w:cs="微软雅黑"/>
          <w:color w:val="404040"/>
          <w:sz w:val="24"/>
          <w:szCs w:val="24"/>
        </w:rPr>
      </w:pPr>
      <w:r>
        <w:rPr>
          <w:rFonts w:hint="eastAsia" w:ascii="微软雅黑" w:hAnsi="微软雅黑" w:cs="微软雅黑"/>
          <w:color w:val="404040"/>
          <w:sz w:val="24"/>
          <w:szCs w:val="24"/>
        </w:rPr>
        <w:t>在管理RD，IT，销售和咨询服务方面拥有超过20年的成功经验；</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拥有9项与2000多个应用程序相关的技术相关专利； </w:t>
      </w:r>
    </w:p>
    <w:p>
      <w:pPr>
        <w:rPr>
          <w:rFonts w:ascii="微软雅黑" w:hAnsi="微软雅黑" w:cs="微软雅黑"/>
          <w:color w:val="404040"/>
          <w:sz w:val="24"/>
          <w:szCs w:val="24"/>
        </w:rPr>
      </w:pPr>
      <w:r>
        <w:rPr>
          <w:rFonts w:hint="eastAsia" w:ascii="微软雅黑" w:hAnsi="微软雅黑" w:cs="微软雅黑"/>
          <w:color w:val="404040"/>
          <w:sz w:val="24"/>
          <w:szCs w:val="24"/>
        </w:rPr>
        <w:t>大中华区正式PeopleSoft和JDE解决方案负责人；</w:t>
      </w:r>
    </w:p>
    <w:p>
      <w:pPr>
        <w:rPr>
          <w:rFonts w:ascii="微软雅黑" w:hAnsi="微软雅黑" w:cs="微软雅黑"/>
          <w:color w:val="404040"/>
          <w:sz w:val="24"/>
          <w:szCs w:val="24"/>
        </w:rPr>
      </w:pPr>
      <w:r>
        <w:rPr>
          <w:rFonts w:hint="eastAsia" w:ascii="微软雅黑" w:hAnsi="微软雅黑" w:cs="微软雅黑"/>
          <w:color w:val="404040"/>
          <w:sz w:val="24"/>
          <w:szCs w:val="24"/>
        </w:rPr>
        <w:t>ICOBench和国际区块链咨询公告集团顶级专家。</w:t>
      </w:r>
    </w:p>
    <w:p>
      <w:pPr>
        <w:rPr>
          <w:rFonts w:ascii="微软雅黑" w:hAnsi="微软雅黑" w:cs="微软雅黑"/>
          <w:color w:val="404040"/>
          <w:sz w:val="24"/>
          <w:szCs w:val="24"/>
        </w:rPr>
      </w:pPr>
    </w:p>
    <w:p>
      <w:pPr>
        <w:rPr>
          <w:rFonts w:ascii="微软雅黑" w:hAnsi="微软雅黑" w:cs="微软雅黑"/>
          <w:b/>
          <w:bCs/>
          <w:color w:val="404040"/>
          <w:sz w:val="24"/>
          <w:szCs w:val="24"/>
        </w:rPr>
      </w:pPr>
    </w:p>
    <w:p>
      <w:pPr>
        <w:rPr>
          <w:rFonts w:ascii="Arial" w:hAnsi="Arial" w:eastAsia="宋体" w:cs="Arial"/>
          <w:b/>
          <w:bCs/>
          <w:color w:val="333333"/>
          <w:sz w:val="24"/>
          <w:szCs w:val="24"/>
          <w:shd w:val="clear" w:color="auto" w:fill="FFFFFF"/>
        </w:rPr>
      </w:pPr>
      <w:r>
        <w:rPr>
          <w:rFonts w:hint="eastAsia" w:ascii="微软雅黑" w:hAnsi="微软雅黑" w:cs="微软雅黑"/>
          <w:b/>
          <w:bCs/>
          <w:color w:val="404040"/>
          <w:sz w:val="24"/>
          <w:szCs w:val="24"/>
        </w:rPr>
        <w:t xml:space="preserve">Marco 张翼杰 </w:t>
      </w:r>
      <w:r>
        <w:rPr>
          <w:rFonts w:ascii="Arial" w:hAnsi="Arial" w:eastAsia="宋体" w:cs="Arial"/>
          <w:b/>
          <w:bCs/>
          <w:color w:val="333333"/>
          <w:sz w:val="24"/>
          <w:szCs w:val="24"/>
          <w:shd w:val="clear" w:color="auto" w:fill="FFFFFF"/>
        </w:rPr>
        <w:t>首席技术官</w:t>
      </w:r>
    </w:p>
    <w:p>
      <w:pPr>
        <w:rPr>
          <w:rFonts w:ascii="Arial" w:hAnsi="Arial" w:eastAsia="宋体" w:cs="Arial"/>
          <w:b/>
          <w:bCs/>
          <w:color w:val="333333"/>
          <w:sz w:val="24"/>
          <w:szCs w:val="24"/>
          <w:shd w:val="clear" w:color="auto" w:fill="FFFFFF"/>
        </w:rPr>
      </w:pPr>
    </w:p>
    <w:p>
      <w:pPr>
        <w:rPr>
          <w:rFonts w:ascii="Arial" w:hAnsi="Arial" w:eastAsia="宋体" w:cs="Arial"/>
          <w:b/>
          <w:bCs/>
          <w:color w:val="333333"/>
          <w:sz w:val="24"/>
          <w:szCs w:val="24"/>
          <w:shd w:val="clear" w:color="auto" w:fill="FFFFFF"/>
        </w:rPr>
      </w:pPr>
    </w:p>
    <w:p>
      <w:pPr>
        <w:rPr>
          <w:rFonts w:ascii="Arial" w:hAnsi="Arial" w:eastAsia="宋体" w:cs="Arial"/>
          <w:b/>
          <w:bCs/>
          <w:color w:val="333333"/>
          <w:sz w:val="24"/>
          <w:szCs w:val="24"/>
          <w:shd w:val="clear" w:color="auto" w:fill="FFFFFF"/>
        </w:rPr>
      </w:pPr>
      <w:r>
        <w:rPr>
          <w:rFonts w:hint="eastAsia" w:ascii="Arial" w:hAnsi="Arial" w:eastAsia="宋体" w:cs="Arial"/>
          <w:b/>
          <w:bCs/>
          <w:color w:val="333333"/>
          <w:sz w:val="24"/>
          <w:szCs w:val="24"/>
          <w:shd w:val="clear" w:color="auto" w:fill="FFFFFF"/>
        </w:rPr>
        <w:drawing>
          <wp:inline distT="0" distB="0" distL="0" distR="0">
            <wp:extent cx="2781300" cy="2832100"/>
            <wp:effectExtent l="0" t="0" r="0" b="0"/>
            <wp:docPr id="8" name="图片 5" descr="QQ截图20180605180357"/>
            <wp:cNvGraphicFramePr/>
            <a:graphic xmlns:a="http://schemas.openxmlformats.org/drawingml/2006/main">
              <a:graphicData uri="http://schemas.openxmlformats.org/drawingml/2006/picture">
                <pic:pic xmlns:pic="http://schemas.openxmlformats.org/drawingml/2006/picture">
                  <pic:nvPicPr>
                    <pic:cNvPr id="8" name="图片 5" descr="QQ截图20180605180357"/>
                    <pic:cNvPicPr/>
                  </pic:nvPicPr>
                  <pic:blipFill>
                    <a:blip r:embed="rId12">
                      <a:extLst>
                        <a:ext uri="{28A0092B-C50C-407E-A947-70E740481C1C}">
                          <a14:useLocalDpi xmlns:a14="http://schemas.microsoft.com/office/drawing/2010/main" val="0"/>
                        </a:ext>
                      </a:extLst>
                    </a:blip>
                    <a:srcRect/>
                    <a:stretch>
                      <a:fillRect/>
                    </a:stretch>
                  </pic:blipFill>
                  <pic:spPr>
                    <a:xfrm>
                      <a:off x="0" y="0"/>
                      <a:ext cx="2781300" cy="28321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国内互联网技术专家；</w:t>
      </w:r>
    </w:p>
    <w:p>
      <w:pPr>
        <w:rPr>
          <w:rFonts w:ascii="微软雅黑" w:hAnsi="微软雅黑" w:cs="微软雅黑"/>
          <w:color w:val="404040"/>
          <w:sz w:val="24"/>
          <w:szCs w:val="24"/>
        </w:rPr>
      </w:pPr>
      <w:r>
        <w:rPr>
          <w:rFonts w:hint="eastAsia" w:ascii="微软雅黑" w:hAnsi="微软雅黑" w:cs="微软雅黑"/>
          <w:color w:val="404040"/>
          <w:sz w:val="24"/>
          <w:szCs w:val="24"/>
        </w:rPr>
        <w:t>全栈架构师，精通前后端服务架构、设计、开发；设计开发过大型移动支付交易结算系统，支撑了浦发、招行等多家银行的移动支付业务，在金融垂直领域</w:t>
      </w:r>
      <w:r>
        <w:rPr>
          <w:rFonts w:hint="eastAsia" w:ascii="微软雅黑" w:hAnsi="微软雅黑" w:cs="微软雅黑"/>
          <w:color w:val="404040"/>
          <w:sz w:val="24"/>
          <w:szCs w:val="24"/>
        </w:rPr>
        <w:tab/>
      </w:r>
      <w:r>
        <w:rPr>
          <w:rFonts w:hint="eastAsia" w:ascii="微软雅黑" w:hAnsi="微软雅黑" w:cs="微软雅黑"/>
          <w:color w:val="404040"/>
          <w:sz w:val="24"/>
          <w:szCs w:val="24"/>
        </w:rPr>
        <w:t>，互联网系统设计开发领域经验丰富。</w:t>
      </w:r>
    </w:p>
    <w:p>
      <w:pPr>
        <w:rPr>
          <w:rFonts w:ascii="微软雅黑" w:hAnsi="微软雅黑" w:cs="微软雅黑"/>
          <w:color w:val="404040"/>
          <w:sz w:val="24"/>
          <w:szCs w:val="24"/>
        </w:rPr>
      </w:pPr>
      <w:r>
        <w:rPr>
          <w:rFonts w:hint="eastAsia" w:ascii="微软雅黑" w:hAnsi="微软雅黑" w:cs="微软雅黑"/>
          <w:color w:val="404040"/>
          <w:sz w:val="24"/>
          <w:szCs w:val="24"/>
        </w:rPr>
        <w:t>2016年投身于区块链技术研究。</w:t>
      </w:r>
    </w:p>
    <w:p>
      <w:pPr>
        <w:rPr>
          <w:rFonts w:ascii="微软雅黑" w:hAnsi="微软雅黑" w:cs="微软雅黑"/>
          <w:color w:val="404040"/>
          <w:sz w:val="24"/>
          <w:szCs w:val="24"/>
        </w:rPr>
      </w:pP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Kiky 李亚玦 金融科技执行总监</w:t>
      </w:r>
    </w:p>
    <w:p>
      <w:pPr>
        <w:rPr>
          <w:rFonts w:ascii="微软雅黑" w:hAnsi="微软雅黑" w:cs="微软雅黑"/>
          <w:b/>
          <w:bCs/>
          <w:color w:val="404040"/>
          <w:sz w:val="24"/>
          <w:szCs w:val="24"/>
        </w:rPr>
      </w:pPr>
      <w:r>
        <w:drawing>
          <wp:inline distT="0" distB="0" distL="0" distR="0">
            <wp:extent cx="2298700" cy="2120900"/>
            <wp:effectExtent l="0" t="0" r="0" b="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3">
                      <a:extLst>
                        <a:ext uri="{28A0092B-C50C-407E-A947-70E740481C1C}">
                          <a14:useLocalDpi xmlns:a14="http://schemas.microsoft.com/office/drawing/2010/main" val="0"/>
                        </a:ext>
                      </a:extLst>
                    </a:blip>
                    <a:srcRect/>
                    <a:stretch>
                      <a:fillRect/>
                    </a:stretch>
                  </pic:blipFill>
                  <pic:spPr>
                    <a:xfrm>
                      <a:off x="0" y="0"/>
                      <a:ext cx="2298700" cy="2120900"/>
                    </a:xfrm>
                    <a:prstGeom prst="rect">
                      <a:avLst/>
                    </a:prstGeom>
                    <a:noFill/>
                    <a:ln>
                      <a:noFill/>
                    </a:ln>
                    <a:effectLst/>
                  </pic:spPr>
                </pic:pic>
              </a:graphicData>
            </a:graphic>
          </wp:inline>
        </w:drawing>
      </w:r>
      <w:r>
        <w:rPr>
          <w:rFonts w:hint="eastAsia" w:ascii="微软雅黑" w:hAnsi="微软雅黑" w:cs="微软雅黑"/>
          <w:b/>
          <w:bCs/>
          <w:color w:val="404040"/>
          <w:sz w:val="24"/>
          <w:szCs w:val="24"/>
        </w:rPr>
        <w:t xml:space="preserve"> </w:t>
      </w:r>
    </w:p>
    <w:p>
      <w:pPr>
        <w:rPr>
          <w:rFonts w:ascii="微软雅黑" w:hAnsi="微软雅黑" w:cs="微软雅黑"/>
          <w:color w:val="404040"/>
          <w:sz w:val="24"/>
          <w:szCs w:val="24"/>
        </w:rPr>
      </w:pPr>
      <w:r>
        <w:rPr>
          <w:rFonts w:hint="eastAsia" w:ascii="微软雅黑" w:hAnsi="微软雅黑" w:cs="微软雅黑"/>
          <w:color w:val="404040"/>
          <w:sz w:val="24"/>
          <w:szCs w:val="24"/>
        </w:rPr>
        <w:t>曾就职于腾讯科技，研发管理事业部。2015年踏入金融科技领域，在金融垂直领域衍生数据采集，清洗和挖掘有相当丰富经验。2017年投身于区块链的产品和技术研究，协助区块链产品搭建以及社群搭建。</w:t>
      </w: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 xml:space="preserve">Joshua  CM </w:t>
      </w:r>
    </w:p>
    <w:p>
      <w:pPr>
        <w:rPr>
          <w:rFonts w:ascii="微软雅黑" w:hAnsi="微软雅黑" w:cs="微软雅黑"/>
          <w:b/>
          <w:bCs/>
          <w:color w:val="404040"/>
          <w:sz w:val="24"/>
          <w:szCs w:val="24"/>
        </w:rPr>
      </w:pPr>
      <w:r>
        <w:rPr>
          <w:rFonts w:ascii="微软雅黑" w:hAnsi="微软雅黑" w:cs="微软雅黑"/>
          <w:b/>
          <w:color w:val="404040"/>
          <w:sz w:val="24"/>
          <w:szCs w:val="24"/>
        </w:rPr>
        <w:drawing>
          <wp:inline distT="0" distB="0" distL="0" distR="0">
            <wp:extent cx="1828800" cy="1828800"/>
            <wp:effectExtent l="0" t="0" r="0" b="0"/>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28800" cy="18288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独立投资人；</w:t>
      </w:r>
    </w:p>
    <w:p>
      <w:pPr>
        <w:rPr>
          <w:rFonts w:ascii="微软雅黑" w:hAnsi="微软雅黑" w:cs="微软雅黑"/>
          <w:color w:val="404040"/>
          <w:sz w:val="24"/>
          <w:szCs w:val="24"/>
        </w:rPr>
      </w:pPr>
      <w:r>
        <w:rPr>
          <w:rFonts w:hint="eastAsia" w:ascii="微软雅黑" w:hAnsi="微软雅黑" w:cs="微软雅黑"/>
          <w:color w:val="404040"/>
          <w:sz w:val="24"/>
          <w:szCs w:val="24"/>
        </w:rPr>
        <w:t>爱星庄园城乡互助（NGO）联合发起人、联合酒店管理有限公司联合董事、自媒体创业人；深谙品牌创意策划营销，2015年投身于区块链的研究和社群策划。</w:t>
      </w:r>
    </w:p>
    <w:p>
      <w:pPr>
        <w:rPr>
          <w:rFonts w:ascii="微软雅黑" w:hAnsi="微软雅黑" w:cs="微软雅黑"/>
          <w:color w:val="404040"/>
          <w:sz w:val="24"/>
          <w:szCs w:val="24"/>
        </w:rPr>
      </w:pPr>
    </w:p>
    <w:p>
      <w:pPr>
        <w:rPr>
          <w:rFonts w:ascii="微软雅黑" w:hAnsi="微软雅黑" w:cs="微软雅黑"/>
          <w:b/>
          <w:bCs/>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Robo卜炎森 产品总监</w:t>
      </w:r>
    </w:p>
    <w:p>
      <w:pPr>
        <w:rPr>
          <w:rFonts w:ascii="微软雅黑" w:hAnsi="微软雅黑" w:cs="微软雅黑"/>
          <w:b/>
          <w:bCs/>
          <w:color w:val="404040"/>
          <w:sz w:val="24"/>
          <w:szCs w:val="24"/>
        </w:rPr>
      </w:pPr>
      <w:r>
        <w:drawing>
          <wp:inline distT="0" distB="0" distL="0" distR="0">
            <wp:extent cx="1879600" cy="2298700"/>
            <wp:effectExtent l="0" t="0" r="0" b="0"/>
            <wp:docPr id="11" name="图片 9"/>
            <wp:cNvGraphicFramePr/>
            <a:graphic xmlns:a="http://schemas.openxmlformats.org/drawingml/2006/main">
              <a:graphicData uri="http://schemas.openxmlformats.org/drawingml/2006/picture">
                <pic:pic xmlns:pic="http://schemas.openxmlformats.org/drawingml/2006/picture">
                  <pic:nvPicPr>
                    <pic:cNvPr id="11" name="图片 9"/>
                    <pic:cNvPicPr/>
                  </pic:nvPicPr>
                  <pic:blipFill>
                    <a:blip r:embed="rId15">
                      <a:extLst>
                        <a:ext uri="{28A0092B-C50C-407E-A947-70E740481C1C}">
                          <a14:useLocalDpi xmlns:a14="http://schemas.microsoft.com/office/drawing/2010/main" val="0"/>
                        </a:ext>
                      </a:extLst>
                    </a:blip>
                    <a:srcRect/>
                    <a:stretch>
                      <a:fillRect/>
                    </a:stretch>
                  </pic:blipFill>
                  <pic:spPr>
                    <a:xfrm>
                      <a:off x="0" y="0"/>
                      <a:ext cx="1879600" cy="2298700"/>
                    </a:xfrm>
                    <a:prstGeom prst="rect">
                      <a:avLst/>
                    </a:prstGeom>
                    <a:noFill/>
                    <a:ln>
                      <a:noFill/>
                    </a:ln>
                    <a:effectLst/>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前华为AI大数据产品经理，指导AI SaaS应用落地，包括业务应用和产品数字化应用落地，能够紧密跟踪学术、工业界AI动态，准确把握技术演进趋势，并结合业务应用场景。</w:t>
      </w: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 xml:space="preserve">YOUSEF AL-HANDARISH  产品经理 </w:t>
      </w:r>
    </w:p>
    <w:p>
      <w:pPr>
        <w:rPr>
          <w:rFonts w:ascii="微软雅黑" w:hAnsi="微软雅黑" w:cs="微软雅黑"/>
          <w:b/>
          <w:bCs/>
          <w:color w:val="404040"/>
          <w:sz w:val="24"/>
          <w:szCs w:val="24"/>
        </w:rPr>
      </w:pPr>
      <w:r>
        <w:rPr>
          <w:rFonts w:ascii="微软雅黑" w:hAnsi="微软雅黑" w:cs="微软雅黑"/>
          <w:b/>
          <w:color w:val="404040"/>
          <w:sz w:val="24"/>
          <w:szCs w:val="24"/>
        </w:rPr>
        <w:drawing>
          <wp:inline distT="0" distB="0" distL="0" distR="0">
            <wp:extent cx="1790700" cy="2082800"/>
            <wp:effectExtent l="0" t="0" r="0" b="0"/>
            <wp:docPr id="12" name="图片 1"/>
            <wp:cNvGraphicFramePr/>
            <a:graphic xmlns:a="http://schemas.openxmlformats.org/drawingml/2006/main">
              <a:graphicData uri="http://schemas.openxmlformats.org/drawingml/2006/picture">
                <pic:pic xmlns:pic="http://schemas.openxmlformats.org/drawingml/2006/picture">
                  <pic:nvPicPr>
                    <pic:cNvPr id="12" name="图片 1"/>
                    <pic:cNvPicPr/>
                  </pic:nvPicPr>
                  <pic:blipFill>
                    <a:blip r:embed="rId16">
                      <a:extLst>
                        <a:ext uri="{28A0092B-C50C-407E-A947-70E740481C1C}">
                          <a14:useLocalDpi xmlns:a14="http://schemas.microsoft.com/office/drawing/2010/main" val="0"/>
                        </a:ext>
                      </a:extLst>
                    </a:blip>
                    <a:srcRect/>
                    <a:stretch>
                      <a:fillRect/>
                    </a:stretch>
                  </pic:blipFill>
                  <pic:spPr>
                    <a:xfrm>
                      <a:off x="0" y="0"/>
                      <a:ext cx="1790700" cy="20828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深圳先进技术研究院研究员 主要方向为区块链以及物联网，在数据领域、信贷风控领域有丰富的行业经验。</w:t>
      </w:r>
    </w:p>
    <w:p>
      <w:pPr>
        <w:rPr>
          <w:rFonts w:ascii="微软雅黑" w:hAnsi="微软雅黑" w:cs="微软雅黑"/>
          <w:color w:val="404040"/>
          <w:sz w:val="24"/>
          <w:szCs w:val="24"/>
        </w:rPr>
      </w:pPr>
      <w:r>
        <w:rPr>
          <w:rFonts w:hint="eastAsia" w:ascii="微软雅黑" w:hAnsi="微软雅黑" w:cs="微软雅黑"/>
          <w:color w:val="404040"/>
          <w:sz w:val="24"/>
          <w:szCs w:val="24"/>
        </w:rPr>
        <w:t>多次参与国际科学会议并发表相关论文。</w:t>
      </w:r>
    </w:p>
    <w:p>
      <w:pPr>
        <w:rPr>
          <w:rFonts w:ascii="微软雅黑" w:hAnsi="微软雅黑" w:cs="微软雅黑"/>
          <w:color w:val="404040"/>
          <w:sz w:val="24"/>
          <w:szCs w:val="24"/>
        </w:rPr>
      </w:pPr>
    </w:p>
    <w:p>
      <w:pPr>
        <w:rPr>
          <w:rFonts w:ascii="微软雅黑" w:hAnsi="微软雅黑" w:cs="微软雅黑"/>
          <w:color w:val="404040"/>
          <w:sz w:val="24"/>
          <w:szCs w:val="24"/>
        </w:rPr>
      </w:pP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Menson Pak 毕文燊 运营总监</w:t>
      </w:r>
    </w:p>
    <w:p>
      <w:pPr>
        <w:rPr>
          <w:rFonts w:ascii="微软雅黑" w:hAnsi="微软雅黑" w:cs="微软雅黑"/>
          <w:b/>
          <w:bCs/>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drawing>
          <wp:inline distT="0" distB="0" distL="0" distR="0">
            <wp:extent cx="2260600" cy="2451100"/>
            <wp:effectExtent l="0" t="0" r="0" b="0"/>
            <wp:docPr id="13" name="图片 11" descr="QQ截图20180605182409"/>
            <wp:cNvGraphicFramePr/>
            <a:graphic xmlns:a="http://schemas.openxmlformats.org/drawingml/2006/main">
              <a:graphicData uri="http://schemas.openxmlformats.org/drawingml/2006/picture">
                <pic:pic xmlns:pic="http://schemas.openxmlformats.org/drawingml/2006/picture">
                  <pic:nvPicPr>
                    <pic:cNvPr id="13" name="图片 11" descr="QQ截图20180605182409"/>
                    <pic:cNvPicPr/>
                  </pic:nvPicPr>
                  <pic:blipFill>
                    <a:blip r:embed="rId17">
                      <a:extLst>
                        <a:ext uri="{28A0092B-C50C-407E-A947-70E740481C1C}">
                          <a14:useLocalDpi xmlns:a14="http://schemas.microsoft.com/office/drawing/2010/main" val="0"/>
                        </a:ext>
                      </a:extLst>
                    </a:blip>
                    <a:srcRect/>
                    <a:stretch>
                      <a:fillRect/>
                    </a:stretch>
                  </pic:blipFill>
                  <pic:spPr>
                    <a:xfrm>
                      <a:off x="0" y="0"/>
                      <a:ext cx="2260600" cy="24511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3年互联网金融行业经验，2016年参与了国内领先的移动支付接入服务商ULINE从0到1、从1到N，到17年ULINE与27家银行的金融业务合作，在互联网营销，品牌策划方面有丰富经验。</w:t>
      </w:r>
    </w:p>
    <w:p>
      <w:pPr>
        <w:rPr>
          <w:rFonts w:ascii="微软雅黑" w:hAnsi="微软雅黑" w:cs="微软雅黑"/>
          <w:color w:val="404040"/>
          <w:sz w:val="24"/>
          <w:szCs w:val="24"/>
        </w:rPr>
      </w:pP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t>Charming 张婵 项目策划</w:t>
      </w:r>
    </w:p>
    <w:p>
      <w:pPr>
        <w:rPr>
          <w:rFonts w:ascii="微软雅黑" w:hAnsi="微软雅黑" w:cs="微软雅黑"/>
          <w:b/>
          <w:bCs/>
          <w:color w:val="404040"/>
          <w:sz w:val="24"/>
          <w:szCs w:val="24"/>
        </w:rPr>
      </w:pPr>
      <w:r>
        <w:rPr>
          <w:rFonts w:hint="eastAsia" w:ascii="微软雅黑" w:hAnsi="微软雅黑" w:cs="微软雅黑"/>
          <w:b/>
          <w:bCs/>
          <w:color w:val="404040"/>
          <w:sz w:val="24"/>
          <w:szCs w:val="24"/>
        </w:rPr>
        <w:drawing>
          <wp:inline distT="0" distB="0" distL="0" distR="0">
            <wp:extent cx="1803400" cy="1803400"/>
            <wp:effectExtent l="0" t="0" r="0" b="0"/>
            <wp:docPr id="14" name="图片 7" descr="721564041517115690"/>
            <wp:cNvGraphicFramePr/>
            <a:graphic xmlns:a="http://schemas.openxmlformats.org/drawingml/2006/main">
              <a:graphicData uri="http://schemas.openxmlformats.org/drawingml/2006/picture">
                <pic:pic xmlns:pic="http://schemas.openxmlformats.org/drawingml/2006/picture">
                  <pic:nvPicPr>
                    <pic:cNvPr id="14" name="图片 7" descr="721564041517115690"/>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03400" cy="1803400"/>
                    </a:xfrm>
                    <a:prstGeom prst="rect">
                      <a:avLst/>
                    </a:prstGeom>
                    <a:noFill/>
                    <a:ln>
                      <a:noFill/>
                    </a:ln>
                    <a:effectLst/>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毕业于深圳大学，生物科技与汉语言文学双专业毕业，参与《新京报》寻找中国创客 、 世界互联网大会、《我的新衣》、海峡两岸互联网世界大会等知名项目的新媒体广告策略及发展，实施和带领团队推进项目的跟踪服务，市场营销和广告推广过程。</w:t>
      </w:r>
    </w:p>
    <w:p>
      <w:pPr>
        <w:rPr>
          <w:rFonts w:ascii="微软雅黑" w:hAnsi="微软雅黑" w:cs="微软雅黑"/>
          <w:sz w:val="24"/>
          <w:szCs w:val="24"/>
        </w:rPr>
      </w:pPr>
      <w:r>
        <w:rPr>
          <w:rFonts w:hint="eastAsia" w:ascii="微软雅黑" w:hAnsi="微软雅黑" w:cs="微软雅黑"/>
          <w:b/>
          <w:bCs/>
          <w:color w:val="404040"/>
          <w:sz w:val="24"/>
          <w:szCs w:val="24"/>
        </w:rPr>
        <w:t xml:space="preserve">Xavier：泽维尔 </w:t>
      </w:r>
      <w:r>
        <w:rPr>
          <w:rFonts w:hint="eastAsia" w:ascii="微软雅黑" w:hAnsi="微软雅黑" w:cs="微软雅黑"/>
          <w:color w:val="404040"/>
          <w:sz w:val="24"/>
          <w:szCs w:val="24"/>
        </w:rPr>
        <w:t xml:space="preserve"> </w:t>
      </w:r>
      <w:r>
        <w:rPr>
          <w:rFonts w:hint="eastAsia" w:ascii="微软雅黑" w:hAnsi="微软雅黑" w:cs="微软雅黑"/>
          <w:sz w:val="24"/>
          <w:szCs w:val="24"/>
        </w:rPr>
        <w:t xml:space="preserve"> 区块链顾问</w:t>
      </w:r>
    </w:p>
    <w:p>
      <w:r>
        <w:rPr>
          <w:rFonts w:hint="eastAsia"/>
        </w:rPr>
        <w:drawing>
          <wp:inline distT="0" distB="0" distL="0" distR="0">
            <wp:extent cx="1727200" cy="2603500"/>
            <wp:effectExtent l="0" t="0" r="0" b="0"/>
            <wp:docPr id="15" name="图片 13" descr="103030450351812162"/>
            <wp:cNvGraphicFramePr/>
            <a:graphic xmlns:a="http://schemas.openxmlformats.org/drawingml/2006/main">
              <a:graphicData uri="http://schemas.openxmlformats.org/drawingml/2006/picture">
                <pic:pic xmlns:pic="http://schemas.openxmlformats.org/drawingml/2006/picture">
                  <pic:nvPicPr>
                    <pic:cNvPr id="15" name="图片 13" descr="103030450351812162"/>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727200" cy="26035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1999 年于北德州大学取得软体计算机科学学位。</w:t>
      </w:r>
    </w:p>
    <w:p>
      <w:pPr>
        <w:rPr>
          <w:rFonts w:ascii="微软雅黑" w:hAnsi="微软雅黑" w:cs="微软雅黑"/>
          <w:color w:val="404040"/>
          <w:sz w:val="24"/>
          <w:szCs w:val="24"/>
        </w:rPr>
      </w:pPr>
      <w:r>
        <w:rPr>
          <w:rFonts w:hint="eastAsia" w:ascii="微软雅黑" w:hAnsi="微软雅黑" w:cs="微软雅黑"/>
          <w:color w:val="404040"/>
          <w:sz w:val="24"/>
          <w:szCs w:val="24"/>
        </w:rPr>
        <w:t>曾任职于 Nortel Network。任北京与台湾 SUSE Linux 的研发经理，以及 Symbio Mobile 的首席技术长。多年来他一直担任 SUSE 的 ceph 分散式档案系统顾问，以及 WeBank 与 5miles 的区块链顾问。</w:t>
      </w:r>
    </w:p>
    <w:p>
      <w:pPr>
        <w:rPr>
          <w:rFonts w:ascii="微软雅黑" w:hAnsi="微软雅黑" w:cs="微软雅黑"/>
          <w:color w:val="404040"/>
          <w:sz w:val="24"/>
          <w:szCs w:val="24"/>
        </w:rPr>
      </w:pPr>
    </w:p>
    <w:p>
      <w:pPr>
        <w:rPr>
          <w:rFonts w:ascii="微软雅黑" w:hAnsi="微软雅黑" w:cs="微软雅黑"/>
          <w:b/>
          <w:bCs/>
          <w:sz w:val="24"/>
          <w:szCs w:val="24"/>
        </w:rPr>
      </w:pPr>
      <w:r>
        <w:rPr>
          <w:rFonts w:hint="eastAsia" w:ascii="微软雅黑" w:hAnsi="微软雅黑" w:cs="微软雅黑"/>
          <w:b/>
          <w:bCs/>
          <w:sz w:val="24"/>
          <w:szCs w:val="24"/>
        </w:rPr>
        <w:t>Caleb : 克莱布 区块链架构顾问</w:t>
      </w:r>
    </w:p>
    <w:p>
      <w:pPr>
        <w:rPr>
          <w:rFonts w:ascii="微软雅黑" w:hAnsi="微软雅黑" w:cs="微软雅黑"/>
          <w:b/>
          <w:bCs/>
          <w:sz w:val="24"/>
          <w:szCs w:val="24"/>
        </w:rPr>
      </w:pPr>
      <w:r>
        <w:rPr>
          <w:rFonts w:hint="eastAsia"/>
        </w:rPr>
        <w:drawing>
          <wp:inline distT="0" distB="0" distL="0" distR="0">
            <wp:extent cx="1879600" cy="2819400"/>
            <wp:effectExtent l="0" t="0" r="0" b="0"/>
            <wp:docPr id="16" name="图片 14" descr="612382947607162723"/>
            <wp:cNvGraphicFramePr/>
            <a:graphic xmlns:a="http://schemas.openxmlformats.org/drawingml/2006/main">
              <a:graphicData uri="http://schemas.openxmlformats.org/drawingml/2006/picture">
                <pic:pic xmlns:pic="http://schemas.openxmlformats.org/drawingml/2006/picture">
                  <pic:nvPicPr>
                    <pic:cNvPr id="16" name="图片 14" descr="612382947607162723"/>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79600" cy="28194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UCL博士，资深​Java​全栈开发者，UCL区块链技术中心项目参与者，UCL金融计算研究中心项目高级架构师，阿兰图 灵大数据研究中心项目架构师。 </w:t>
      </w:r>
    </w:p>
    <w:p>
      <w:pPr>
        <w:rPr>
          <w:rFonts w:ascii="微软雅黑" w:hAnsi="微软雅黑" w:cs="微软雅黑"/>
          <w:color w:val="404040"/>
          <w:sz w:val="24"/>
          <w:szCs w:val="24"/>
        </w:rPr>
      </w:pPr>
      <w:r>
        <w:rPr>
          <w:rFonts w:hint="eastAsia" w:ascii="微软雅黑" w:hAnsi="微软雅黑" w:cs="微软雅黑"/>
          <w:color w:val="404040"/>
          <w:sz w:val="24"/>
          <w:szCs w:val="24"/>
        </w:rPr>
        <w:t>曾在花旗银行、美国银行和美国运通等均担任过架构师及以上级别职位；</w:t>
      </w:r>
    </w:p>
    <w:p>
      <w:pPr>
        <w:rPr>
          <w:rFonts w:ascii="微软雅黑" w:hAnsi="微软雅黑" w:cs="微软雅黑"/>
          <w:color w:val="404040"/>
          <w:sz w:val="24"/>
          <w:szCs w:val="24"/>
        </w:rPr>
      </w:pPr>
      <w:r>
        <w:rPr>
          <w:rFonts w:hint="eastAsia" w:ascii="微软雅黑" w:hAnsi="微软雅黑" w:cs="微软雅黑"/>
          <w:color w:val="404040"/>
          <w:sz w:val="24"/>
          <w:szCs w:val="24"/>
        </w:rPr>
        <w:t>在 UCL 期间，负责对接与央行、投行、对冲基金、清算中心和科技企业的项目研究和开发。</w:t>
      </w:r>
    </w:p>
    <w:p>
      <w:pPr>
        <w:rPr>
          <w:rFonts w:ascii="微软雅黑" w:hAnsi="微软雅黑" w:cs="微软雅黑"/>
          <w:color w:val="404040"/>
          <w:sz w:val="24"/>
          <w:szCs w:val="24"/>
        </w:rPr>
      </w:pPr>
    </w:p>
    <w:p>
      <w:pPr>
        <w:rPr>
          <w:rFonts w:ascii="微软雅黑" w:hAnsi="微软雅黑" w:cs="微软雅黑"/>
          <w:color w:val="404040"/>
          <w:sz w:val="24"/>
          <w:szCs w:val="24"/>
        </w:rPr>
      </w:pPr>
    </w:p>
    <w:p>
      <w:pPr>
        <w:rPr>
          <w:rFonts w:ascii="微软雅黑" w:hAnsi="微软雅黑" w:cs="微软雅黑"/>
          <w:b/>
          <w:bCs/>
          <w:sz w:val="24"/>
          <w:szCs w:val="24"/>
        </w:rPr>
      </w:pPr>
      <w:r>
        <w:rPr>
          <w:rFonts w:hint="eastAsia" w:ascii="微软雅黑" w:hAnsi="微软雅黑" w:cs="微软雅黑"/>
          <w:b/>
          <w:bCs/>
          <w:sz w:val="24"/>
          <w:szCs w:val="24"/>
        </w:rPr>
        <w:t>Atticus：阿提格斯   金融顾问</w:t>
      </w:r>
    </w:p>
    <w:p>
      <w:pPr>
        <w:rPr>
          <w:rFonts w:ascii="微软雅黑" w:hAnsi="微软雅黑" w:cs="微软雅黑"/>
          <w:b/>
          <w:bCs/>
          <w:sz w:val="24"/>
          <w:szCs w:val="24"/>
        </w:rPr>
      </w:pPr>
      <w:r>
        <w:rPr>
          <w:rFonts w:hint="eastAsia"/>
        </w:rPr>
        <w:drawing>
          <wp:inline distT="0" distB="0" distL="0" distR="0">
            <wp:extent cx="1841500" cy="2730500"/>
            <wp:effectExtent l="0" t="0" r="0" b="0"/>
            <wp:docPr id="17" name="图片 16" descr="155634892688494724"/>
            <wp:cNvGraphicFramePr/>
            <a:graphic xmlns:a="http://schemas.openxmlformats.org/drawingml/2006/main">
              <a:graphicData uri="http://schemas.openxmlformats.org/drawingml/2006/picture">
                <pic:pic xmlns:pic="http://schemas.openxmlformats.org/drawingml/2006/picture">
                  <pic:nvPicPr>
                    <pic:cNvPr id="17" name="图片 16" descr="155634892688494724"/>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41500" cy="2730500"/>
                    </a:xfrm>
                    <a:prstGeom prst="rect">
                      <a:avLst/>
                    </a:prstGeom>
                    <a:noFill/>
                    <a:ln>
                      <a:noFill/>
                    </a:ln>
                  </pic:spPr>
                </pic:pic>
              </a:graphicData>
            </a:graphic>
          </wp:inline>
        </w:drawing>
      </w:r>
    </w:p>
    <w:p>
      <w:pPr>
        <w:rPr>
          <w:rFonts w:ascii="微软雅黑" w:hAnsi="微软雅黑" w:cs="微软雅黑"/>
          <w:color w:val="404040"/>
          <w:sz w:val="24"/>
          <w:szCs w:val="24"/>
        </w:rPr>
      </w:pPr>
      <w:r>
        <w:rPr>
          <w:rFonts w:hint="eastAsia" w:ascii="微软雅黑" w:hAnsi="微软雅黑" w:cs="微软雅黑"/>
          <w:color w:val="404040"/>
          <w:sz w:val="24"/>
          <w:szCs w:val="24"/>
        </w:rPr>
        <w:t>毕业于伦敦商学院，拥有 MBA 和计算机科学硕士学位。来自 于巴克莱银行法国总部，拥有 8 年的零售银行商业战略和制 定经验，以及 6 年投资银行实时交易应用开发经验。</w:t>
      </w:r>
    </w:p>
    <w:p>
      <w:pPr>
        <w:rPr>
          <w:rFonts w:ascii="微软雅黑" w:hAnsi="微软雅黑" w:cs="微软雅黑"/>
          <w:color w:val="404040"/>
          <w:sz w:val="24"/>
          <w:szCs w:val="24"/>
        </w:rPr>
      </w:pPr>
    </w:p>
    <w:p>
      <w:pPr>
        <w:pStyle w:val="2"/>
        <w:rPr>
          <w:rFonts w:ascii="微软雅黑" w:hAnsi="微软雅黑" w:eastAsia="微软雅黑" w:cs="微软雅黑"/>
          <w:color w:val="404040"/>
          <w:kern w:val="0"/>
          <w:szCs w:val="24"/>
        </w:rPr>
      </w:pPr>
      <w:bookmarkStart w:id="99" w:name="_Toc19795_WPSOffice_Level1"/>
      <w:bookmarkStart w:id="100" w:name="_Toc24030"/>
      <w:bookmarkStart w:id="101" w:name="_Toc5126"/>
      <w:bookmarkStart w:id="102" w:name="_Toc9809"/>
      <w:bookmarkStart w:id="103" w:name="_Toc6586_WPSOffice_Level1"/>
    </w:p>
    <w:p>
      <w:pPr>
        <w:pStyle w:val="2"/>
        <w:rPr>
          <w:rFonts w:ascii="微软雅黑" w:hAnsi="微软雅黑" w:eastAsia="微软雅黑" w:cs="微软雅黑"/>
          <w:color w:val="404040"/>
          <w:kern w:val="0"/>
          <w:szCs w:val="24"/>
        </w:rPr>
      </w:pPr>
      <w:bookmarkStart w:id="104" w:name="_Toc516005308"/>
      <w:r>
        <w:rPr>
          <w:rFonts w:hint="eastAsia" w:ascii="微软雅黑" w:hAnsi="微软雅黑" w:eastAsia="微软雅黑" w:cs="微软雅黑"/>
          <w:color w:val="404040"/>
          <w:kern w:val="0"/>
          <w:szCs w:val="24"/>
        </w:rPr>
        <w:t>六、</w:t>
      </w:r>
      <w:bookmarkEnd w:id="99"/>
      <w:bookmarkEnd w:id="100"/>
      <w:bookmarkEnd w:id="101"/>
      <w:bookmarkEnd w:id="102"/>
      <w:bookmarkEnd w:id="103"/>
      <w:r>
        <w:rPr>
          <w:rFonts w:hint="eastAsia" w:ascii="微软雅黑" w:hAnsi="微软雅黑" w:eastAsia="微软雅黑" w:cs="微软雅黑"/>
          <w:color w:val="404040"/>
          <w:kern w:val="0"/>
          <w:szCs w:val="24"/>
        </w:rPr>
        <w:t>风险控制</w:t>
      </w:r>
      <w:bookmarkEnd w:id="104"/>
    </w:p>
    <w:p>
      <w:pPr>
        <w:pStyle w:val="3"/>
        <w:rPr>
          <w:rFonts w:ascii="微软雅黑" w:hAnsi="微软雅黑" w:eastAsia="微软雅黑" w:cs="微软雅黑"/>
          <w:color w:val="404040"/>
          <w:kern w:val="0"/>
          <w:sz w:val="24"/>
          <w:szCs w:val="24"/>
        </w:rPr>
      </w:pPr>
      <w:bookmarkStart w:id="105" w:name="_Toc29283"/>
      <w:bookmarkStart w:id="106" w:name="_Toc16591"/>
      <w:bookmarkStart w:id="107" w:name="_Toc1933_WPSOffice_Level2"/>
      <w:bookmarkStart w:id="108" w:name="_Toc516005309"/>
      <w:r>
        <w:rPr>
          <w:rFonts w:hint="eastAsia" w:ascii="微软雅黑" w:hAnsi="微软雅黑" w:eastAsia="微软雅黑" w:cs="微软雅黑"/>
          <w:color w:val="404040"/>
          <w:kern w:val="0"/>
          <w:sz w:val="24"/>
          <w:szCs w:val="24"/>
        </w:rPr>
        <w:t>1、 Internet FinTech（IFT）的治理机制</w:t>
      </w:r>
      <w:bookmarkEnd w:id="105"/>
      <w:bookmarkEnd w:id="106"/>
      <w:bookmarkEnd w:id="107"/>
      <w:bookmarkEnd w:id="108"/>
      <w:r>
        <w:rPr>
          <w:rFonts w:hint="eastAsia" w:ascii="微软雅黑" w:hAnsi="微软雅黑" w:eastAsia="微软雅黑" w:cs="微软雅黑"/>
          <w:color w:val="404040"/>
          <w:kern w:val="0"/>
          <w:sz w:val="24"/>
          <w:szCs w:val="24"/>
        </w:rPr>
        <w:t xml:space="preserve"> </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color w:val="404040"/>
          <w:kern w:val="0"/>
          <w:sz w:val="24"/>
          <w:szCs w:val="24"/>
        </w:rPr>
        <w:t xml:space="preserve">IFT是一个去中心化的国际性区块链社区，将在海外设立IFT基金会（IFT Foundation）来保证IFT社区的管理、运作，以及所募集资金的管理和安全。IFT基金会的组织架构将由IFT社区大会，IFT基金自治委员会和执行委员会组成。 </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color w:val="404040"/>
          <w:kern w:val="0"/>
          <w:sz w:val="24"/>
          <w:szCs w:val="24"/>
        </w:rPr>
        <w:t xml:space="preserve">IFT社区大会是IFT社区的最高权力机构，由全部IFT币持有者组成，所有的持有者都能够通过社区大会行使自己的投票权，参与社区重大事项决策。 </w:t>
      </w:r>
    </w:p>
    <w:p>
      <w:pPr>
        <w:widowControl/>
        <w:autoSpaceDE w:val="0"/>
        <w:autoSpaceDN w:val="0"/>
        <w:adjustRightInd w:val="0"/>
        <w:spacing w:after="240"/>
        <w:rPr>
          <w:rFonts w:ascii="微软雅黑" w:hAnsi="微软雅黑" w:cs="微软雅黑"/>
          <w:color w:val="404040"/>
          <w:kern w:val="0"/>
          <w:sz w:val="24"/>
          <w:szCs w:val="24"/>
        </w:rPr>
      </w:pPr>
      <w:r>
        <w:rPr>
          <w:rFonts w:hint="eastAsia" w:ascii="微软雅黑" w:hAnsi="微软雅黑" w:cs="微软雅黑"/>
          <w:color w:val="404040"/>
          <w:kern w:val="0"/>
          <w:sz w:val="24"/>
          <w:szCs w:val="24"/>
        </w:rPr>
        <w:t xml:space="preserve">IFT基金自治委员会对社区大会负责，负责对执行会委员会行使管理和监督的职能。每两年根据所持代币的数量和币龄进行换届。 执行委员会对自治委员会负责，负责IFT社区的正常运营和维护，下辖技术开发组团、商务运营组团、财务管理及风险控制组团以及品质把控组团，每个组团负责相对应业务的实际工作。 </w:t>
      </w:r>
    </w:p>
    <w:p>
      <w:pPr>
        <w:widowControl/>
        <w:autoSpaceDE w:val="0"/>
        <w:autoSpaceDN w:val="0"/>
        <w:adjustRightInd w:val="0"/>
        <w:spacing w:after="240"/>
        <w:rPr>
          <w:rFonts w:ascii="微软雅黑" w:hAnsi="微软雅黑" w:cs="微软雅黑"/>
          <w:color w:val="404040"/>
          <w:sz w:val="24"/>
          <w:szCs w:val="24"/>
        </w:rPr>
      </w:pPr>
      <w:r>
        <w:rPr>
          <w:rFonts w:hint="eastAsia" w:ascii="微软雅黑" w:hAnsi="微软雅黑" w:cs="微软雅黑"/>
          <w:color w:val="404040"/>
          <w:sz w:val="24"/>
          <w:szCs w:val="24"/>
        </w:rPr>
        <w:drawing>
          <wp:inline distT="0" distB="0" distL="0" distR="0">
            <wp:extent cx="3327400" cy="3048000"/>
            <wp:effectExtent l="0" t="0" r="0" b="0"/>
            <wp:docPr id="18" name="图片 1"/>
            <wp:cNvGraphicFramePr/>
            <a:graphic xmlns:a="http://schemas.openxmlformats.org/drawingml/2006/main">
              <a:graphicData uri="http://schemas.openxmlformats.org/drawingml/2006/picture">
                <pic:pic xmlns:pic="http://schemas.openxmlformats.org/drawingml/2006/picture">
                  <pic:nvPicPr>
                    <pic:cNvPr id="18" name="图片 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27400" cy="3048000"/>
                    </a:xfrm>
                    <a:prstGeom prst="rect">
                      <a:avLst/>
                    </a:prstGeom>
                    <a:noFill/>
                    <a:ln>
                      <a:noFill/>
                    </a:ln>
                  </pic:spPr>
                </pic:pic>
              </a:graphicData>
            </a:graphic>
          </wp:inline>
        </w:drawing>
      </w:r>
    </w:p>
    <w:p>
      <w:pPr>
        <w:pStyle w:val="3"/>
        <w:rPr>
          <w:rFonts w:ascii="微软雅黑" w:hAnsi="微软雅黑" w:eastAsia="微软雅黑" w:cs="微软雅黑"/>
          <w:color w:val="404040"/>
          <w:sz w:val="24"/>
          <w:szCs w:val="24"/>
        </w:rPr>
      </w:pPr>
      <w:bookmarkStart w:id="109" w:name="_Toc516005310"/>
      <w:r>
        <w:rPr>
          <w:rFonts w:hint="eastAsia" w:ascii="微软雅黑" w:hAnsi="微软雅黑" w:eastAsia="微软雅黑" w:cs="微软雅黑"/>
          <w:color w:val="404040"/>
          <w:sz w:val="24"/>
          <w:szCs w:val="24"/>
        </w:rPr>
        <w:t>2、审计</w:t>
      </w:r>
      <w:bookmarkEnd w:id="109"/>
      <w:r>
        <w:rPr>
          <w:rFonts w:hint="eastAsia" w:ascii="微软雅黑" w:hAnsi="微软雅黑" w:eastAsia="微软雅黑" w:cs="微软雅黑"/>
          <w:color w:val="404040"/>
          <w:sz w:val="24"/>
          <w:szCs w:val="24"/>
        </w:rPr>
        <w:t xml:space="preserve"> </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IFT基金自治委员会必须保持高标准的诚信和道德的商业行为标准； </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遵守相关的法律法规及行业自律原则； </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提供透明的财务管理； </w:t>
      </w:r>
    </w:p>
    <w:p>
      <w:pPr>
        <w:rPr>
          <w:rFonts w:ascii="微软雅黑" w:hAnsi="微软雅黑" w:cs="微软雅黑"/>
          <w:color w:val="404040"/>
          <w:sz w:val="24"/>
          <w:szCs w:val="24"/>
        </w:rPr>
      </w:pPr>
      <w:r>
        <w:rPr>
          <w:rFonts w:hint="eastAsia" w:ascii="微软雅黑" w:hAnsi="微软雅黑" w:cs="微软雅黑"/>
          <w:color w:val="404040"/>
          <w:sz w:val="24"/>
          <w:szCs w:val="24"/>
        </w:rPr>
        <w:t>IFT（Internet FinTech）每年会邀请国际知名第三方审计机构对IFT基金会的资金使用、成</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本支出、利润分配等进行审计和评估； </w:t>
      </w:r>
    </w:p>
    <w:p>
      <w:pPr>
        <w:rPr>
          <w:rFonts w:ascii="微软雅黑" w:hAnsi="微软雅黑" w:cs="微软雅黑"/>
          <w:color w:val="404040"/>
          <w:sz w:val="24"/>
          <w:szCs w:val="24"/>
        </w:rPr>
      </w:pPr>
      <w:r>
        <w:rPr>
          <w:rFonts w:hint="eastAsia" w:ascii="微软雅黑" w:hAnsi="微软雅黑" w:cs="微软雅黑"/>
          <w:color w:val="404040"/>
          <w:sz w:val="24"/>
          <w:szCs w:val="24"/>
        </w:rPr>
        <w:t>IFT（Internet FinTech）将无保留的公开第三方机构的评估和审核结果。</w:t>
      </w:r>
    </w:p>
    <w:p>
      <w:pPr>
        <w:widowControl/>
        <w:autoSpaceDE w:val="0"/>
        <w:autoSpaceDN w:val="0"/>
        <w:adjustRightInd w:val="0"/>
        <w:spacing w:after="240"/>
        <w:rPr>
          <w:rFonts w:ascii="微软雅黑" w:hAnsi="微软雅黑" w:cs="微软雅黑"/>
          <w:color w:val="404040"/>
          <w:sz w:val="24"/>
          <w:szCs w:val="24"/>
        </w:rPr>
      </w:pPr>
    </w:p>
    <w:p>
      <w:pPr>
        <w:widowControl/>
        <w:autoSpaceDE w:val="0"/>
        <w:autoSpaceDN w:val="0"/>
        <w:adjustRightInd w:val="0"/>
        <w:spacing w:after="240"/>
        <w:rPr>
          <w:rFonts w:ascii="微软雅黑" w:hAnsi="微软雅黑" w:cs="微软雅黑"/>
          <w:color w:val="404040"/>
          <w:kern w:val="0"/>
          <w:sz w:val="24"/>
          <w:szCs w:val="24"/>
        </w:rPr>
      </w:pPr>
    </w:p>
    <w:p>
      <w:pPr>
        <w:rPr>
          <w:rFonts w:ascii="微软雅黑" w:hAnsi="微软雅黑" w:cs="微软雅黑"/>
          <w:color w:val="404040"/>
          <w:sz w:val="24"/>
          <w:szCs w:val="24"/>
        </w:rPr>
      </w:pPr>
    </w:p>
    <w:p>
      <w:pPr>
        <w:pStyle w:val="2"/>
        <w:rPr>
          <w:rFonts w:ascii="微软雅黑" w:hAnsi="微软雅黑" w:eastAsia="微软雅黑" w:cs="微软雅黑"/>
          <w:color w:val="404040"/>
          <w:szCs w:val="24"/>
        </w:rPr>
      </w:pPr>
      <w:bookmarkStart w:id="110" w:name="_Toc26126_WPSOffice_Level1"/>
      <w:bookmarkStart w:id="111" w:name="_Toc516005311"/>
      <w:bookmarkStart w:id="112" w:name="_Toc14229"/>
      <w:bookmarkStart w:id="113" w:name="_Toc5398"/>
      <w:bookmarkStart w:id="114" w:name="_Toc30504_WPSOffice_Level1"/>
      <w:bookmarkStart w:id="115" w:name="_Toc24846"/>
      <w:r>
        <w:rPr>
          <w:rFonts w:hint="eastAsia" w:ascii="微软雅黑" w:hAnsi="微软雅黑" w:eastAsia="微软雅黑" w:cs="微软雅黑"/>
          <w:color w:val="404040"/>
          <w:szCs w:val="24"/>
        </w:rPr>
        <w:t>七、项目规划</w:t>
      </w:r>
      <w:bookmarkEnd w:id="110"/>
      <w:bookmarkEnd w:id="111"/>
      <w:bookmarkEnd w:id="112"/>
      <w:bookmarkEnd w:id="113"/>
      <w:bookmarkEnd w:id="114"/>
      <w:bookmarkEnd w:id="115"/>
    </w:p>
    <w:tbl>
      <w:tblPr>
        <w:tblStyle w:val="18"/>
        <w:tblW w:w="9039" w:type="dxa"/>
        <w:tblInd w:w="0" w:type="dxa"/>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663"/>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bottom w:val="single" w:color="7F7F7F" w:sz="4" w:space="0"/>
            </w:tcBorders>
          </w:tcPr>
          <w:p>
            <w:pPr>
              <w:jc w:val="center"/>
              <w:rPr>
                <w:b/>
                <w:bCs/>
                <w:color w:val="000000"/>
              </w:rPr>
            </w:pPr>
            <w:r>
              <w:rPr>
                <w:rFonts w:hint="eastAsia"/>
                <w:b/>
                <w:bCs/>
                <w:color w:val="000000"/>
              </w:rPr>
              <w:t>阶段</w:t>
            </w:r>
          </w:p>
        </w:tc>
        <w:tc>
          <w:tcPr>
            <w:tcW w:w="6663" w:type="dxa"/>
            <w:tcBorders>
              <w:bottom w:val="single" w:color="7F7F7F" w:sz="4" w:space="0"/>
            </w:tcBorders>
          </w:tcPr>
          <w:p>
            <w:pPr>
              <w:jc w:val="center"/>
              <w:rPr>
                <w:b/>
                <w:bCs/>
                <w:color w:val="000000"/>
              </w:rPr>
            </w:pPr>
            <w:r>
              <w:rPr>
                <w:rFonts w:hint="eastAsia"/>
                <w:b/>
                <w:bCs/>
                <w:color w:val="000000"/>
              </w:rPr>
              <w:t xml:space="preserve">                    规划</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Borders>
              <w:top w:val="single" w:color="7F7F7F" w:sz="4" w:space="0"/>
              <w:bottom w:val="single" w:color="7F7F7F" w:sz="4" w:space="0"/>
            </w:tcBorders>
          </w:tcPr>
          <w:p>
            <w:pPr>
              <w:rPr>
                <w:b/>
                <w:bCs/>
                <w:color w:val="000000"/>
              </w:rPr>
            </w:pPr>
            <w:r>
              <w:rPr>
                <w:rFonts w:hint="eastAsia"/>
                <w:b/>
                <w:bCs/>
                <w:color w:val="000000"/>
              </w:rPr>
              <w:t>启动阶段</w:t>
            </w:r>
          </w:p>
        </w:tc>
        <w:tc>
          <w:tcPr>
            <w:tcW w:w="6663" w:type="dxa"/>
            <w:tcBorders>
              <w:top w:val="single" w:color="7F7F7F" w:sz="4" w:space="0"/>
              <w:bottom w:val="single" w:color="7F7F7F" w:sz="4" w:space="0"/>
            </w:tcBorders>
          </w:tcPr>
          <w:p>
            <w:pPr>
              <w:rPr>
                <w:color w:val="000000"/>
              </w:rPr>
            </w:pPr>
            <w:r>
              <w:rPr>
                <w:rFonts w:hint="eastAsia"/>
                <w:color w:val="000000"/>
              </w:rPr>
              <w:t>I</w:t>
            </w:r>
            <w:r>
              <w:rPr>
                <w:color w:val="000000"/>
              </w:rPr>
              <w:t>FT</w:t>
            </w:r>
            <w:r>
              <w:rPr>
                <w:rFonts w:hint="eastAsia"/>
                <w:color w:val="000000"/>
              </w:rPr>
              <w:t>项目启动</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Pr>
          <w:p>
            <w:pPr>
              <w:rPr>
                <w:b/>
                <w:bCs/>
                <w:color w:val="000000"/>
              </w:rPr>
            </w:pPr>
            <w:r>
              <w:rPr>
                <w:rFonts w:hint="eastAsia"/>
                <w:b/>
                <w:bCs/>
                <w:color w:val="000000"/>
              </w:rPr>
              <w:t>规划阶段</w:t>
            </w:r>
          </w:p>
        </w:tc>
        <w:tc>
          <w:tcPr>
            <w:tcW w:w="6663" w:type="dxa"/>
          </w:tcPr>
          <w:p>
            <w:pPr>
              <w:rPr>
                <w:color w:val="000000"/>
              </w:rPr>
            </w:pPr>
            <w:r>
              <w:rPr>
                <w:rFonts w:hint="eastAsia"/>
                <w:color w:val="000000"/>
              </w:rPr>
              <w:t>I</w:t>
            </w:r>
            <w:r>
              <w:rPr>
                <w:color w:val="000000"/>
              </w:rPr>
              <w:t>FT</w:t>
            </w:r>
            <w:r>
              <w:rPr>
                <w:rFonts w:hint="eastAsia"/>
                <w:color w:val="000000"/>
              </w:rPr>
              <w:t>项目白皮书，向基石众筹用户公布。</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Borders>
              <w:top w:val="single" w:color="7F7F7F" w:sz="4" w:space="0"/>
              <w:bottom w:val="single" w:color="7F7F7F" w:sz="4" w:space="0"/>
            </w:tcBorders>
          </w:tcPr>
          <w:p>
            <w:pPr>
              <w:rPr>
                <w:b/>
                <w:bCs/>
                <w:color w:val="000000"/>
              </w:rPr>
            </w:pPr>
            <w:r>
              <w:rPr>
                <w:rFonts w:hint="eastAsia"/>
                <w:b/>
                <w:bCs/>
                <w:color w:val="000000"/>
              </w:rPr>
              <w:t>对外公布</w:t>
            </w:r>
          </w:p>
        </w:tc>
        <w:tc>
          <w:tcPr>
            <w:tcW w:w="6663" w:type="dxa"/>
            <w:tcBorders>
              <w:top w:val="single" w:color="7F7F7F" w:sz="4" w:space="0"/>
              <w:bottom w:val="single" w:color="7F7F7F" w:sz="4" w:space="0"/>
            </w:tcBorders>
          </w:tcPr>
          <w:p>
            <w:pPr>
              <w:rPr>
                <w:color w:val="000000"/>
              </w:rPr>
            </w:pPr>
            <w:r>
              <w:rPr>
                <w:rFonts w:hint="eastAsia"/>
                <w:color w:val="000000"/>
              </w:rPr>
              <w:t>I</w:t>
            </w:r>
            <w:r>
              <w:rPr>
                <w:color w:val="000000"/>
              </w:rPr>
              <w:t>FT</w:t>
            </w:r>
            <w:r>
              <w:rPr>
                <w:rFonts w:hint="eastAsia"/>
                <w:color w:val="000000"/>
              </w:rPr>
              <w:t>项目官网，向全球用户公布项目及项目白皮书。</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Pr>
          <w:p>
            <w:pPr>
              <w:rPr>
                <w:b/>
                <w:bCs/>
                <w:color w:val="000000"/>
              </w:rPr>
            </w:pPr>
            <w:r>
              <w:rPr>
                <w:b/>
                <w:bCs/>
                <w:color w:val="000000"/>
              </w:rPr>
              <w:t>ICO</w:t>
            </w:r>
            <w:r>
              <w:rPr>
                <w:rFonts w:hint="eastAsia"/>
                <w:b/>
                <w:bCs/>
                <w:color w:val="000000"/>
              </w:rPr>
              <w:t>预备</w:t>
            </w:r>
          </w:p>
        </w:tc>
        <w:tc>
          <w:tcPr>
            <w:tcW w:w="6663" w:type="dxa"/>
          </w:tcPr>
          <w:p>
            <w:pPr>
              <w:rPr>
                <w:color w:val="000000"/>
              </w:rPr>
            </w:pPr>
            <w:r>
              <w:rPr>
                <w:rFonts w:hint="eastAsia"/>
                <w:color w:val="000000"/>
              </w:rPr>
              <w:t>基于ETH的E</w:t>
            </w:r>
            <w:r>
              <w:rPr>
                <w:color w:val="000000"/>
              </w:rPr>
              <w:t>RC-20</w:t>
            </w:r>
            <w:r>
              <w:rPr>
                <w:rFonts w:hint="eastAsia"/>
                <w:color w:val="000000"/>
              </w:rPr>
              <w:t>发行</w:t>
            </w:r>
            <w:r>
              <w:rPr>
                <w:color w:val="000000"/>
              </w:rPr>
              <w:t>IFTC</w:t>
            </w:r>
            <w:r>
              <w:rPr>
                <w:rFonts w:hint="eastAsia"/>
                <w:color w:val="000000"/>
              </w:rPr>
              <w:t>。</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Borders>
              <w:top w:val="single" w:color="7F7F7F" w:sz="4" w:space="0"/>
              <w:bottom w:val="single" w:color="7F7F7F" w:sz="4" w:space="0"/>
            </w:tcBorders>
          </w:tcPr>
          <w:p>
            <w:pPr>
              <w:rPr>
                <w:b/>
                <w:bCs/>
                <w:color w:val="000000"/>
              </w:rPr>
            </w:pPr>
            <w:r>
              <w:rPr>
                <w:rFonts w:hint="eastAsia"/>
                <w:b/>
                <w:bCs/>
                <w:color w:val="000000"/>
              </w:rPr>
              <w:t>白名单阶段</w:t>
            </w:r>
          </w:p>
        </w:tc>
        <w:tc>
          <w:tcPr>
            <w:tcW w:w="6663" w:type="dxa"/>
            <w:tcBorders>
              <w:top w:val="single" w:color="7F7F7F" w:sz="4" w:space="0"/>
              <w:bottom w:val="single" w:color="7F7F7F" w:sz="4" w:space="0"/>
            </w:tcBorders>
          </w:tcPr>
          <w:p>
            <w:pPr>
              <w:rPr>
                <w:color w:val="000000"/>
              </w:rPr>
            </w:pPr>
            <w:r>
              <w:rPr>
                <w:rFonts w:hint="eastAsia"/>
                <w:color w:val="000000"/>
              </w:rPr>
              <w:t>进行白名单众筹，释放1亿I</w:t>
            </w:r>
            <w:r>
              <w:rPr>
                <w:color w:val="000000"/>
              </w:rPr>
              <w:t>FTC</w:t>
            </w:r>
            <w:r>
              <w:rPr>
                <w:rFonts w:hint="eastAsia"/>
                <w:color w:val="000000"/>
              </w:rPr>
              <w:t>。募集</w:t>
            </w:r>
            <w:r>
              <w:rPr>
                <w:rFonts w:hint="eastAsia"/>
                <w:color w:val="000000"/>
                <w:lang w:val="en-US" w:eastAsia="zh-CN"/>
              </w:rPr>
              <w:t>ETH</w:t>
            </w:r>
            <w:bookmarkStart w:id="126" w:name="_GoBack"/>
            <w:bookmarkEnd w:id="126"/>
            <w:r>
              <w:rPr>
                <w:rFonts w:hint="eastAsia"/>
                <w:color w:val="000000"/>
              </w:rPr>
              <w:t>将用于I</w:t>
            </w:r>
            <w:r>
              <w:rPr>
                <w:color w:val="000000"/>
              </w:rPr>
              <w:t>FT</w:t>
            </w:r>
            <w:r>
              <w:rPr>
                <w:rFonts w:hint="eastAsia"/>
                <w:color w:val="000000"/>
              </w:rPr>
              <w:t>技术团队建设</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Pr>
          <w:p>
            <w:pPr>
              <w:rPr>
                <w:b/>
                <w:bCs/>
                <w:color w:val="000000"/>
              </w:rPr>
            </w:pPr>
            <w:r>
              <w:rPr>
                <w:rFonts w:hint="eastAsia"/>
                <w:b/>
                <w:bCs/>
                <w:color w:val="000000"/>
              </w:rPr>
              <w:t>对外公筹</w:t>
            </w:r>
          </w:p>
        </w:tc>
        <w:tc>
          <w:tcPr>
            <w:tcW w:w="6663" w:type="dxa"/>
          </w:tcPr>
          <w:p>
            <w:pPr>
              <w:rPr>
                <w:color w:val="000000"/>
              </w:rPr>
            </w:pPr>
            <w:r>
              <w:rPr>
                <w:rFonts w:hint="eastAsia"/>
                <w:color w:val="000000"/>
              </w:rPr>
              <w:t>进行基石众筹，释放</w:t>
            </w:r>
            <w:r>
              <w:rPr>
                <w:color w:val="000000"/>
              </w:rPr>
              <w:t>1</w:t>
            </w:r>
            <w:r>
              <w:rPr>
                <w:rFonts w:hint="eastAsia"/>
                <w:color w:val="000000"/>
              </w:rPr>
              <w:t>亿I</w:t>
            </w:r>
            <w:r>
              <w:rPr>
                <w:color w:val="000000"/>
              </w:rPr>
              <w:t>FTC</w:t>
            </w:r>
            <w:r>
              <w:rPr>
                <w:rFonts w:hint="eastAsia"/>
                <w:color w:val="000000"/>
              </w:rPr>
              <w:t>。募集ETH将用于I</w:t>
            </w:r>
            <w:r>
              <w:rPr>
                <w:color w:val="000000"/>
              </w:rPr>
              <w:t>FT</w:t>
            </w:r>
            <w:r>
              <w:rPr>
                <w:rFonts w:hint="eastAsia"/>
                <w:color w:val="000000"/>
              </w:rPr>
              <w:t>项目研发。</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Borders>
              <w:top w:val="single" w:color="7F7F7F" w:sz="4" w:space="0"/>
              <w:bottom w:val="single" w:color="7F7F7F" w:sz="4" w:space="0"/>
            </w:tcBorders>
          </w:tcPr>
          <w:p>
            <w:pPr>
              <w:rPr>
                <w:b/>
                <w:bCs/>
                <w:color w:val="000000"/>
              </w:rPr>
            </w:pPr>
            <w:r>
              <w:rPr>
                <w:rFonts w:hint="eastAsia"/>
                <w:b/>
                <w:bCs/>
                <w:color w:val="000000"/>
              </w:rPr>
              <w:t>长期众筹</w:t>
            </w:r>
          </w:p>
        </w:tc>
        <w:tc>
          <w:tcPr>
            <w:tcW w:w="6663" w:type="dxa"/>
            <w:tcBorders>
              <w:top w:val="single" w:color="7F7F7F" w:sz="4" w:space="0"/>
              <w:bottom w:val="single" w:color="7F7F7F" w:sz="4" w:space="0"/>
            </w:tcBorders>
          </w:tcPr>
          <w:p>
            <w:pPr>
              <w:rPr>
                <w:color w:val="000000"/>
              </w:rPr>
            </w:pPr>
            <w:r>
              <w:rPr>
                <w:rFonts w:hint="eastAsia"/>
                <w:color w:val="000000"/>
              </w:rPr>
              <w:t>日进行全球公开众筹，释放7亿I</w:t>
            </w:r>
            <w:r>
              <w:rPr>
                <w:color w:val="000000"/>
              </w:rPr>
              <w:t>FTC</w:t>
            </w:r>
            <w:r>
              <w:rPr>
                <w:rFonts w:hint="eastAsia"/>
                <w:color w:val="000000"/>
              </w:rPr>
              <w:t>，募集ETH将用于团队运营，及全球的超级节点建立。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34" w:hRule="atLeast"/>
        </w:trPr>
        <w:tc>
          <w:tcPr>
            <w:tcW w:w="2376" w:type="dxa"/>
          </w:tcPr>
          <w:p>
            <w:pPr>
              <w:rPr>
                <w:b/>
                <w:bCs/>
                <w:color w:val="000000"/>
              </w:rPr>
            </w:pPr>
            <w:r>
              <w:rPr>
                <w:rFonts w:hint="eastAsia"/>
                <w:b/>
                <w:bCs/>
                <w:color w:val="000000"/>
              </w:rPr>
              <w:t>项目上线</w:t>
            </w:r>
          </w:p>
        </w:tc>
        <w:tc>
          <w:tcPr>
            <w:tcW w:w="6663" w:type="dxa"/>
          </w:tcPr>
          <w:p>
            <w:pPr>
              <w:rPr>
                <w:color w:val="000000"/>
              </w:rPr>
            </w:pPr>
            <w:r>
              <w:rPr>
                <w:rFonts w:hint="eastAsia"/>
                <w:color w:val="000000"/>
              </w:rPr>
              <w:t>I</w:t>
            </w:r>
            <w:r>
              <w:rPr>
                <w:color w:val="000000"/>
              </w:rPr>
              <w:t>FT</w:t>
            </w:r>
            <w:r>
              <w:rPr>
                <w:rFonts w:hint="eastAsia"/>
                <w:color w:val="000000"/>
              </w:rPr>
              <w:t>底层公有链开放，并公布源代码</w:t>
            </w:r>
          </w:p>
        </w:tc>
      </w:tr>
    </w:tbl>
    <w:p>
      <w:pPr>
        <w:rPr>
          <w:rFonts w:ascii="微软雅黑" w:hAnsi="微软雅黑" w:cs="微软雅黑"/>
          <w:color w:val="404040"/>
          <w:sz w:val="24"/>
          <w:szCs w:val="24"/>
        </w:rPr>
      </w:pPr>
      <w:r>
        <w:rPr>
          <w:rFonts w:hint="eastAsia" w:ascii="微软雅黑" w:hAnsi="微软雅黑" w:cs="微软雅黑"/>
          <w:color w:val="404040"/>
          <w:sz w:val="24"/>
          <w:szCs w:val="24"/>
        </w:rPr>
        <w:tab/>
      </w:r>
      <w:bookmarkStart w:id="116" w:name="_Hlk515136738"/>
    </w:p>
    <w:p>
      <w:pPr>
        <w:pStyle w:val="2"/>
        <w:rPr>
          <w:rFonts w:ascii="微软雅黑" w:hAnsi="微软雅黑" w:cs="微软雅黑"/>
          <w:b w:val="0"/>
          <w:bCs w:val="0"/>
          <w:color w:val="404040"/>
          <w:kern w:val="0"/>
          <w:szCs w:val="24"/>
        </w:rPr>
      </w:pPr>
      <w:bookmarkStart w:id="117" w:name="_Toc31680_WPSOffice_Level1"/>
      <w:bookmarkStart w:id="118" w:name="_Toc20023_WPSOffice_Level1"/>
      <w:bookmarkStart w:id="119" w:name="_Toc516005312"/>
      <w:r>
        <w:rPr>
          <w:rFonts w:hint="eastAsia" w:ascii="微软雅黑" w:hAnsi="微软雅黑" w:cs="微软雅黑"/>
          <w:b w:val="0"/>
          <w:bCs w:val="0"/>
          <w:color w:val="404040"/>
          <w:kern w:val="0"/>
          <w:szCs w:val="24"/>
        </w:rPr>
        <w:t>八、法律事务及风险声明</w:t>
      </w:r>
      <w:bookmarkEnd w:id="117"/>
      <w:bookmarkEnd w:id="118"/>
      <w:bookmarkEnd w:id="119"/>
    </w:p>
    <w:p>
      <w:pPr>
        <w:rPr>
          <w:rFonts w:ascii="微软雅黑" w:hAnsi="微软雅黑" w:cs="微软雅黑"/>
          <w:color w:val="404040"/>
          <w:sz w:val="24"/>
          <w:szCs w:val="24"/>
        </w:rPr>
      </w:pPr>
    </w:p>
    <w:p>
      <w:pPr>
        <w:rPr>
          <w:rFonts w:ascii="微软雅黑" w:hAnsi="微软雅黑" w:cs="微软雅黑"/>
          <w:color w:val="404040"/>
          <w:sz w:val="24"/>
          <w:szCs w:val="24"/>
        </w:rPr>
      </w:pPr>
      <w:r>
        <w:rPr>
          <w:rFonts w:hint="eastAsia" w:ascii="微软雅黑" w:hAnsi="微软雅黑" w:cs="微软雅黑"/>
          <w:color w:val="404040"/>
          <w:sz w:val="24"/>
          <w:szCs w:val="24"/>
        </w:rPr>
        <w:t>本声明不涉及与证券招标以及承担iftc.io 经营性和iftc.io 的相关风险 不涉及任何在司法管制内的受管制产品，本文件是项目阐述的概念性文件。</w:t>
      </w:r>
    </w:p>
    <w:p>
      <w:pPr>
        <w:rPr>
          <w:rFonts w:ascii="微软雅黑" w:hAnsi="微软雅黑" w:cs="微软雅黑"/>
          <w:color w:val="404040"/>
          <w:sz w:val="24"/>
          <w:szCs w:val="24"/>
        </w:rPr>
      </w:pPr>
      <w:r>
        <w:rPr>
          <w:rFonts w:hint="eastAsia" w:ascii="微软雅黑" w:hAnsi="微软雅黑" w:cs="微软雅黑"/>
          <w:color w:val="404040"/>
          <w:sz w:val="24"/>
          <w:szCs w:val="24"/>
        </w:rPr>
        <w:t>【白皮书】并非出售或者征集招标与 iftc.io 产品及其相关公司的股份、证 券或其 他受管制产品。根据本文件不能作为招股说明书或其他任何形式的标 准化合约文件，也并不是构成任何司法管辖区内的证券或其他任何受管制产 品的劝告或征集的投资建议。本文件不能成为任何销售、订阅或邀请其他人 去购买和订阅任何证券,以及基于此基础上形式的联系、合约或承诺。本白皮 书并没有经过任何国家或地区的司法监管机构审查。</w:t>
      </w:r>
    </w:p>
    <w:p>
      <w:pPr>
        <w:rPr>
          <w:rFonts w:ascii="微软雅黑" w:hAnsi="微软雅黑" w:cs="微软雅黑"/>
          <w:color w:val="404040"/>
          <w:sz w:val="24"/>
          <w:szCs w:val="24"/>
        </w:rPr>
      </w:pPr>
    </w:p>
    <w:p>
      <w:pPr>
        <w:rPr>
          <w:rFonts w:ascii="微软雅黑" w:hAnsi="微软雅黑" w:cs="微软雅黑"/>
          <w:color w:val="404040"/>
          <w:sz w:val="24"/>
          <w:szCs w:val="24"/>
        </w:rPr>
      </w:pPr>
      <w:r>
        <w:rPr>
          <w:rFonts w:hint="eastAsia" w:ascii="微软雅黑" w:hAnsi="微软雅黑" w:cs="微软雅黑"/>
          <w:color w:val="404040"/>
          <w:sz w:val="24"/>
          <w:szCs w:val="24"/>
        </w:rPr>
        <w:t>不作为参与投资的建议:在本文件中所呈现的任何信息或者分析，都不构成 任何参与代币投资决定的建议，并且不会做出任何具有倾向性的具体推荐。 您必须听取一切有必要的专业建议，比如税务和会计梳理相关事务。</w:t>
      </w:r>
    </w:p>
    <w:p>
      <w:pPr>
        <w:rPr>
          <w:rFonts w:ascii="微软雅黑" w:hAnsi="微软雅黑" w:cs="微软雅黑"/>
          <w:color w:val="404040"/>
          <w:sz w:val="24"/>
          <w:szCs w:val="24"/>
        </w:rPr>
      </w:pPr>
      <w:r>
        <w:rPr>
          <w:rFonts w:hint="eastAsia" w:ascii="微软雅黑" w:hAnsi="微软雅黑" w:cs="微软雅黑"/>
          <w:color w:val="404040"/>
          <w:sz w:val="24"/>
          <w:szCs w:val="24"/>
        </w:rPr>
        <w:t>不能构成任何声明和保证:本文件用于说明我们所提出的 iftc.io 平台，但是 iftc.io 基金会明确表示：</w:t>
      </w:r>
    </w:p>
    <w:p>
      <w:pPr>
        <w:rPr>
          <w:rFonts w:ascii="微软雅黑" w:hAnsi="微软雅黑" w:cs="微软雅黑"/>
          <w:color w:val="404040"/>
          <w:sz w:val="24"/>
          <w:szCs w:val="24"/>
        </w:rPr>
      </w:pPr>
      <w:r>
        <w:rPr>
          <w:rFonts w:hint="eastAsia" w:ascii="微软雅黑" w:hAnsi="微软雅黑" w:cs="微软雅黑"/>
          <w:color w:val="404040"/>
          <w:sz w:val="24"/>
          <w:szCs w:val="24"/>
        </w:rPr>
        <w:t>（1）对于本文件中描述的任何内容的准确性或完整性，或者以其他方式发布的 与项目相关的内容，不给予任何声明和保证;</w:t>
      </w:r>
    </w:p>
    <w:p>
      <w:pPr>
        <w:rPr>
          <w:rFonts w:ascii="微软雅黑" w:hAnsi="微软雅黑" w:cs="微软雅黑"/>
          <w:color w:val="404040"/>
          <w:sz w:val="24"/>
          <w:szCs w:val="24"/>
        </w:rPr>
      </w:pPr>
      <w:r>
        <w:rPr>
          <w:rFonts w:hint="eastAsia" w:ascii="微软雅黑" w:hAnsi="微软雅黑" w:cs="微软雅黑"/>
          <w:color w:val="404040"/>
          <w:sz w:val="24"/>
          <w:szCs w:val="24"/>
        </w:rPr>
        <w:t>（2） 在没有前提条件的情况下，不能对任何具有前瞻性、概念性陈述的成就 或合理性内容给予任何声明和保证;</w:t>
      </w:r>
    </w:p>
    <w:p>
      <w:pPr>
        <w:numPr>
          <w:ilvl w:val="0"/>
          <w:numId w:val="1"/>
        </w:numPr>
        <w:rPr>
          <w:rFonts w:ascii="微软雅黑" w:hAnsi="微软雅黑" w:cs="微软雅黑"/>
          <w:color w:val="404040"/>
          <w:sz w:val="24"/>
          <w:szCs w:val="24"/>
        </w:rPr>
      </w:pPr>
      <w:r>
        <w:rPr>
          <w:rFonts w:hint="eastAsia" w:ascii="微软雅黑" w:hAnsi="微软雅黑" w:cs="微软雅黑"/>
          <w:color w:val="404040"/>
          <w:sz w:val="24"/>
          <w:szCs w:val="24"/>
        </w:rPr>
        <w:t>本文件中的任何内容，不作为任何对未来的承诺或陈述的依据;</w:t>
      </w:r>
    </w:p>
    <w:p>
      <w:pPr>
        <w:rPr>
          <w:rFonts w:ascii="微软雅黑" w:hAnsi="微软雅黑" w:cs="微软雅黑"/>
          <w:color w:val="404040"/>
          <w:sz w:val="24"/>
          <w:szCs w:val="24"/>
        </w:rPr>
      </w:pPr>
      <w:r>
        <w:rPr>
          <w:rFonts w:hint="eastAsia" w:ascii="微软雅黑" w:hAnsi="微软雅黑" w:cs="微软雅黑"/>
          <w:color w:val="404040"/>
          <w:sz w:val="24"/>
          <w:szCs w:val="24"/>
        </w:rPr>
        <w:t xml:space="preserve">（4）不承担任何因白皮书的相关人员或其他方面造成的任何损失; </w:t>
      </w:r>
    </w:p>
    <w:p>
      <w:pPr>
        <w:rPr>
          <w:rFonts w:ascii="微软雅黑" w:hAnsi="微软雅黑" w:cs="微软雅黑"/>
          <w:color w:val="404040"/>
          <w:sz w:val="24"/>
          <w:szCs w:val="24"/>
        </w:rPr>
      </w:pPr>
      <w:r>
        <w:rPr>
          <w:rFonts w:hint="eastAsia" w:ascii="微软雅黑" w:hAnsi="微软雅黑" w:cs="微软雅黑"/>
          <w:color w:val="404040"/>
          <w:sz w:val="24"/>
          <w:szCs w:val="24"/>
        </w:rPr>
        <w:t>（5）在无法免除的法律责任范围内，仅限于所适用法律所允许的最大限度。</w:t>
      </w:r>
    </w:p>
    <w:p>
      <w:pPr>
        <w:rPr>
          <w:rFonts w:ascii="微软雅黑" w:hAnsi="微软雅黑" w:cs="微软雅黑"/>
          <w:color w:val="404040"/>
          <w:sz w:val="24"/>
          <w:szCs w:val="24"/>
        </w:rPr>
      </w:pPr>
      <w:r>
        <w:rPr>
          <w:rFonts w:hint="eastAsia" w:ascii="微软雅黑" w:hAnsi="微软雅黑" w:cs="微软雅黑"/>
          <w:color w:val="404040"/>
          <w:sz w:val="24"/>
          <w:szCs w:val="24"/>
        </w:rPr>
        <w:t>不是任何人都可以参与项目:iftc.io 的网络系统和平台并不是任何人都可以参与，参与者可能需要完成一系列的步骤，其中包括提供表明身份的信息和文件。</w:t>
      </w:r>
    </w:p>
    <w:p>
      <w:pPr>
        <w:rPr>
          <w:rFonts w:ascii="微软雅黑" w:hAnsi="微软雅黑" w:cs="微软雅黑"/>
          <w:color w:val="404040"/>
          <w:sz w:val="24"/>
          <w:szCs w:val="24"/>
        </w:rPr>
      </w:pPr>
      <w:r>
        <w:rPr>
          <w:rFonts w:hint="eastAsia" w:ascii="微软雅黑" w:hAnsi="微软雅黑" w:cs="微软雅黑"/>
          <w:color w:val="404040"/>
          <w:sz w:val="24"/>
          <w:szCs w:val="24"/>
        </w:rPr>
        <w:t>非授权公司与该项目无关:除了 iftc.io 基金会，使用其他任何公司或者机构的名称商标，并不说明任何一方与之有关联或认可，仅供说明相关内容之 用。</w:t>
      </w:r>
    </w:p>
    <w:p>
      <w:pPr>
        <w:rPr>
          <w:rFonts w:ascii="微软雅黑" w:hAnsi="微软雅黑" w:cs="微软雅黑"/>
          <w:color w:val="404040"/>
          <w:sz w:val="24"/>
          <w:szCs w:val="24"/>
        </w:rPr>
      </w:pPr>
      <w:r>
        <w:rPr>
          <w:rFonts w:hint="eastAsia" w:ascii="微软雅黑" w:hAnsi="微软雅黑" w:cs="微软雅黑"/>
          <w:color w:val="404040"/>
          <w:sz w:val="24"/>
          <w:szCs w:val="24"/>
        </w:rPr>
        <w:t>与 iftc.io Token 相关的注意事项: “Internet FinTech Coin”是区块链网络的虚拟密码学代币。</w:t>
      </w:r>
    </w:p>
    <w:p>
      <w:pPr>
        <w:rPr>
          <w:rFonts w:ascii="微软雅黑" w:hAnsi="微软雅黑" w:cs="微软雅黑"/>
          <w:color w:val="404040"/>
          <w:sz w:val="24"/>
          <w:szCs w:val="24"/>
        </w:rPr>
      </w:pPr>
      <w:r>
        <w:rPr>
          <w:rFonts w:hint="eastAsia" w:ascii="微软雅黑" w:hAnsi="微软雅黑" w:cs="微软雅黑"/>
          <w:color w:val="404040"/>
          <w:sz w:val="24"/>
          <w:szCs w:val="24"/>
        </w:rPr>
        <w:t>Internet FinTech Coin不是投资品:没有任何人能够保证,也没有任何理由相信，你所持 有的Internet FinTech Coin 将会有一定升值，甚至有可能存在贬值的风险。</w:t>
      </w:r>
    </w:p>
    <w:p>
      <w:pPr>
        <w:rPr>
          <w:rFonts w:ascii="微软雅黑" w:hAnsi="微软雅黑" w:cs="微软雅黑"/>
          <w:color w:val="404040"/>
          <w:sz w:val="24"/>
          <w:szCs w:val="24"/>
        </w:rPr>
      </w:pPr>
      <w:r>
        <w:rPr>
          <w:rFonts w:hint="eastAsia" w:ascii="微软雅黑" w:hAnsi="微软雅黑" w:cs="微软雅黑"/>
          <w:color w:val="404040"/>
          <w:sz w:val="24"/>
          <w:szCs w:val="24"/>
        </w:rPr>
        <w:t>Internet FinTech Coin不是所有权证明或具有控制权:持有 iftc.io 并不是授予持有 者所有权以及 iftc.io 网络系统的股权，也并不是授予其直接控制或者替 iftc.io网络系统做任何决策的权利。</w:t>
      </w:r>
    </w:p>
    <w:p>
      <w:pPr>
        <w:ind w:firstLine="353"/>
        <w:rPr>
          <w:rFonts w:ascii="微软雅黑" w:hAnsi="微软雅黑" w:cs="微软雅黑"/>
          <w:color w:val="404040"/>
          <w:sz w:val="24"/>
          <w:szCs w:val="24"/>
        </w:rPr>
      </w:pPr>
    </w:p>
    <w:p>
      <w:pPr>
        <w:pStyle w:val="2"/>
        <w:rPr>
          <w:rFonts w:ascii="微软雅黑" w:hAnsi="微软雅黑" w:cs="微软雅黑"/>
          <w:b w:val="0"/>
          <w:bCs w:val="0"/>
          <w:color w:val="404040"/>
          <w:kern w:val="0"/>
          <w:szCs w:val="24"/>
        </w:rPr>
      </w:pPr>
      <w:bookmarkStart w:id="120" w:name="_Toc6464"/>
      <w:bookmarkStart w:id="121" w:name="_Toc32323"/>
      <w:bookmarkStart w:id="122" w:name="_Toc516005313"/>
      <w:bookmarkStart w:id="123" w:name="_Toc17678"/>
      <w:bookmarkStart w:id="124" w:name="_Toc10484_WPSOffice_Level1"/>
      <w:bookmarkStart w:id="125" w:name="_Toc31090_WPSOffice_Level1"/>
      <w:r>
        <w:rPr>
          <w:rFonts w:hint="eastAsia" w:ascii="微软雅黑" w:hAnsi="微软雅黑" w:cs="微软雅黑"/>
          <w:b w:val="0"/>
          <w:bCs w:val="0"/>
          <w:color w:val="404040"/>
          <w:kern w:val="0"/>
          <w:szCs w:val="24"/>
        </w:rPr>
        <w:t>九、联系我们</w:t>
      </w:r>
      <w:bookmarkEnd w:id="116"/>
      <w:bookmarkEnd w:id="120"/>
      <w:bookmarkEnd w:id="121"/>
      <w:bookmarkEnd w:id="122"/>
      <w:bookmarkEnd w:id="123"/>
      <w:bookmarkEnd w:id="124"/>
      <w:bookmarkEnd w:id="125"/>
    </w:p>
    <w:p>
      <w:r>
        <w:rPr>
          <w:rFonts w:hint="eastAsia"/>
        </w:rPr>
        <w:t>网站：IFTC.IO</w:t>
      </w:r>
    </w:p>
    <w:p>
      <w:pPr>
        <w:rPr>
          <w:rFonts w:ascii="微软雅黑" w:hAnsi="微软雅黑" w:cs="微软雅黑"/>
          <w:color w:val="404040"/>
          <w:sz w:val="24"/>
          <w:szCs w:val="24"/>
        </w:rPr>
      </w:pPr>
      <w:r>
        <w:rPr>
          <w:rFonts w:hint="eastAsia" w:ascii="微软雅黑" w:hAnsi="微软雅黑" w:cs="微软雅黑"/>
          <w:color w:val="404040"/>
          <w:sz w:val="24"/>
          <w:szCs w:val="24"/>
        </w:rPr>
        <w:t>email：</w:t>
      </w:r>
      <w:r>
        <w:rPr>
          <w:rStyle w:val="16"/>
          <w:rFonts w:ascii="微软雅黑" w:hAnsi="微软雅黑" w:cs="微软雅黑"/>
          <w:sz w:val="24"/>
          <w:szCs w:val="24"/>
        </w:rPr>
        <w:fldChar w:fldCharType="begin"/>
      </w:r>
      <w:r>
        <w:rPr>
          <w:rStyle w:val="16"/>
          <w:rFonts w:ascii="微软雅黑" w:hAnsi="微软雅黑" w:cs="微软雅黑"/>
          <w:sz w:val="24"/>
          <w:szCs w:val="24"/>
        </w:rPr>
        <w:instrText xml:space="preserve"> HYPERLINK "mailto:ift@udgline.com" </w:instrText>
      </w:r>
      <w:r>
        <w:rPr>
          <w:rStyle w:val="16"/>
          <w:rFonts w:ascii="微软雅黑" w:hAnsi="微软雅黑" w:cs="微软雅黑"/>
          <w:sz w:val="24"/>
          <w:szCs w:val="24"/>
        </w:rPr>
        <w:fldChar w:fldCharType="separate"/>
      </w:r>
      <w:r>
        <w:rPr>
          <w:rStyle w:val="16"/>
          <w:rFonts w:hint="eastAsia" w:ascii="微软雅黑" w:hAnsi="微软雅黑" w:cs="微软雅黑"/>
          <w:sz w:val="24"/>
          <w:szCs w:val="24"/>
        </w:rPr>
        <w:t>ift@udgline.com</w:t>
      </w:r>
      <w:r>
        <w:rPr>
          <w:rStyle w:val="16"/>
          <w:rFonts w:ascii="微软雅黑" w:hAnsi="微软雅黑" w:cs="微软雅黑"/>
          <w:sz w:val="24"/>
          <w:szCs w:val="24"/>
        </w:rPr>
        <w:fldChar w:fldCharType="end"/>
      </w:r>
    </w:p>
    <w:p>
      <w:r>
        <w:rPr>
          <w:rFonts w:hint="eastAsia"/>
        </w:rPr>
        <w:t>Facebook：IFTC.IO / Twitter：IFTC.IO / Github：IFTC.IO / telegram：IFTC.IO/ medium：IFTC.IO/weibo：IFTC.IO</w:t>
      </w: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A0000287" w:usb1="28CF3C52" w:usb2="00000016" w:usb3="00000000" w:csb0="0004001F" w:csb1="00000000"/>
  </w:font>
  <w:font w:name="思源黑体 CN Light">
    <w:altName w:val="黑体"/>
    <w:panose1 w:val="020B0604020202020204"/>
    <w:charset w:val="86"/>
    <w:family w:val="swiss"/>
    <w:pitch w:val="default"/>
    <w:sig w:usb0="00000000" w:usb1="00000000" w:usb2="00000016" w:usb3="00000000" w:csb0="00060107" w:csb1="00000000"/>
  </w:font>
  <w:font w:name="DengXian Light">
    <w:altName w:val="宋体"/>
    <w:panose1 w:val="02010600030101010101"/>
    <w:charset w:val="86"/>
    <w:family w:val="auto"/>
    <w:pitch w:val="default"/>
    <w:sig w:usb0="00000000" w:usb1="00000000" w:usb2="00000016" w:usb3="00000000" w:csb0="0004000F" w:csb1="00000000"/>
  </w:font>
  <w:font w:name="DengXian">
    <w:altName w:val="宋体"/>
    <w:panose1 w:val="02010600030101010101"/>
    <w:charset w:val="86"/>
    <w:family w:val="auto"/>
    <w:pitch w:val="default"/>
    <w:sig w:usb0="00000000" w:usb1="00000000" w:usb2="00000016" w:usb3="00000000" w:csb0="0004000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Helvetica Neue">
    <w:panose1 w:val="00000000000000000000"/>
    <w:charset w:val="00"/>
    <w:family w:val="auto"/>
    <w:pitch w:val="default"/>
    <w:sig w:usb0="8000002F" w:usb1="40000048" w:usb2="00000000" w:usb3="00000000" w:csb0="20000111" w:csb1="41000000"/>
  </w:font>
  <w:font w:name="Heiti SC">
    <w:altName w:val="微软雅黑"/>
    <w:panose1 w:val="020B0604020202020204"/>
    <w:charset w:val="86"/>
    <w:family w:val="auto"/>
    <w:pitch w:val="default"/>
    <w:sig w:usb0="00000000" w:usb1="00000000" w:usb2="00000010" w:usb3="00000000" w:csb0="003E0000" w:csb1="00000000"/>
  </w:font>
  <w:font w:name="Songti SC">
    <w:altName w:val="微软雅黑"/>
    <w:panose1 w:val="020B0604020202020204"/>
    <w:charset w:val="86"/>
    <w:family w:val="auto"/>
    <w:pitch w:val="default"/>
    <w:sig w:usb0="00000000" w:usb1="00000000" w:usb2="00000010" w:usb3="00000000" w:csb0="0004009F" w:csb1="00000000"/>
  </w:font>
  <w:font w:name="Arial">
    <w:panose1 w:val="020B0604020202020204"/>
    <w:charset w:val="00"/>
    <w:family w:val="swiss"/>
    <w:pitch w:val="default"/>
    <w:sig w:usb0="E0002A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FFFFFF" w:sz="6"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0330D7"/>
    <w:multiLevelType w:val="multilevel"/>
    <w:tmpl w:val="420330D7"/>
    <w:lvl w:ilvl="0" w:tentative="0">
      <w:start w:val="3"/>
      <w:numFmt w:val="decimal"/>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E8"/>
    <w:rsid w:val="0000239A"/>
    <w:rsid w:val="00003B1A"/>
    <w:rsid w:val="00005A3F"/>
    <w:rsid w:val="00005C2D"/>
    <w:rsid w:val="000079DD"/>
    <w:rsid w:val="000124AF"/>
    <w:rsid w:val="0001301A"/>
    <w:rsid w:val="000150B9"/>
    <w:rsid w:val="00017804"/>
    <w:rsid w:val="000205F4"/>
    <w:rsid w:val="00022170"/>
    <w:rsid w:val="00022797"/>
    <w:rsid w:val="00022816"/>
    <w:rsid w:val="00023EBC"/>
    <w:rsid w:val="00025B41"/>
    <w:rsid w:val="000313FA"/>
    <w:rsid w:val="00040AE5"/>
    <w:rsid w:val="00041240"/>
    <w:rsid w:val="000417D6"/>
    <w:rsid w:val="00044591"/>
    <w:rsid w:val="000451B1"/>
    <w:rsid w:val="00045AD3"/>
    <w:rsid w:val="0005050F"/>
    <w:rsid w:val="00054DF0"/>
    <w:rsid w:val="00055E77"/>
    <w:rsid w:val="00057C77"/>
    <w:rsid w:val="00057D4F"/>
    <w:rsid w:val="00061171"/>
    <w:rsid w:val="00062D30"/>
    <w:rsid w:val="00064C30"/>
    <w:rsid w:val="00066791"/>
    <w:rsid w:val="00070D28"/>
    <w:rsid w:val="00072BA6"/>
    <w:rsid w:val="00075FA4"/>
    <w:rsid w:val="00076C21"/>
    <w:rsid w:val="000813BA"/>
    <w:rsid w:val="00083366"/>
    <w:rsid w:val="00083B83"/>
    <w:rsid w:val="00085320"/>
    <w:rsid w:val="00085FAB"/>
    <w:rsid w:val="0009163A"/>
    <w:rsid w:val="00091DAA"/>
    <w:rsid w:val="000943B2"/>
    <w:rsid w:val="00095B14"/>
    <w:rsid w:val="000A0D0B"/>
    <w:rsid w:val="000A0FC1"/>
    <w:rsid w:val="000A3374"/>
    <w:rsid w:val="000A56DD"/>
    <w:rsid w:val="000A6BE3"/>
    <w:rsid w:val="000B2047"/>
    <w:rsid w:val="000B21BB"/>
    <w:rsid w:val="000B3407"/>
    <w:rsid w:val="000B601A"/>
    <w:rsid w:val="000B731C"/>
    <w:rsid w:val="000C0A25"/>
    <w:rsid w:val="000C0BAF"/>
    <w:rsid w:val="000C6B57"/>
    <w:rsid w:val="000D237A"/>
    <w:rsid w:val="000D681E"/>
    <w:rsid w:val="000E1309"/>
    <w:rsid w:val="000F08EA"/>
    <w:rsid w:val="000F36B9"/>
    <w:rsid w:val="00100963"/>
    <w:rsid w:val="00113D06"/>
    <w:rsid w:val="0011441E"/>
    <w:rsid w:val="001202BD"/>
    <w:rsid w:val="00121AE8"/>
    <w:rsid w:val="00121F5E"/>
    <w:rsid w:val="001231F7"/>
    <w:rsid w:val="001255FB"/>
    <w:rsid w:val="00127446"/>
    <w:rsid w:val="0013453A"/>
    <w:rsid w:val="00135B32"/>
    <w:rsid w:val="0014070B"/>
    <w:rsid w:val="0014394E"/>
    <w:rsid w:val="00143DF7"/>
    <w:rsid w:val="00150763"/>
    <w:rsid w:val="00150C01"/>
    <w:rsid w:val="0015254B"/>
    <w:rsid w:val="00154277"/>
    <w:rsid w:val="001567B7"/>
    <w:rsid w:val="00161C7F"/>
    <w:rsid w:val="00162705"/>
    <w:rsid w:val="001632CD"/>
    <w:rsid w:val="00165ED8"/>
    <w:rsid w:val="0017297E"/>
    <w:rsid w:val="00172F3B"/>
    <w:rsid w:val="00173DA1"/>
    <w:rsid w:val="0018703B"/>
    <w:rsid w:val="0019273C"/>
    <w:rsid w:val="00195317"/>
    <w:rsid w:val="00195443"/>
    <w:rsid w:val="001A02E2"/>
    <w:rsid w:val="001A0E14"/>
    <w:rsid w:val="001A2F30"/>
    <w:rsid w:val="001A38F1"/>
    <w:rsid w:val="001A46C0"/>
    <w:rsid w:val="001A5B06"/>
    <w:rsid w:val="001B1309"/>
    <w:rsid w:val="001B7500"/>
    <w:rsid w:val="001B778F"/>
    <w:rsid w:val="001C027D"/>
    <w:rsid w:val="001D06D7"/>
    <w:rsid w:val="001D31C6"/>
    <w:rsid w:val="001D4DE4"/>
    <w:rsid w:val="001D5C9E"/>
    <w:rsid w:val="001E1695"/>
    <w:rsid w:val="001F08CA"/>
    <w:rsid w:val="001F146B"/>
    <w:rsid w:val="001F32DA"/>
    <w:rsid w:val="001F45FC"/>
    <w:rsid w:val="001F4D41"/>
    <w:rsid w:val="001F748B"/>
    <w:rsid w:val="00210C71"/>
    <w:rsid w:val="0021293C"/>
    <w:rsid w:val="00215443"/>
    <w:rsid w:val="002154FA"/>
    <w:rsid w:val="002170C4"/>
    <w:rsid w:val="00217D30"/>
    <w:rsid w:val="002206AC"/>
    <w:rsid w:val="00230689"/>
    <w:rsid w:val="00231E0D"/>
    <w:rsid w:val="0023220F"/>
    <w:rsid w:val="00235B26"/>
    <w:rsid w:val="0023648B"/>
    <w:rsid w:val="002426D8"/>
    <w:rsid w:val="00243EBE"/>
    <w:rsid w:val="0024471D"/>
    <w:rsid w:val="00244DB4"/>
    <w:rsid w:val="00244DEE"/>
    <w:rsid w:val="00245DC2"/>
    <w:rsid w:val="002468B1"/>
    <w:rsid w:val="00250FBE"/>
    <w:rsid w:val="00252155"/>
    <w:rsid w:val="0026135A"/>
    <w:rsid w:val="00264DFF"/>
    <w:rsid w:val="002665FB"/>
    <w:rsid w:val="00267192"/>
    <w:rsid w:val="00270256"/>
    <w:rsid w:val="00273CE9"/>
    <w:rsid w:val="00274684"/>
    <w:rsid w:val="00277C2B"/>
    <w:rsid w:val="00280F02"/>
    <w:rsid w:val="00287BC1"/>
    <w:rsid w:val="00292B21"/>
    <w:rsid w:val="002969EC"/>
    <w:rsid w:val="002976F0"/>
    <w:rsid w:val="002A3177"/>
    <w:rsid w:val="002A3840"/>
    <w:rsid w:val="002A4BA5"/>
    <w:rsid w:val="002A57FA"/>
    <w:rsid w:val="002A6A45"/>
    <w:rsid w:val="002B19E3"/>
    <w:rsid w:val="002B3541"/>
    <w:rsid w:val="002B4E48"/>
    <w:rsid w:val="002B50BB"/>
    <w:rsid w:val="002B7973"/>
    <w:rsid w:val="002C02C1"/>
    <w:rsid w:val="002D01E2"/>
    <w:rsid w:val="002D1A22"/>
    <w:rsid w:val="002D3809"/>
    <w:rsid w:val="002D6EB2"/>
    <w:rsid w:val="002D71E9"/>
    <w:rsid w:val="002E0E19"/>
    <w:rsid w:val="002E21B4"/>
    <w:rsid w:val="002E318F"/>
    <w:rsid w:val="002E3349"/>
    <w:rsid w:val="002E4F5A"/>
    <w:rsid w:val="002E5C1D"/>
    <w:rsid w:val="002E60E6"/>
    <w:rsid w:val="002E6A70"/>
    <w:rsid w:val="002E6FBF"/>
    <w:rsid w:val="002E796D"/>
    <w:rsid w:val="002F09A6"/>
    <w:rsid w:val="002F163E"/>
    <w:rsid w:val="002F71C2"/>
    <w:rsid w:val="00300A92"/>
    <w:rsid w:val="0030343A"/>
    <w:rsid w:val="00303B1A"/>
    <w:rsid w:val="0030440E"/>
    <w:rsid w:val="003101A3"/>
    <w:rsid w:val="003118B9"/>
    <w:rsid w:val="0032103F"/>
    <w:rsid w:val="0032124C"/>
    <w:rsid w:val="00321B7D"/>
    <w:rsid w:val="00323106"/>
    <w:rsid w:val="003301D2"/>
    <w:rsid w:val="00331744"/>
    <w:rsid w:val="00340746"/>
    <w:rsid w:val="00342B0C"/>
    <w:rsid w:val="00342BC5"/>
    <w:rsid w:val="00342CAD"/>
    <w:rsid w:val="00343375"/>
    <w:rsid w:val="00344AC8"/>
    <w:rsid w:val="00345A1A"/>
    <w:rsid w:val="003462B9"/>
    <w:rsid w:val="003532F6"/>
    <w:rsid w:val="00353E5B"/>
    <w:rsid w:val="00353FFA"/>
    <w:rsid w:val="0035413C"/>
    <w:rsid w:val="0035644C"/>
    <w:rsid w:val="00357588"/>
    <w:rsid w:val="00360468"/>
    <w:rsid w:val="003615CF"/>
    <w:rsid w:val="00361797"/>
    <w:rsid w:val="00363ADD"/>
    <w:rsid w:val="00365743"/>
    <w:rsid w:val="0036777E"/>
    <w:rsid w:val="00373AE6"/>
    <w:rsid w:val="00374D24"/>
    <w:rsid w:val="00377312"/>
    <w:rsid w:val="0038010F"/>
    <w:rsid w:val="00380149"/>
    <w:rsid w:val="00386DC6"/>
    <w:rsid w:val="00390E1E"/>
    <w:rsid w:val="00390F33"/>
    <w:rsid w:val="00391F46"/>
    <w:rsid w:val="00394E7D"/>
    <w:rsid w:val="00396B32"/>
    <w:rsid w:val="003A1020"/>
    <w:rsid w:val="003A2907"/>
    <w:rsid w:val="003A30DD"/>
    <w:rsid w:val="003A4AAD"/>
    <w:rsid w:val="003A52A8"/>
    <w:rsid w:val="003A7827"/>
    <w:rsid w:val="003B0245"/>
    <w:rsid w:val="003B1438"/>
    <w:rsid w:val="003B24B3"/>
    <w:rsid w:val="003B344F"/>
    <w:rsid w:val="003C301F"/>
    <w:rsid w:val="003C48E4"/>
    <w:rsid w:val="003C6099"/>
    <w:rsid w:val="003D38C7"/>
    <w:rsid w:val="003D54A4"/>
    <w:rsid w:val="003D6447"/>
    <w:rsid w:val="003D6AE3"/>
    <w:rsid w:val="003D7568"/>
    <w:rsid w:val="003E063A"/>
    <w:rsid w:val="003E3ABC"/>
    <w:rsid w:val="003E4D35"/>
    <w:rsid w:val="003E6B61"/>
    <w:rsid w:val="003F08AC"/>
    <w:rsid w:val="003F118B"/>
    <w:rsid w:val="003F2E88"/>
    <w:rsid w:val="003F57DA"/>
    <w:rsid w:val="003F6112"/>
    <w:rsid w:val="003F65ED"/>
    <w:rsid w:val="00406203"/>
    <w:rsid w:val="00406C25"/>
    <w:rsid w:val="004114FE"/>
    <w:rsid w:val="00411C0F"/>
    <w:rsid w:val="004131BF"/>
    <w:rsid w:val="00413299"/>
    <w:rsid w:val="00414ABA"/>
    <w:rsid w:val="00415985"/>
    <w:rsid w:val="00417E5F"/>
    <w:rsid w:val="00422E2F"/>
    <w:rsid w:val="0042339C"/>
    <w:rsid w:val="004266D0"/>
    <w:rsid w:val="00436C1E"/>
    <w:rsid w:val="00436D82"/>
    <w:rsid w:val="004373FE"/>
    <w:rsid w:val="00437B8D"/>
    <w:rsid w:val="00441B7C"/>
    <w:rsid w:val="00442863"/>
    <w:rsid w:val="00443430"/>
    <w:rsid w:val="004467EB"/>
    <w:rsid w:val="00452265"/>
    <w:rsid w:val="00453708"/>
    <w:rsid w:val="00454C39"/>
    <w:rsid w:val="00456C21"/>
    <w:rsid w:val="00460DF2"/>
    <w:rsid w:val="00462090"/>
    <w:rsid w:val="00467948"/>
    <w:rsid w:val="004717BC"/>
    <w:rsid w:val="00472238"/>
    <w:rsid w:val="004731A7"/>
    <w:rsid w:val="00473436"/>
    <w:rsid w:val="004746F3"/>
    <w:rsid w:val="00475B2C"/>
    <w:rsid w:val="00475BD2"/>
    <w:rsid w:val="00475D32"/>
    <w:rsid w:val="00476CFD"/>
    <w:rsid w:val="0048020B"/>
    <w:rsid w:val="0048104B"/>
    <w:rsid w:val="00481745"/>
    <w:rsid w:val="00481AEE"/>
    <w:rsid w:val="0048794D"/>
    <w:rsid w:val="004A153F"/>
    <w:rsid w:val="004A29AA"/>
    <w:rsid w:val="004A311D"/>
    <w:rsid w:val="004A7EEC"/>
    <w:rsid w:val="004B1D04"/>
    <w:rsid w:val="004B2585"/>
    <w:rsid w:val="004B38D7"/>
    <w:rsid w:val="004B5686"/>
    <w:rsid w:val="004B7BB4"/>
    <w:rsid w:val="004C36E0"/>
    <w:rsid w:val="004C4231"/>
    <w:rsid w:val="004C5E3D"/>
    <w:rsid w:val="004D0DF5"/>
    <w:rsid w:val="004D130A"/>
    <w:rsid w:val="004D31D0"/>
    <w:rsid w:val="004D40E4"/>
    <w:rsid w:val="004D587B"/>
    <w:rsid w:val="004E4ACE"/>
    <w:rsid w:val="004F182F"/>
    <w:rsid w:val="00511282"/>
    <w:rsid w:val="00514507"/>
    <w:rsid w:val="0051508F"/>
    <w:rsid w:val="00515CB7"/>
    <w:rsid w:val="00515D61"/>
    <w:rsid w:val="005169EB"/>
    <w:rsid w:val="005179F9"/>
    <w:rsid w:val="005200C5"/>
    <w:rsid w:val="005205A3"/>
    <w:rsid w:val="00520B58"/>
    <w:rsid w:val="005221FD"/>
    <w:rsid w:val="005225A3"/>
    <w:rsid w:val="00522925"/>
    <w:rsid w:val="00525751"/>
    <w:rsid w:val="00525EDD"/>
    <w:rsid w:val="005275A3"/>
    <w:rsid w:val="0052766D"/>
    <w:rsid w:val="0053475C"/>
    <w:rsid w:val="00536A1D"/>
    <w:rsid w:val="005374CA"/>
    <w:rsid w:val="00543702"/>
    <w:rsid w:val="00545EA8"/>
    <w:rsid w:val="00546978"/>
    <w:rsid w:val="00551022"/>
    <w:rsid w:val="00554E76"/>
    <w:rsid w:val="0055588A"/>
    <w:rsid w:val="0056311B"/>
    <w:rsid w:val="0056335D"/>
    <w:rsid w:val="0056588E"/>
    <w:rsid w:val="00565BB3"/>
    <w:rsid w:val="00566510"/>
    <w:rsid w:val="00566FD0"/>
    <w:rsid w:val="0057040C"/>
    <w:rsid w:val="005720E5"/>
    <w:rsid w:val="0057334D"/>
    <w:rsid w:val="00573FF0"/>
    <w:rsid w:val="00574C4C"/>
    <w:rsid w:val="00581AF8"/>
    <w:rsid w:val="00584B7B"/>
    <w:rsid w:val="00584D57"/>
    <w:rsid w:val="00587590"/>
    <w:rsid w:val="005910D7"/>
    <w:rsid w:val="005924BC"/>
    <w:rsid w:val="00593C66"/>
    <w:rsid w:val="00595DD5"/>
    <w:rsid w:val="00596ED0"/>
    <w:rsid w:val="005A101C"/>
    <w:rsid w:val="005A1A84"/>
    <w:rsid w:val="005A6448"/>
    <w:rsid w:val="005A6ED0"/>
    <w:rsid w:val="005B4D96"/>
    <w:rsid w:val="005C04A7"/>
    <w:rsid w:val="005C34E8"/>
    <w:rsid w:val="005D1FDF"/>
    <w:rsid w:val="005D2B30"/>
    <w:rsid w:val="005D7C3C"/>
    <w:rsid w:val="005E2921"/>
    <w:rsid w:val="005E2DD2"/>
    <w:rsid w:val="005E5706"/>
    <w:rsid w:val="005E6588"/>
    <w:rsid w:val="005E6E43"/>
    <w:rsid w:val="005F1022"/>
    <w:rsid w:val="005F3697"/>
    <w:rsid w:val="005F6607"/>
    <w:rsid w:val="0060038B"/>
    <w:rsid w:val="006044B1"/>
    <w:rsid w:val="006054A9"/>
    <w:rsid w:val="00607D8F"/>
    <w:rsid w:val="006109BB"/>
    <w:rsid w:val="00621C3B"/>
    <w:rsid w:val="00622A1C"/>
    <w:rsid w:val="00626A8F"/>
    <w:rsid w:val="006305E6"/>
    <w:rsid w:val="00631FBB"/>
    <w:rsid w:val="0064347A"/>
    <w:rsid w:val="00645E32"/>
    <w:rsid w:val="0064609F"/>
    <w:rsid w:val="006529BB"/>
    <w:rsid w:val="006530AC"/>
    <w:rsid w:val="00660027"/>
    <w:rsid w:val="0066552F"/>
    <w:rsid w:val="00666D20"/>
    <w:rsid w:val="00674042"/>
    <w:rsid w:val="0067745E"/>
    <w:rsid w:val="00677DFD"/>
    <w:rsid w:val="00683C87"/>
    <w:rsid w:val="006863F6"/>
    <w:rsid w:val="00691A9E"/>
    <w:rsid w:val="00692F9B"/>
    <w:rsid w:val="00693EF3"/>
    <w:rsid w:val="00694237"/>
    <w:rsid w:val="006965F8"/>
    <w:rsid w:val="006966A6"/>
    <w:rsid w:val="006A0361"/>
    <w:rsid w:val="006A4F1A"/>
    <w:rsid w:val="006A559A"/>
    <w:rsid w:val="006A7CF2"/>
    <w:rsid w:val="006B32BB"/>
    <w:rsid w:val="006B3DFA"/>
    <w:rsid w:val="006C111E"/>
    <w:rsid w:val="006C1B77"/>
    <w:rsid w:val="006C1F00"/>
    <w:rsid w:val="006C2056"/>
    <w:rsid w:val="006C26A2"/>
    <w:rsid w:val="006C2FE8"/>
    <w:rsid w:val="006C3777"/>
    <w:rsid w:val="006C4CE4"/>
    <w:rsid w:val="006C63C5"/>
    <w:rsid w:val="006D0950"/>
    <w:rsid w:val="006D15C2"/>
    <w:rsid w:val="006D2A9D"/>
    <w:rsid w:val="006D2CFF"/>
    <w:rsid w:val="006E354C"/>
    <w:rsid w:val="006F1357"/>
    <w:rsid w:val="006F27A5"/>
    <w:rsid w:val="006F2C72"/>
    <w:rsid w:val="006F4132"/>
    <w:rsid w:val="006F6A9B"/>
    <w:rsid w:val="006F6B7C"/>
    <w:rsid w:val="007034B2"/>
    <w:rsid w:val="00704CFB"/>
    <w:rsid w:val="0070521E"/>
    <w:rsid w:val="007066D1"/>
    <w:rsid w:val="0070672D"/>
    <w:rsid w:val="00710AEE"/>
    <w:rsid w:val="00710B72"/>
    <w:rsid w:val="00714080"/>
    <w:rsid w:val="00715915"/>
    <w:rsid w:val="00715E69"/>
    <w:rsid w:val="007162B9"/>
    <w:rsid w:val="007175DC"/>
    <w:rsid w:val="00720C03"/>
    <w:rsid w:val="00722837"/>
    <w:rsid w:val="0072557B"/>
    <w:rsid w:val="00725DF8"/>
    <w:rsid w:val="007342B2"/>
    <w:rsid w:val="007352C3"/>
    <w:rsid w:val="00735A70"/>
    <w:rsid w:val="00735C45"/>
    <w:rsid w:val="007360BE"/>
    <w:rsid w:val="007361BD"/>
    <w:rsid w:val="00737C7B"/>
    <w:rsid w:val="0074458E"/>
    <w:rsid w:val="00745D09"/>
    <w:rsid w:val="00753EDD"/>
    <w:rsid w:val="00754FD5"/>
    <w:rsid w:val="00757F40"/>
    <w:rsid w:val="0076369A"/>
    <w:rsid w:val="007647F6"/>
    <w:rsid w:val="00766AE6"/>
    <w:rsid w:val="0077009C"/>
    <w:rsid w:val="00772C75"/>
    <w:rsid w:val="00775E88"/>
    <w:rsid w:val="00781F4A"/>
    <w:rsid w:val="0078298D"/>
    <w:rsid w:val="00784509"/>
    <w:rsid w:val="0078690B"/>
    <w:rsid w:val="00787AFF"/>
    <w:rsid w:val="0079183E"/>
    <w:rsid w:val="007939BE"/>
    <w:rsid w:val="00793FA7"/>
    <w:rsid w:val="00795324"/>
    <w:rsid w:val="00796C80"/>
    <w:rsid w:val="00797232"/>
    <w:rsid w:val="007A0CF6"/>
    <w:rsid w:val="007A157C"/>
    <w:rsid w:val="007A6C3C"/>
    <w:rsid w:val="007B3E7A"/>
    <w:rsid w:val="007B659F"/>
    <w:rsid w:val="007B7004"/>
    <w:rsid w:val="007C1387"/>
    <w:rsid w:val="007C16B3"/>
    <w:rsid w:val="007C459B"/>
    <w:rsid w:val="007D174C"/>
    <w:rsid w:val="007D18B2"/>
    <w:rsid w:val="007D1C3E"/>
    <w:rsid w:val="007D2002"/>
    <w:rsid w:val="007D7061"/>
    <w:rsid w:val="007E1208"/>
    <w:rsid w:val="007E3CF5"/>
    <w:rsid w:val="007E68A7"/>
    <w:rsid w:val="007E6997"/>
    <w:rsid w:val="007E740D"/>
    <w:rsid w:val="007F210F"/>
    <w:rsid w:val="007F2415"/>
    <w:rsid w:val="007F4FEE"/>
    <w:rsid w:val="00800005"/>
    <w:rsid w:val="00800E4F"/>
    <w:rsid w:val="008013C3"/>
    <w:rsid w:val="00802466"/>
    <w:rsid w:val="0080396D"/>
    <w:rsid w:val="00805A0F"/>
    <w:rsid w:val="008061D4"/>
    <w:rsid w:val="00807ECD"/>
    <w:rsid w:val="00810DA8"/>
    <w:rsid w:val="008134C1"/>
    <w:rsid w:val="00820155"/>
    <w:rsid w:val="008223EF"/>
    <w:rsid w:val="00822AC7"/>
    <w:rsid w:val="0082402E"/>
    <w:rsid w:val="008250AA"/>
    <w:rsid w:val="00825387"/>
    <w:rsid w:val="0082589D"/>
    <w:rsid w:val="008263AC"/>
    <w:rsid w:val="00827624"/>
    <w:rsid w:val="00830A22"/>
    <w:rsid w:val="00833854"/>
    <w:rsid w:val="0083579B"/>
    <w:rsid w:val="00836D94"/>
    <w:rsid w:val="00837816"/>
    <w:rsid w:val="0084004F"/>
    <w:rsid w:val="00841BF5"/>
    <w:rsid w:val="00843697"/>
    <w:rsid w:val="0084450B"/>
    <w:rsid w:val="00844D77"/>
    <w:rsid w:val="008468B1"/>
    <w:rsid w:val="00847379"/>
    <w:rsid w:val="0085236A"/>
    <w:rsid w:val="008544D3"/>
    <w:rsid w:val="0086049E"/>
    <w:rsid w:val="00863400"/>
    <w:rsid w:val="008662D4"/>
    <w:rsid w:val="008664A3"/>
    <w:rsid w:val="00866F6B"/>
    <w:rsid w:val="008724D3"/>
    <w:rsid w:val="00875BF5"/>
    <w:rsid w:val="0088004B"/>
    <w:rsid w:val="008835A5"/>
    <w:rsid w:val="00883985"/>
    <w:rsid w:val="00883B24"/>
    <w:rsid w:val="00884B4D"/>
    <w:rsid w:val="00885A9F"/>
    <w:rsid w:val="008870C7"/>
    <w:rsid w:val="008872C0"/>
    <w:rsid w:val="00887702"/>
    <w:rsid w:val="00893B1C"/>
    <w:rsid w:val="00894E23"/>
    <w:rsid w:val="00895270"/>
    <w:rsid w:val="008952B9"/>
    <w:rsid w:val="00897197"/>
    <w:rsid w:val="008A1FBB"/>
    <w:rsid w:val="008B12D9"/>
    <w:rsid w:val="008B16C0"/>
    <w:rsid w:val="008B2484"/>
    <w:rsid w:val="008B44D6"/>
    <w:rsid w:val="008B7683"/>
    <w:rsid w:val="008B77C2"/>
    <w:rsid w:val="008C1A2D"/>
    <w:rsid w:val="008C25CB"/>
    <w:rsid w:val="008C48D3"/>
    <w:rsid w:val="008D2991"/>
    <w:rsid w:val="008D69A6"/>
    <w:rsid w:val="008E2A47"/>
    <w:rsid w:val="008E3476"/>
    <w:rsid w:val="008E6F52"/>
    <w:rsid w:val="0090372B"/>
    <w:rsid w:val="00903B70"/>
    <w:rsid w:val="009069A6"/>
    <w:rsid w:val="00910E63"/>
    <w:rsid w:val="00912E69"/>
    <w:rsid w:val="00923ABF"/>
    <w:rsid w:val="0092552C"/>
    <w:rsid w:val="00930159"/>
    <w:rsid w:val="0093200F"/>
    <w:rsid w:val="009333E6"/>
    <w:rsid w:val="009378B3"/>
    <w:rsid w:val="00937DCC"/>
    <w:rsid w:val="0094023B"/>
    <w:rsid w:val="0094051B"/>
    <w:rsid w:val="00940E9B"/>
    <w:rsid w:val="00942C5B"/>
    <w:rsid w:val="0094421B"/>
    <w:rsid w:val="00944902"/>
    <w:rsid w:val="00951B85"/>
    <w:rsid w:val="00953061"/>
    <w:rsid w:val="00953923"/>
    <w:rsid w:val="00953CED"/>
    <w:rsid w:val="00957508"/>
    <w:rsid w:val="009619EB"/>
    <w:rsid w:val="00962139"/>
    <w:rsid w:val="0096503D"/>
    <w:rsid w:val="00965D23"/>
    <w:rsid w:val="00973CA0"/>
    <w:rsid w:val="00974024"/>
    <w:rsid w:val="009752B7"/>
    <w:rsid w:val="00977E9B"/>
    <w:rsid w:val="00980733"/>
    <w:rsid w:val="0098481F"/>
    <w:rsid w:val="0098540B"/>
    <w:rsid w:val="00985A63"/>
    <w:rsid w:val="009939C9"/>
    <w:rsid w:val="00996CBC"/>
    <w:rsid w:val="0099794C"/>
    <w:rsid w:val="009A2827"/>
    <w:rsid w:val="009A41A4"/>
    <w:rsid w:val="009A658D"/>
    <w:rsid w:val="009A7A0B"/>
    <w:rsid w:val="009B2E22"/>
    <w:rsid w:val="009B3A59"/>
    <w:rsid w:val="009B3B38"/>
    <w:rsid w:val="009B3D82"/>
    <w:rsid w:val="009B50BD"/>
    <w:rsid w:val="009C0D4B"/>
    <w:rsid w:val="009C1AFC"/>
    <w:rsid w:val="009C28AF"/>
    <w:rsid w:val="009C2B3E"/>
    <w:rsid w:val="009C3462"/>
    <w:rsid w:val="009C4AEC"/>
    <w:rsid w:val="009C64E8"/>
    <w:rsid w:val="009C7473"/>
    <w:rsid w:val="009D2599"/>
    <w:rsid w:val="009D29D6"/>
    <w:rsid w:val="009D5D95"/>
    <w:rsid w:val="009D75C5"/>
    <w:rsid w:val="009E040C"/>
    <w:rsid w:val="009E04B2"/>
    <w:rsid w:val="009E0861"/>
    <w:rsid w:val="009E093C"/>
    <w:rsid w:val="009E18FB"/>
    <w:rsid w:val="009F0098"/>
    <w:rsid w:val="009F076C"/>
    <w:rsid w:val="009F229E"/>
    <w:rsid w:val="009F5D79"/>
    <w:rsid w:val="009F6CB3"/>
    <w:rsid w:val="00A02966"/>
    <w:rsid w:val="00A02F5A"/>
    <w:rsid w:val="00A055EE"/>
    <w:rsid w:val="00A111B4"/>
    <w:rsid w:val="00A12A68"/>
    <w:rsid w:val="00A12E4B"/>
    <w:rsid w:val="00A141F2"/>
    <w:rsid w:val="00A1634F"/>
    <w:rsid w:val="00A23D4D"/>
    <w:rsid w:val="00A26621"/>
    <w:rsid w:val="00A279EF"/>
    <w:rsid w:val="00A302EE"/>
    <w:rsid w:val="00A33017"/>
    <w:rsid w:val="00A34131"/>
    <w:rsid w:val="00A4185D"/>
    <w:rsid w:val="00A41AA1"/>
    <w:rsid w:val="00A45709"/>
    <w:rsid w:val="00A457D0"/>
    <w:rsid w:val="00A45D46"/>
    <w:rsid w:val="00A45DB0"/>
    <w:rsid w:val="00A50E18"/>
    <w:rsid w:val="00A53ACD"/>
    <w:rsid w:val="00A55F2C"/>
    <w:rsid w:val="00A5790C"/>
    <w:rsid w:val="00A57ABD"/>
    <w:rsid w:val="00A612D4"/>
    <w:rsid w:val="00A65AF8"/>
    <w:rsid w:val="00A73E18"/>
    <w:rsid w:val="00A74C78"/>
    <w:rsid w:val="00A82003"/>
    <w:rsid w:val="00A85E8A"/>
    <w:rsid w:val="00A86E64"/>
    <w:rsid w:val="00A87266"/>
    <w:rsid w:val="00A918CE"/>
    <w:rsid w:val="00A923ED"/>
    <w:rsid w:val="00A93AC5"/>
    <w:rsid w:val="00A95E49"/>
    <w:rsid w:val="00A979F6"/>
    <w:rsid w:val="00AA5C52"/>
    <w:rsid w:val="00AB38CD"/>
    <w:rsid w:val="00AB503E"/>
    <w:rsid w:val="00AB5471"/>
    <w:rsid w:val="00AC1E09"/>
    <w:rsid w:val="00AC5B89"/>
    <w:rsid w:val="00AD1B82"/>
    <w:rsid w:val="00AE1BC8"/>
    <w:rsid w:val="00AE63F6"/>
    <w:rsid w:val="00AF43FF"/>
    <w:rsid w:val="00AF457D"/>
    <w:rsid w:val="00AF4652"/>
    <w:rsid w:val="00AF7272"/>
    <w:rsid w:val="00B005FD"/>
    <w:rsid w:val="00B07095"/>
    <w:rsid w:val="00B11450"/>
    <w:rsid w:val="00B11E21"/>
    <w:rsid w:val="00B133EB"/>
    <w:rsid w:val="00B2070A"/>
    <w:rsid w:val="00B20A9E"/>
    <w:rsid w:val="00B20FEF"/>
    <w:rsid w:val="00B24343"/>
    <w:rsid w:val="00B37D8F"/>
    <w:rsid w:val="00B42413"/>
    <w:rsid w:val="00B43427"/>
    <w:rsid w:val="00B43505"/>
    <w:rsid w:val="00B475F7"/>
    <w:rsid w:val="00B50B74"/>
    <w:rsid w:val="00B52524"/>
    <w:rsid w:val="00B53327"/>
    <w:rsid w:val="00B544D4"/>
    <w:rsid w:val="00B570BA"/>
    <w:rsid w:val="00B61263"/>
    <w:rsid w:val="00B624A7"/>
    <w:rsid w:val="00B626C4"/>
    <w:rsid w:val="00B629E0"/>
    <w:rsid w:val="00B62BE2"/>
    <w:rsid w:val="00B64473"/>
    <w:rsid w:val="00B648EC"/>
    <w:rsid w:val="00B6511D"/>
    <w:rsid w:val="00B66CCF"/>
    <w:rsid w:val="00B72F08"/>
    <w:rsid w:val="00B741E6"/>
    <w:rsid w:val="00B773D3"/>
    <w:rsid w:val="00B80D3B"/>
    <w:rsid w:val="00B87968"/>
    <w:rsid w:val="00B9078F"/>
    <w:rsid w:val="00B9127F"/>
    <w:rsid w:val="00B930F0"/>
    <w:rsid w:val="00B9415B"/>
    <w:rsid w:val="00B945F0"/>
    <w:rsid w:val="00B95329"/>
    <w:rsid w:val="00BA07B5"/>
    <w:rsid w:val="00BA2BD8"/>
    <w:rsid w:val="00BA61FD"/>
    <w:rsid w:val="00BA6E5E"/>
    <w:rsid w:val="00BB4575"/>
    <w:rsid w:val="00BB5CC8"/>
    <w:rsid w:val="00BB6930"/>
    <w:rsid w:val="00BC0554"/>
    <w:rsid w:val="00BC4831"/>
    <w:rsid w:val="00BD0513"/>
    <w:rsid w:val="00BD113D"/>
    <w:rsid w:val="00BD423D"/>
    <w:rsid w:val="00BD5AF5"/>
    <w:rsid w:val="00BD6833"/>
    <w:rsid w:val="00BE0D19"/>
    <w:rsid w:val="00BF0223"/>
    <w:rsid w:val="00BF02ED"/>
    <w:rsid w:val="00BF0CCD"/>
    <w:rsid w:val="00BF4F7B"/>
    <w:rsid w:val="00C05715"/>
    <w:rsid w:val="00C0573C"/>
    <w:rsid w:val="00C108FC"/>
    <w:rsid w:val="00C12A44"/>
    <w:rsid w:val="00C20072"/>
    <w:rsid w:val="00C20442"/>
    <w:rsid w:val="00C23370"/>
    <w:rsid w:val="00C24AF6"/>
    <w:rsid w:val="00C25DD2"/>
    <w:rsid w:val="00C277A2"/>
    <w:rsid w:val="00C3337B"/>
    <w:rsid w:val="00C41885"/>
    <w:rsid w:val="00C42C81"/>
    <w:rsid w:val="00C43FB0"/>
    <w:rsid w:val="00C45FFA"/>
    <w:rsid w:val="00C54925"/>
    <w:rsid w:val="00C602A2"/>
    <w:rsid w:val="00C61D4B"/>
    <w:rsid w:val="00C6582C"/>
    <w:rsid w:val="00C80CF6"/>
    <w:rsid w:val="00C84F82"/>
    <w:rsid w:val="00C8523D"/>
    <w:rsid w:val="00C861BA"/>
    <w:rsid w:val="00C87407"/>
    <w:rsid w:val="00C91438"/>
    <w:rsid w:val="00C93500"/>
    <w:rsid w:val="00CA3EBE"/>
    <w:rsid w:val="00CA48CC"/>
    <w:rsid w:val="00CA52EA"/>
    <w:rsid w:val="00CB1021"/>
    <w:rsid w:val="00CC486D"/>
    <w:rsid w:val="00CC634F"/>
    <w:rsid w:val="00CD2411"/>
    <w:rsid w:val="00CD25B7"/>
    <w:rsid w:val="00CD3138"/>
    <w:rsid w:val="00CD4C61"/>
    <w:rsid w:val="00CD5515"/>
    <w:rsid w:val="00CE08D3"/>
    <w:rsid w:val="00CE16B1"/>
    <w:rsid w:val="00CE2989"/>
    <w:rsid w:val="00CF14AC"/>
    <w:rsid w:val="00CF516B"/>
    <w:rsid w:val="00CF61B0"/>
    <w:rsid w:val="00CF7C97"/>
    <w:rsid w:val="00D02FE1"/>
    <w:rsid w:val="00D03E4D"/>
    <w:rsid w:val="00D138B3"/>
    <w:rsid w:val="00D162BB"/>
    <w:rsid w:val="00D17D0D"/>
    <w:rsid w:val="00D2128D"/>
    <w:rsid w:val="00D2138C"/>
    <w:rsid w:val="00D23674"/>
    <w:rsid w:val="00D25077"/>
    <w:rsid w:val="00D274A9"/>
    <w:rsid w:val="00D301BA"/>
    <w:rsid w:val="00D31C34"/>
    <w:rsid w:val="00D32F43"/>
    <w:rsid w:val="00D3608D"/>
    <w:rsid w:val="00D377F8"/>
    <w:rsid w:val="00D45F5C"/>
    <w:rsid w:val="00D5076F"/>
    <w:rsid w:val="00D525BA"/>
    <w:rsid w:val="00D56624"/>
    <w:rsid w:val="00D57E8A"/>
    <w:rsid w:val="00D61305"/>
    <w:rsid w:val="00D61E05"/>
    <w:rsid w:val="00D63B0D"/>
    <w:rsid w:val="00D67A6A"/>
    <w:rsid w:val="00D724DA"/>
    <w:rsid w:val="00D80CD1"/>
    <w:rsid w:val="00D829F0"/>
    <w:rsid w:val="00D842E1"/>
    <w:rsid w:val="00D96A8B"/>
    <w:rsid w:val="00DA0533"/>
    <w:rsid w:val="00DA3501"/>
    <w:rsid w:val="00DA7FAA"/>
    <w:rsid w:val="00DB1FF5"/>
    <w:rsid w:val="00DB5F1D"/>
    <w:rsid w:val="00DB7129"/>
    <w:rsid w:val="00DC1743"/>
    <w:rsid w:val="00DC316A"/>
    <w:rsid w:val="00DD2EB1"/>
    <w:rsid w:val="00DD367B"/>
    <w:rsid w:val="00DD5190"/>
    <w:rsid w:val="00DE0759"/>
    <w:rsid w:val="00DE1F07"/>
    <w:rsid w:val="00DE27D7"/>
    <w:rsid w:val="00DE5BCD"/>
    <w:rsid w:val="00DE7D87"/>
    <w:rsid w:val="00DF0A6F"/>
    <w:rsid w:val="00DF39FA"/>
    <w:rsid w:val="00DF5E03"/>
    <w:rsid w:val="00E0668B"/>
    <w:rsid w:val="00E14485"/>
    <w:rsid w:val="00E17CA1"/>
    <w:rsid w:val="00E23DE6"/>
    <w:rsid w:val="00E24709"/>
    <w:rsid w:val="00E24A7C"/>
    <w:rsid w:val="00E26891"/>
    <w:rsid w:val="00E26A15"/>
    <w:rsid w:val="00E274D0"/>
    <w:rsid w:val="00E307CF"/>
    <w:rsid w:val="00E3202C"/>
    <w:rsid w:val="00E32B66"/>
    <w:rsid w:val="00E33899"/>
    <w:rsid w:val="00E37E64"/>
    <w:rsid w:val="00E442D7"/>
    <w:rsid w:val="00E5039A"/>
    <w:rsid w:val="00E52B31"/>
    <w:rsid w:val="00E57602"/>
    <w:rsid w:val="00E606F0"/>
    <w:rsid w:val="00E6080D"/>
    <w:rsid w:val="00E7403F"/>
    <w:rsid w:val="00E74276"/>
    <w:rsid w:val="00E77DC3"/>
    <w:rsid w:val="00E807F8"/>
    <w:rsid w:val="00E81E67"/>
    <w:rsid w:val="00E8218B"/>
    <w:rsid w:val="00E85C80"/>
    <w:rsid w:val="00E92424"/>
    <w:rsid w:val="00E92FEA"/>
    <w:rsid w:val="00E96B12"/>
    <w:rsid w:val="00EA0938"/>
    <w:rsid w:val="00EA1727"/>
    <w:rsid w:val="00EA3476"/>
    <w:rsid w:val="00EA3D30"/>
    <w:rsid w:val="00EA4AF7"/>
    <w:rsid w:val="00EA59FE"/>
    <w:rsid w:val="00EB1BF6"/>
    <w:rsid w:val="00EB5E27"/>
    <w:rsid w:val="00EB7A15"/>
    <w:rsid w:val="00EB7C1A"/>
    <w:rsid w:val="00EC021E"/>
    <w:rsid w:val="00EC228A"/>
    <w:rsid w:val="00EC2BD3"/>
    <w:rsid w:val="00EC3006"/>
    <w:rsid w:val="00ED02A6"/>
    <w:rsid w:val="00ED1496"/>
    <w:rsid w:val="00ED39CB"/>
    <w:rsid w:val="00EE1162"/>
    <w:rsid w:val="00EE1509"/>
    <w:rsid w:val="00F0040B"/>
    <w:rsid w:val="00F008AA"/>
    <w:rsid w:val="00F01BC6"/>
    <w:rsid w:val="00F01D68"/>
    <w:rsid w:val="00F02544"/>
    <w:rsid w:val="00F0573E"/>
    <w:rsid w:val="00F077D6"/>
    <w:rsid w:val="00F07BA7"/>
    <w:rsid w:val="00F131CB"/>
    <w:rsid w:val="00F14FAD"/>
    <w:rsid w:val="00F16772"/>
    <w:rsid w:val="00F17058"/>
    <w:rsid w:val="00F17235"/>
    <w:rsid w:val="00F21EAD"/>
    <w:rsid w:val="00F23650"/>
    <w:rsid w:val="00F23883"/>
    <w:rsid w:val="00F25183"/>
    <w:rsid w:val="00F262FF"/>
    <w:rsid w:val="00F276F3"/>
    <w:rsid w:val="00F30578"/>
    <w:rsid w:val="00F3423F"/>
    <w:rsid w:val="00F435CF"/>
    <w:rsid w:val="00F47DC4"/>
    <w:rsid w:val="00F51CF0"/>
    <w:rsid w:val="00F51F71"/>
    <w:rsid w:val="00F54E54"/>
    <w:rsid w:val="00F56EB0"/>
    <w:rsid w:val="00F57D97"/>
    <w:rsid w:val="00F63D2E"/>
    <w:rsid w:val="00F64080"/>
    <w:rsid w:val="00F6598C"/>
    <w:rsid w:val="00F70E86"/>
    <w:rsid w:val="00F72A54"/>
    <w:rsid w:val="00F73C16"/>
    <w:rsid w:val="00F747D4"/>
    <w:rsid w:val="00F75B60"/>
    <w:rsid w:val="00F767B1"/>
    <w:rsid w:val="00F77208"/>
    <w:rsid w:val="00F77F2F"/>
    <w:rsid w:val="00F77F6C"/>
    <w:rsid w:val="00F82C26"/>
    <w:rsid w:val="00F8319E"/>
    <w:rsid w:val="00F834C9"/>
    <w:rsid w:val="00F84268"/>
    <w:rsid w:val="00F863A7"/>
    <w:rsid w:val="00F97730"/>
    <w:rsid w:val="00F9797A"/>
    <w:rsid w:val="00FA2AFE"/>
    <w:rsid w:val="00FA4F2E"/>
    <w:rsid w:val="00FB338F"/>
    <w:rsid w:val="00FB3414"/>
    <w:rsid w:val="00FB4730"/>
    <w:rsid w:val="00FB4FC0"/>
    <w:rsid w:val="00FB5281"/>
    <w:rsid w:val="00FC1AF4"/>
    <w:rsid w:val="00FC7CE1"/>
    <w:rsid w:val="00FD56B7"/>
    <w:rsid w:val="00FE0F6D"/>
    <w:rsid w:val="00FE1270"/>
    <w:rsid w:val="00FE3FD6"/>
    <w:rsid w:val="00FE45A0"/>
    <w:rsid w:val="00FE53F2"/>
    <w:rsid w:val="00FE5F5A"/>
    <w:rsid w:val="00FE75E1"/>
    <w:rsid w:val="00FF07AE"/>
    <w:rsid w:val="00FF2F0A"/>
    <w:rsid w:val="00FF3076"/>
    <w:rsid w:val="03877C0F"/>
    <w:rsid w:val="04F0283B"/>
    <w:rsid w:val="05767F72"/>
    <w:rsid w:val="05F13E05"/>
    <w:rsid w:val="06F76067"/>
    <w:rsid w:val="070B656B"/>
    <w:rsid w:val="07810303"/>
    <w:rsid w:val="08EE7A1C"/>
    <w:rsid w:val="09540344"/>
    <w:rsid w:val="0A3B2552"/>
    <w:rsid w:val="0A994C4A"/>
    <w:rsid w:val="0CFC532E"/>
    <w:rsid w:val="0D0834B1"/>
    <w:rsid w:val="10C624FD"/>
    <w:rsid w:val="11CD2BE8"/>
    <w:rsid w:val="132F520D"/>
    <w:rsid w:val="1551780F"/>
    <w:rsid w:val="178D045E"/>
    <w:rsid w:val="17976E31"/>
    <w:rsid w:val="182B6B09"/>
    <w:rsid w:val="193847A9"/>
    <w:rsid w:val="1B6A424C"/>
    <w:rsid w:val="1BA90F0E"/>
    <w:rsid w:val="21A2784D"/>
    <w:rsid w:val="226D483F"/>
    <w:rsid w:val="22791E1B"/>
    <w:rsid w:val="2281118C"/>
    <w:rsid w:val="22E87632"/>
    <w:rsid w:val="23AC1F1F"/>
    <w:rsid w:val="25EE6CC7"/>
    <w:rsid w:val="26846EB3"/>
    <w:rsid w:val="26D231D7"/>
    <w:rsid w:val="29D6034D"/>
    <w:rsid w:val="2B576BA2"/>
    <w:rsid w:val="2DBE6C55"/>
    <w:rsid w:val="2E586257"/>
    <w:rsid w:val="2EFA0DE0"/>
    <w:rsid w:val="31BF30FD"/>
    <w:rsid w:val="323D69FD"/>
    <w:rsid w:val="33243C52"/>
    <w:rsid w:val="37105E3D"/>
    <w:rsid w:val="37D56E5A"/>
    <w:rsid w:val="38DE1631"/>
    <w:rsid w:val="3A41386A"/>
    <w:rsid w:val="3CEB37FF"/>
    <w:rsid w:val="3D0248A7"/>
    <w:rsid w:val="3DE04D39"/>
    <w:rsid w:val="3EDF41EC"/>
    <w:rsid w:val="3EFC7F0C"/>
    <w:rsid w:val="3F9943F1"/>
    <w:rsid w:val="40563813"/>
    <w:rsid w:val="42104A69"/>
    <w:rsid w:val="43AB05D8"/>
    <w:rsid w:val="44AD28B7"/>
    <w:rsid w:val="4597702B"/>
    <w:rsid w:val="46CC30F9"/>
    <w:rsid w:val="46DA5FCA"/>
    <w:rsid w:val="46E22D4F"/>
    <w:rsid w:val="475439FA"/>
    <w:rsid w:val="486B60A5"/>
    <w:rsid w:val="4A8840D4"/>
    <w:rsid w:val="4AF55BFF"/>
    <w:rsid w:val="4B0B72ED"/>
    <w:rsid w:val="4B30051B"/>
    <w:rsid w:val="4BE22216"/>
    <w:rsid w:val="4ED427A1"/>
    <w:rsid w:val="4FB173C8"/>
    <w:rsid w:val="54712CB0"/>
    <w:rsid w:val="55B505A5"/>
    <w:rsid w:val="565C457C"/>
    <w:rsid w:val="572639C6"/>
    <w:rsid w:val="599A46C1"/>
    <w:rsid w:val="59F13293"/>
    <w:rsid w:val="5AB44080"/>
    <w:rsid w:val="5AE076FD"/>
    <w:rsid w:val="5B276340"/>
    <w:rsid w:val="5CA174D2"/>
    <w:rsid w:val="5D5F2801"/>
    <w:rsid w:val="5EDA16BA"/>
    <w:rsid w:val="5FE80929"/>
    <w:rsid w:val="60063313"/>
    <w:rsid w:val="60DB5690"/>
    <w:rsid w:val="62671A10"/>
    <w:rsid w:val="64987CA1"/>
    <w:rsid w:val="65DD2178"/>
    <w:rsid w:val="66B50838"/>
    <w:rsid w:val="67D55535"/>
    <w:rsid w:val="67EE7327"/>
    <w:rsid w:val="69045B49"/>
    <w:rsid w:val="693D78D7"/>
    <w:rsid w:val="6A594EED"/>
    <w:rsid w:val="6BB15824"/>
    <w:rsid w:val="6D06153A"/>
    <w:rsid w:val="6DB115E5"/>
    <w:rsid w:val="6DB67F8A"/>
    <w:rsid w:val="6DE32AE7"/>
    <w:rsid w:val="6E1208CC"/>
    <w:rsid w:val="6FC0388A"/>
    <w:rsid w:val="6FEB53EC"/>
    <w:rsid w:val="70A83A4B"/>
    <w:rsid w:val="70D9208D"/>
    <w:rsid w:val="730020B6"/>
    <w:rsid w:val="7342357B"/>
    <w:rsid w:val="754764DD"/>
    <w:rsid w:val="76200667"/>
    <w:rsid w:val="76F40A6F"/>
    <w:rsid w:val="77522B11"/>
    <w:rsid w:val="78661C81"/>
    <w:rsid w:val="78BB3E3B"/>
    <w:rsid w:val="791A43DF"/>
    <w:rsid w:val="7A1548A2"/>
    <w:rsid w:val="7A486531"/>
    <w:rsid w:val="7BA5028F"/>
    <w:rsid w:val="7E490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imes New Roman"/>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rFonts w:eastAsia="思源黑体 CN Light"/>
      <w:b/>
      <w:bCs/>
      <w:kern w:val="44"/>
      <w:sz w:val="24"/>
      <w:szCs w:val="44"/>
    </w:rPr>
  </w:style>
  <w:style w:type="paragraph" w:styleId="3">
    <w:name w:val="heading 2"/>
    <w:basedOn w:val="1"/>
    <w:next w:val="1"/>
    <w:link w:val="22"/>
    <w:qFormat/>
    <w:uiPriority w:val="9"/>
    <w:pPr>
      <w:keepNext/>
      <w:keepLines/>
      <w:spacing w:before="260" w:after="260" w:line="416" w:lineRule="auto"/>
      <w:outlineLvl w:val="1"/>
    </w:pPr>
    <w:rPr>
      <w:rFonts w:ascii="DengXian Light" w:hAnsi="DengXian Light" w:eastAsia="思源黑体 CN Light"/>
      <w:b/>
      <w:bCs/>
      <w:szCs w:val="32"/>
    </w:rPr>
  </w:style>
  <w:style w:type="paragraph" w:styleId="4">
    <w:name w:val="heading 3"/>
    <w:basedOn w:val="1"/>
    <w:next w:val="1"/>
    <w:link w:val="26"/>
    <w:qFormat/>
    <w:uiPriority w:val="9"/>
    <w:pPr>
      <w:keepNext/>
      <w:keepLines/>
      <w:spacing w:before="260" w:after="260" w:line="416" w:lineRule="auto"/>
      <w:outlineLvl w:val="2"/>
    </w:pPr>
    <w:rPr>
      <w:rFonts w:ascii="DengXian" w:hAnsi="DengXian" w:eastAsia="思源黑体 CN Light"/>
      <w:b/>
      <w:bCs/>
      <w:szCs w:val="32"/>
    </w:rPr>
  </w:style>
  <w:style w:type="character" w:default="1" w:styleId="14">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Date"/>
    <w:basedOn w:val="1"/>
    <w:next w:val="1"/>
    <w:link w:val="20"/>
    <w:unhideWhenUsed/>
    <w:uiPriority w:val="99"/>
    <w:pPr>
      <w:ind w:left="100" w:leftChars="2500"/>
    </w:pPr>
  </w:style>
  <w:style w:type="paragraph" w:styleId="7">
    <w:name w:val="endnote text"/>
    <w:basedOn w:val="1"/>
    <w:link w:val="21"/>
    <w:unhideWhenUsed/>
    <w:uiPriority w:val="99"/>
    <w:pPr>
      <w:snapToGrid w:val="0"/>
      <w:jc w:val="left"/>
    </w:pPr>
  </w:style>
  <w:style w:type="paragraph" w:styleId="8">
    <w:name w:val="footer"/>
    <w:basedOn w:val="1"/>
    <w:link w:val="27"/>
    <w:unhideWhenUsed/>
    <w:uiPriority w:val="99"/>
    <w:pPr>
      <w:tabs>
        <w:tab w:val="center" w:pos="4153"/>
        <w:tab w:val="right" w:pos="8306"/>
      </w:tabs>
      <w:snapToGrid w:val="0"/>
      <w:jc w:val="left"/>
    </w:pPr>
    <w:rPr>
      <w:sz w:val="18"/>
      <w:szCs w:val="18"/>
    </w:rPr>
  </w:style>
  <w:style w:type="paragraph" w:styleId="9">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footnote text"/>
    <w:basedOn w:val="1"/>
    <w:link w:val="25"/>
    <w:unhideWhenUsed/>
    <w:uiPriority w:val="99"/>
    <w:pPr>
      <w:snapToGrid w:val="0"/>
      <w:jc w:val="left"/>
    </w:pPr>
    <w:rPr>
      <w:sz w:val="18"/>
      <w:szCs w:val="18"/>
    </w:rPr>
  </w:style>
  <w:style w:type="paragraph" w:styleId="12">
    <w:name w:val="toc 2"/>
    <w:basedOn w:val="1"/>
    <w:next w:val="1"/>
    <w:unhideWhenUsed/>
    <w:uiPriority w:val="39"/>
    <w:pPr>
      <w:ind w:left="420" w:leftChars="200"/>
    </w:pPr>
  </w:style>
  <w:style w:type="paragraph" w:styleId="13">
    <w:name w:val="Normal (Web)"/>
    <w:basedOn w:val="1"/>
    <w:unhideWhenUsed/>
    <w:uiPriority w:val="99"/>
    <w:pPr>
      <w:spacing w:before="100" w:beforeAutospacing="1" w:after="100" w:afterAutospacing="1"/>
      <w:jc w:val="left"/>
    </w:pPr>
    <w:rPr>
      <w:kern w:val="0"/>
      <w:sz w:val="24"/>
    </w:rPr>
  </w:style>
  <w:style w:type="character" w:styleId="15">
    <w:name w:val="endnote reference"/>
    <w:unhideWhenUsed/>
    <w:uiPriority w:val="99"/>
    <w:rPr>
      <w:vertAlign w:val="superscript"/>
    </w:rPr>
  </w:style>
  <w:style w:type="character" w:styleId="16">
    <w:name w:val="Hyperlink"/>
    <w:unhideWhenUsed/>
    <w:uiPriority w:val="99"/>
    <w:rPr>
      <w:color w:val="0563C1"/>
      <w:u w:val="single"/>
    </w:rPr>
  </w:style>
  <w:style w:type="character" w:styleId="17">
    <w:name w:val="footnote reference"/>
    <w:unhideWhenUsed/>
    <w:uiPriority w:val="99"/>
    <w:rPr>
      <w:vertAlign w:val="superscript"/>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日期 字符"/>
    <w:link w:val="6"/>
    <w:semiHidden/>
    <w:uiPriority w:val="99"/>
    <w:rPr>
      <w:kern w:val="2"/>
      <w:sz w:val="21"/>
      <w:szCs w:val="22"/>
    </w:rPr>
  </w:style>
  <w:style w:type="character" w:customStyle="1" w:styleId="21">
    <w:name w:val="尾注文本 字符"/>
    <w:link w:val="7"/>
    <w:semiHidden/>
    <w:uiPriority w:val="99"/>
    <w:rPr>
      <w:kern w:val="2"/>
      <w:sz w:val="21"/>
      <w:szCs w:val="22"/>
    </w:rPr>
  </w:style>
  <w:style w:type="character" w:customStyle="1" w:styleId="22">
    <w:name w:val="标题 2 字符"/>
    <w:link w:val="3"/>
    <w:uiPriority w:val="9"/>
    <w:rPr>
      <w:rFonts w:ascii="DengXian Light" w:hAnsi="DengXian Light" w:eastAsia="思源黑体 CN Light"/>
      <w:b/>
      <w:bCs/>
      <w:kern w:val="2"/>
      <w:sz w:val="21"/>
      <w:szCs w:val="32"/>
    </w:rPr>
  </w:style>
  <w:style w:type="character" w:customStyle="1" w:styleId="23">
    <w:name w:val="页眉 字符"/>
    <w:link w:val="9"/>
    <w:uiPriority w:val="99"/>
    <w:rPr>
      <w:kern w:val="2"/>
      <w:sz w:val="18"/>
      <w:szCs w:val="18"/>
    </w:rPr>
  </w:style>
  <w:style w:type="character" w:customStyle="1" w:styleId="24">
    <w:name w:val="标题 1 字符"/>
    <w:uiPriority w:val="9"/>
    <w:rPr>
      <w:rFonts w:eastAsia="思源黑体 CN Light"/>
      <w:b/>
      <w:bCs/>
      <w:kern w:val="44"/>
      <w:sz w:val="24"/>
      <w:szCs w:val="44"/>
    </w:rPr>
  </w:style>
  <w:style w:type="character" w:customStyle="1" w:styleId="25">
    <w:name w:val="脚注文本 字符"/>
    <w:link w:val="11"/>
    <w:semiHidden/>
    <w:uiPriority w:val="99"/>
    <w:rPr>
      <w:kern w:val="2"/>
      <w:sz w:val="18"/>
      <w:szCs w:val="18"/>
    </w:rPr>
  </w:style>
  <w:style w:type="character" w:customStyle="1" w:styleId="26">
    <w:name w:val="标题 3 字符"/>
    <w:link w:val="4"/>
    <w:uiPriority w:val="9"/>
    <w:rPr>
      <w:rFonts w:ascii="DengXian" w:hAnsi="DengXian" w:eastAsia="思源黑体 CN Light"/>
      <w:b/>
      <w:bCs/>
      <w:kern w:val="2"/>
      <w:sz w:val="21"/>
      <w:szCs w:val="32"/>
    </w:rPr>
  </w:style>
  <w:style w:type="character" w:customStyle="1" w:styleId="27">
    <w:name w:val="页脚 字符"/>
    <w:link w:val="8"/>
    <w:uiPriority w:val="99"/>
    <w:rPr>
      <w:kern w:val="2"/>
      <w:sz w:val="18"/>
      <w:szCs w:val="18"/>
    </w:rPr>
  </w:style>
  <w:style w:type="character" w:customStyle="1" w:styleId="28">
    <w:name w:val="标题 1 字符1"/>
    <w:link w:val="2"/>
    <w:uiPriority w:val="9"/>
    <w:rPr>
      <w:rFonts w:eastAsia="思源黑体 CN Light"/>
      <w:b/>
      <w:bCs/>
      <w:kern w:val="44"/>
      <w:sz w:val="24"/>
      <w:szCs w:val="44"/>
    </w:rPr>
  </w:style>
  <w:style w:type="paragraph" w:customStyle="1" w:styleId="29">
    <w:name w:val="WPSOffice手动目录 2"/>
    <w:uiPriority w:val="0"/>
    <w:pPr>
      <w:ind w:left="200" w:leftChars="200"/>
    </w:pPr>
    <w:rPr>
      <w:rFonts w:ascii="Times New Roman" w:hAnsi="Times New Roman" w:eastAsia="宋体" w:cs="Times New Roman"/>
      <w:lang w:val="en-US" w:eastAsia="zh-CN" w:bidi="ar-SA"/>
    </w:rPr>
  </w:style>
  <w:style w:type="paragraph" w:customStyle="1" w:styleId="30">
    <w:name w:val="彩色列表 - 着色 11"/>
    <w:basedOn w:val="1"/>
    <w:qFormat/>
    <w:uiPriority w:val="34"/>
    <w:pPr>
      <w:ind w:firstLine="420" w:firstLineChars="200"/>
    </w:pPr>
  </w:style>
  <w:style w:type="paragraph" w:customStyle="1" w:styleId="31">
    <w:name w:val="网格表 31"/>
    <w:basedOn w:val="2"/>
    <w:next w:val="1"/>
    <w:qFormat/>
    <w:uiPriority w:val="39"/>
    <w:pPr>
      <w:widowControl/>
      <w:spacing w:before="240" w:after="0" w:line="259" w:lineRule="auto"/>
      <w:jc w:val="left"/>
      <w:outlineLvl w:val="9"/>
    </w:pPr>
    <w:rPr>
      <w:rFonts w:ascii="DengXian Light" w:hAnsi="DengXian Light" w:eastAsia="DengXian Light"/>
      <w:b w:val="0"/>
      <w:bCs w:val="0"/>
      <w:color w:val="2F5496"/>
      <w:kern w:val="0"/>
      <w:sz w:val="32"/>
      <w:szCs w:val="32"/>
    </w:rPr>
  </w:style>
  <w:style w:type="paragraph" w:customStyle="1" w:styleId="32">
    <w:name w:val="WPSOffice手动目录 1"/>
    <w:uiPriority w:val="0"/>
    <w:rPr>
      <w:rFonts w:ascii="Times New Roman" w:hAnsi="Times New Roman" w:eastAsia="宋体" w:cs="Times New Roman"/>
      <w:lang w:val="en-US" w:eastAsia="zh-CN" w:bidi="ar-SA"/>
    </w:rPr>
  </w:style>
  <w:style w:type="paragraph" w:customStyle="1" w:styleId="33">
    <w:name w:val="网格表 5 深色 - 着色 11"/>
    <w:basedOn w:val="2"/>
    <w:next w:val="1"/>
    <w:qFormat/>
    <w:uiPriority w:val="39"/>
    <w:pPr>
      <w:widowControl/>
      <w:spacing w:before="240" w:after="0" w:line="259" w:lineRule="auto"/>
      <w:jc w:val="left"/>
      <w:outlineLvl w:val="9"/>
    </w:pPr>
    <w:rPr>
      <w:rFonts w:ascii="Calibri Light" w:hAnsi="Calibri Light" w:eastAsia="宋体"/>
      <w:b w:val="0"/>
      <w:bCs w:val="0"/>
      <w:color w:val="2E74B5"/>
      <w:kern w:val="0"/>
      <w:sz w:val="32"/>
      <w:szCs w:val="32"/>
    </w:rPr>
  </w:style>
  <w:style w:type="table" w:customStyle="1" w:styleId="34">
    <w:name w:val="Grid Table 7 Colorful"/>
    <w:basedOn w:val="18"/>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table" w:customStyle="1" w:styleId="35">
    <w:name w:val="Grid Table 6 Colorful"/>
    <w:basedOn w:val="18"/>
    <w:qFormat/>
    <w:uiPriority w:val="43"/>
    <w:tblStylePr w:type="firstRow">
      <w:rPr>
        <w:b/>
        <w:bCs/>
        <w:caps/>
      </w:rPr>
      <w:tcPr>
        <w:tcBorders>
          <w:top w:val="nil"/>
          <w:left w:val="nil"/>
          <w:bottom w:val="single" w:color="7F7F7F" w:sz="4" w:space="0"/>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table" w:customStyle="1" w:styleId="36">
    <w:name w:val="Grid Table 5 Dark"/>
    <w:basedOn w:val="18"/>
    <w:uiPriority w:val="42"/>
    <w:tblPr>
      <w:tblBorders>
        <w:top w:val="single" w:color="7F7F7F" w:sz="4" w:space="0"/>
        <w:bottom w:val="single" w:color="7F7F7F" w:sz="4" w:space="0"/>
      </w:tblBorders>
      <w:tblLayout w:type="fixed"/>
    </w:tblPr>
    <w:tblStylePr w:type="firstRow">
      <w:rPr>
        <w:b/>
        <w:bCs/>
      </w:rPr>
      <w:tcPr>
        <w:tcBorders>
          <w:top w:val="nil"/>
          <w:left w:val="nil"/>
          <w:bottom w:val="single" w:color="7F7F7F" w:sz="4" w:space="0"/>
          <w:right w:val="nil"/>
          <w:insideH w:val="nil"/>
          <w:insideV w:val="nil"/>
          <w:tl2br w:val="nil"/>
          <w:tr2bl w:val="nil"/>
        </w:tcBorders>
      </w:tcPr>
    </w:tblStylePr>
    <w:tblStylePr w:type="lastRow">
      <w:rPr>
        <w:b/>
        <w:bCs/>
      </w:rPr>
      <w:tcPr>
        <w:tcBorders>
          <w:top w:val="single" w:color="7F7F7F"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single" w:color="7F7F7F" w:sz="4" w:space="0"/>
          <w:bottom w:val="nil"/>
          <w:right w:val="single" w:color="7F7F7F" w:sz="4" w:space="0"/>
          <w:insideH w:val="nil"/>
          <w:insideV w:val="nil"/>
          <w:tl2br w:val="nil"/>
          <w:tr2bl w:val="nil"/>
        </w:tcBorders>
      </w:tcPr>
    </w:tblStylePr>
    <w:tblStylePr w:type="band2Vert">
      <w:tcPr>
        <w:tcBorders>
          <w:top w:val="nil"/>
          <w:left w:val="single" w:color="7F7F7F" w:sz="4" w:space="0"/>
          <w:bottom w:val="nil"/>
          <w:right w:val="single" w:color="7F7F7F" w:sz="4" w:space="0"/>
          <w:insideH w:val="nil"/>
          <w:insideV w:val="nil"/>
          <w:tl2br w:val="nil"/>
          <w:tr2bl w:val="nil"/>
        </w:tcBorders>
      </w:tcPr>
    </w:tblStylePr>
    <w:tblStylePr w:type="band1Horz">
      <w:tcPr>
        <w:tcBorders>
          <w:top w:val="single" w:color="7F7F7F" w:sz="4" w:space="0"/>
          <w:left w:val="nil"/>
          <w:bottom w:val="single" w:color="7F7F7F" w:sz="4" w:space="0"/>
          <w:right w:val="nil"/>
          <w:insideH w:val="nil"/>
          <w:insideV w:val="nil"/>
          <w:tl2br w:val="nil"/>
          <w:tr2bl w:val="nil"/>
        </w:tcBorders>
      </w:tcPr>
    </w:tblStylePr>
  </w:style>
  <w:style w:type="table" w:customStyle="1" w:styleId="37">
    <w:name w:val="Grid Table 1 Light Accent 1"/>
    <w:basedOn w:val="18"/>
    <w:qFormat/>
    <w:uiPriority w:val="45"/>
    <w:tblStylePr w:type="firstRow">
      <w:rPr>
        <w:rFonts w:cs="Times New Roman"/>
        <w:i/>
        <w:iCs/>
        <w:sz w:val="26"/>
      </w:rPr>
      <w:tcPr>
        <w:tcBorders>
          <w:top w:val="nil"/>
          <w:left w:val="nil"/>
          <w:bottom w:val="single" w:color="7F7F7F" w:sz="4" w:space="0"/>
          <w:right w:val="nil"/>
          <w:insideH w:val="nil"/>
          <w:insideV w:val="nil"/>
          <w:tl2br w:val="nil"/>
          <w:tr2bl w:val="nil"/>
        </w:tcBorders>
        <w:shd w:val="clear" w:color="auto" w:fill="FFFFFF"/>
      </w:tcPr>
    </w:tblStylePr>
    <w:tblStylePr w:type="lastRow">
      <w:rPr>
        <w:rFonts w:cs="Times New Roman"/>
        <w:i/>
        <w:iCs/>
        <w:sz w:val="26"/>
      </w:rPr>
      <w:tcPr>
        <w:tcBorders>
          <w:top w:val="single" w:color="7F7F7F" w:sz="4" w:space="0"/>
          <w:left w:val="nil"/>
          <w:bottom w:val="nil"/>
          <w:right w:val="nil"/>
          <w:insideH w:val="nil"/>
          <w:insideV w:val="nil"/>
          <w:tl2br w:val="nil"/>
          <w:tr2bl w:val="nil"/>
        </w:tcBorders>
        <w:shd w:val="clear" w:color="auto" w:fill="FFFFFF"/>
      </w:tcPr>
    </w:tblStylePr>
    <w:tblStylePr w:type="firstCol">
      <w:pPr>
        <w:jc w:val="right"/>
      </w:pPr>
      <w:rPr>
        <w:rFonts w:cs="Times New Roman"/>
        <w:i/>
        <w:iCs/>
        <w:sz w:val="26"/>
      </w:rPr>
      <w:tcPr>
        <w:tcBorders>
          <w:top w:val="nil"/>
          <w:left w:val="nil"/>
          <w:bottom w:val="nil"/>
          <w:right w:val="single" w:color="7F7F7F" w:sz="4" w:space="0"/>
          <w:insideH w:val="nil"/>
          <w:insideV w:val="nil"/>
          <w:tl2br w:val="nil"/>
          <w:tr2bl w:val="nil"/>
        </w:tcBorders>
        <w:shd w:val="clear" w:color="auto" w:fill="FFFFFF"/>
      </w:tcPr>
    </w:tblStylePr>
    <w:tblStylePr w:type="lastCol">
      <w:rPr>
        <w:rFonts w:cs="Times New Roman"/>
        <w:i/>
        <w:iCs/>
        <w:sz w:val="26"/>
      </w:rPr>
      <w:tcPr>
        <w:tcBorders>
          <w:top w:val="nil"/>
          <w:left w:val="single" w:color="7F7F7F" w:sz="4" w:space="0"/>
          <w:bottom w:val="nil"/>
          <w:right w:val="nil"/>
          <w:insideH w:val="nil"/>
          <w:insideV w:val="nil"/>
          <w:tl2br w:val="nil"/>
          <w:tr2bl w:val="nil"/>
        </w:tcBorders>
        <w:shd w:val="clear" w:color="auto" w:fill="FFFFFF"/>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tblStylePr w:type="seCell">
      <w:tcPr>
        <w:tcBorders>
          <w:top w:val="nil"/>
          <w:left w:val="nil"/>
          <w:bottom w:val="nil"/>
          <w:right w:val="nil"/>
          <w:insideH w:val="nil"/>
          <w:insideV w:val="nil"/>
          <w:tl2br w:val="nil"/>
          <w:tr2bl w:val="nil"/>
        </w:tcBorders>
      </w:tcPr>
    </w:tblStylePr>
    <w:tblStylePr w:type="swCell">
      <w:tcPr>
        <w:tcBorders>
          <w:top w:val="nil"/>
          <w:left w:val="nil"/>
          <w:bottom w:val="nil"/>
          <w:right w:val="nil"/>
          <w:insideH w:val="nil"/>
          <w:insideV w:val="nil"/>
          <w:tl2br w:val="nil"/>
          <w:tr2bl w:val="nil"/>
        </w:tcBorders>
      </w:tcPr>
    </w:tblStylePr>
  </w:style>
  <w:style w:type="table" w:customStyle="1" w:styleId="38">
    <w:name w:val="Grid Table 2 Accent 1"/>
    <w:basedOn w:val="18"/>
    <w:qFormat/>
    <w:uiPriority w:val="40"/>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
  </w:style>
  <w:style w:type="table" w:customStyle="1" w:styleId="39">
    <w:name w:val="Grid Table 4"/>
    <w:basedOn w:val="18"/>
    <w:uiPriority w:val="4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Pr>
    <w:tblStylePr w:type="firstRow">
      <w:rPr>
        <w:b/>
        <w:bCs/>
      </w:rPr>
    </w:tblStylePr>
    <w:tblStylePr w:type="lastRow">
      <w:rPr>
        <w:b/>
        <w:bCs/>
      </w:rPr>
      <w:tcPr>
        <w:tcBorders>
          <w:top w:val="double" w:color="BFBFBF"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2F2F2"/>
      </w:tcPr>
    </w:tblStylePr>
    <w:tblStylePr w:type="band1Horz">
      <w:tcPr>
        <w:shd w:val="clear" w:color="auto" w:fill="F2F2F2"/>
      </w:tcPr>
    </w:tblStylePr>
  </w:style>
  <w:style w:type="paragraph" w:customStyle="1" w:styleId="40">
    <w:name w:val="中等深浅网格 1 - 着色 2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E71A8D-9AFF-1E45-B276-A862B753E984}">
  <ds:schemaRefs/>
</ds:datastoreItem>
</file>

<file path=docProps/app.xml><?xml version="1.0" encoding="utf-8"?>
<Properties xmlns="http://schemas.openxmlformats.org/officeDocument/2006/extended-properties" xmlns:vt="http://schemas.openxmlformats.org/officeDocument/2006/docPropsVTypes">
  <Template>Normal</Template>
  <Pages>32</Pages>
  <Words>2095</Words>
  <Characters>11943</Characters>
  <Lines>99</Lines>
  <Paragraphs>28</Paragraphs>
  <TotalTime>0</TotalTime>
  <ScaleCrop>false</ScaleCrop>
  <LinksUpToDate>false</LinksUpToDate>
  <CharactersWithSpaces>14010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2018-06-06T09:21:00Z</dcterms:created>
  <dc:creator>Administrator</dc:creator>
  <cp:lastModifiedBy>localadmin</cp:lastModifiedBy>
  <cp:lastPrinted>2018-05-27T19:44:00Z</cp:lastPrinted>
  <dcterms:modified xsi:type="dcterms:W3CDTF">2018-06-06T09:47:57Z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