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Hydrologie de montagne
</w:t>
      </w:r>
    </w:p>
    <w:p>
      <w:pPr>
        <w:spacing w:after="120" w:before="120" w:line="336" w:lineRule="auto"/>
        <w:ind w:firstLine="0" w:start="0"/>
        <w:jc w:val="start"/>
      </w:pPr>
      <w:r>
        <w:rPr>
          <w:rFonts w:ascii="Canva Sans" w:hAnsi="Canva Sans" w:cs="Canva Sans" w:eastAsia="Canva Sans"/>
          <w:color w:val="000000"/>
          <w:sz w:val="24"/>
          <w:szCs w:val="24"/>
        </w:rPr>
        <w:t xml:space="preserve">L’hydrologie est l’étude du cycle de l’eau sur les continents. L’objectif est de quantifier l’ensemble des échanges de flux d’eau entre le sol, la surface et l’atmosphère sur une zone géographique délimitée, un bassin versant.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Bassin Versant
</w:t>
      </w:r>
    </w:p>
    <w:p>
      <w:pPr>
        <w:spacing w:after="120" w:before="120"/>
        <w:jc w:val="center"/>
      </w:pPr>
      <w:r>
        <w:drawing>
          <wp:inline>
            <wp:extent cx="3817342" cy="2613908"/>
            <wp:docPr id="0" name="Drawing 0" descr="4f29d8cde1f007f2ac72cd506effe010.jpg"/>
            <wp:cNvGraphicFramePr>
              <a:graphicFrameLocks noChangeAspect="true"/>
            </wp:cNvGraphicFramePr>
            <a:graphic>
              <a:graphicData uri="http://schemas.openxmlformats.org/drawingml/2006/picture">
                <pic:pic xmlns:pic="http://schemas.openxmlformats.org/drawingml/2006/picture">
                  <pic:nvPicPr>
                    <pic:cNvPr id="0" name="Picture 0" descr="4f29d8cde1f007f2ac72cd506effe010.jpg"/>
                    <pic:cNvPicPr>
                      <a:picLocks noChangeAspect="true"/>
                    </pic:cNvPicPr>
                  </pic:nvPicPr>
                  <pic:blipFill>
                    <a:blip r:embed="rId3"/>
                    <a:stretch>
                      <a:fillRect/>
                    </a:stretch>
                  </pic:blipFill>
                  <pic:spPr>
                    <a:xfrm flipH="false" flipV="false">
                      <a:off x="0" y="0"/>
                      <a:ext cx="3817342" cy="2613908"/>
                    </a:xfrm>
                    <a:prstGeom prst="rect">
                      <a:avLst/>
                    </a:prstGeom>
                  </pic:spPr>
                </pic:pic>
              </a:graphicData>
            </a:graphic>
          </wp:inline>
        </w:drawing>
      </w:r>
    </w:p>
    <w:p>
      <w:pPr>
        <w:spacing w:after="120" w:before="120" w:line="336" w:lineRule="auto"/>
        <w:ind w:firstLine="0" w:start="0"/>
        <w:jc w:val="center"/>
      </w:pPr>
      <w:r>
        <w:rPr>
          <w:rFonts w:ascii="Canva Sans Italics" w:hAnsi="Canva Sans Italics" w:cs="Canva Sans Italics" w:eastAsia="Canva Sans Italics"/>
          <w:i/>
          <w:iCs/>
          <w:color w:val="000000"/>
          <w:sz w:val="18"/>
          <w:szCs w:val="18"/>
        </w:rPr>
        <w:t>Figure 1 : Scéma d’une représentation d’un bassin versant</w:t>
      </w:r>
      <w:r>
        <w:rPr>
          <w:rFonts w:ascii="Canva Sans Italics" w:hAnsi="Canva Sans Italics" w:cs="Canva Sans Italics" w:eastAsia="Canva Sans Italics"/>
          <w:i/>
          <w:iC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Un bassin versant est une entité géographique sur laquelle l'ensemble de l'eau de cette zone y est drainée en un seul point, son exutoire.
</w:t>
      </w:r>
    </w:p>
    <w:p>
      <w:pPr>
        <w:spacing w:after="120" w:before="120" w:line="336" w:lineRule="auto"/>
        <w:ind w:firstLine="0" w:start="0"/>
        <w:jc w:val="start"/>
      </w:pPr>
      <w:r>
        <w:rPr>
          <w:rFonts w:ascii="Canva Sans" w:hAnsi="Canva Sans" w:cs="Canva Sans" w:eastAsia="Canva Sans"/>
          <w:color w:val="000000"/>
          <w:sz w:val="24"/>
          <w:szCs w:val="24"/>
        </w:rPr>
        <w:t xml:space="preserve">Il en existe une infinité et chacun peut se découper en plusieurs sous-bassins versants.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Les différents flux entre réservoirs
</w:t>
      </w:r>
    </w:p>
    <w:p>
      <w:pPr>
        <w:spacing w:after="120" w:before="120" w:line="336" w:lineRule="auto"/>
        <w:ind w:firstLine="0" w:start="0"/>
        <w:jc w:val="start"/>
      </w:pPr>
      <w:r>
        <w:rPr>
          <w:rFonts w:ascii="Canva Sans" w:hAnsi="Canva Sans" w:cs="Canva Sans" w:eastAsia="Canva Sans"/>
          <w:color w:val="000000"/>
          <w:sz w:val="24"/>
          <w:szCs w:val="24"/>
        </w:rPr>
        <w:t xml:space="preserve">La zone critique, étudiée ici, est subdivisée en 3 zones qui possèdent chacunes son écoulement propre : 
</w:t>
      </w:r>
    </w:p>
    <w:p>
      <w:pPr>
        <w:numPr>
          <w:ilvl w:val="0"/>
          <w:numId w:val="1"/>
        </w:numPr>
        <w:spacing w:after="0" w:before="0" w:line="336" w:lineRule="auto"/>
        <w:jc w:val="start"/>
      </w:pPr>
      <w:r>
        <w:rPr>
          <w:rFonts w:ascii="Canva Sans" w:hAnsi="Canva Sans" w:cs="Canva Sans" w:eastAsia="Canva Sans"/>
          <w:color w:val="000000"/>
          <w:sz w:val="24"/>
          <w:szCs w:val="24"/>
        </w:rPr>
        <w:t xml:space="preserve">Une </w:t>
      </w:r>
      <w:r>
        <w:rPr>
          <w:rFonts w:ascii="Canva Sans Bold" w:hAnsi="Canva Sans Bold" w:cs="Canva Sans Bold" w:eastAsia="Canva Sans Bold"/>
          <w:b/>
          <w:bCs/>
          <w:color w:val="000000"/>
          <w:sz w:val="24"/>
          <w:szCs w:val="24"/>
        </w:rPr>
        <w:t>zone d’échange</w:t>
      </w:r>
      <w:r>
        <w:rPr>
          <w:rFonts w:ascii="Canva Sans" w:hAnsi="Canva Sans" w:cs="Canva Sans" w:eastAsia="Canva Sans"/>
          <w:color w:val="000000"/>
          <w:sz w:val="24"/>
          <w:szCs w:val="24"/>
        </w:rPr>
        <w:t xml:space="preserve"> entre l’atmosphère et la végétation de surface, où s’écoule le </w:t>
      </w:r>
      <w:r>
        <w:rPr>
          <w:rFonts w:ascii="Canva Sans Bold" w:hAnsi="Canva Sans Bold" w:cs="Canva Sans Bold" w:eastAsia="Canva Sans Bold"/>
          <w:b/>
          <w:bCs/>
          <w:color w:val="000000"/>
          <w:sz w:val="24"/>
          <w:szCs w:val="24"/>
        </w:rPr>
        <w:t>ruissellement de surface</w:t>
      </w: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w:t>
      </w:r>
    </w:p>
    <w:p>
      <w:pPr>
        <w:numPr>
          <w:ilvl w:val="0"/>
          <w:numId w:val="1"/>
        </w:numPr>
        <w:spacing w:after="0" w:before="0" w:line="336" w:lineRule="auto"/>
        <w:jc w:val="start"/>
      </w:pPr>
      <w:r>
        <w:rPr>
          <w:rFonts w:ascii="Canva Sans" w:hAnsi="Canva Sans" w:cs="Canva Sans" w:eastAsia="Canva Sans"/>
          <w:color w:val="000000"/>
          <w:sz w:val="24"/>
          <w:szCs w:val="24"/>
        </w:rPr>
        <w:t xml:space="preserve">Une </w:t>
      </w:r>
      <w:r>
        <w:rPr>
          <w:rFonts w:ascii="Canva Sans Bold" w:hAnsi="Canva Sans Bold" w:cs="Canva Sans Bold" w:eastAsia="Canva Sans Bold"/>
          <w:b/>
          <w:bCs/>
          <w:color w:val="000000"/>
          <w:sz w:val="24"/>
          <w:szCs w:val="24"/>
        </w:rPr>
        <w:t>zone non saturée</w:t>
      </w:r>
      <w:r>
        <w:rPr>
          <w:rFonts w:ascii="Canva Sans" w:hAnsi="Canva Sans" w:cs="Canva Sans" w:eastAsia="Canva Sans"/>
          <w:color w:val="000000"/>
          <w:sz w:val="24"/>
          <w:szCs w:val="24"/>
        </w:rPr>
        <w:t xml:space="preserve"> du sol, prenant en compte les échanges entre le sol et la végétation en sub-subsurface (dite la zone racinaire) et une zone issue de l’altération des roches entre le sol et les aquifères, où s’écoule le </w:t>
      </w:r>
      <w:r>
        <w:rPr>
          <w:rFonts w:ascii="Canva Sans Bold" w:hAnsi="Canva Sans Bold" w:cs="Canva Sans Bold" w:eastAsia="Canva Sans Bold"/>
          <w:b/>
          <w:bCs/>
          <w:color w:val="000000"/>
          <w:sz w:val="24"/>
          <w:szCs w:val="24"/>
        </w:rPr>
        <w:t>débit de base</w:t>
      </w:r>
      <w:r>
        <w:rPr>
          <w:rFonts w:ascii="Canva Sans" w:hAnsi="Canva Sans" w:cs="Canva Sans" w:eastAsia="Canva Sans"/>
          <w:color w:val="000000"/>
          <w:sz w:val="24"/>
          <w:szCs w:val="24"/>
        </w:rPr>
        <w:t xml:space="preserve">.
</w:t>
      </w:r>
    </w:p>
    <w:p>
      <w:pPr>
        <w:numPr>
          <w:ilvl w:val="0"/>
          <w:numId w:val="1"/>
        </w:numPr>
        <w:spacing w:after="0" w:before="0" w:line="336" w:lineRule="auto"/>
        <w:jc w:val="start"/>
      </w:pPr>
      <w:r>
        <w:rPr>
          <w:rFonts w:ascii="Canva Sans" w:hAnsi="Canva Sans" w:cs="Canva Sans" w:eastAsia="Canva Sans"/>
          <w:color w:val="000000"/>
          <w:sz w:val="24"/>
          <w:szCs w:val="24"/>
        </w:rPr>
        <w:t xml:space="preserve">Une </w:t>
      </w:r>
      <w:r>
        <w:rPr>
          <w:rFonts w:ascii="Canva Sans Bold" w:hAnsi="Canva Sans Bold" w:cs="Canva Sans Bold" w:eastAsia="Canva Sans Bold"/>
          <w:b/>
          <w:bCs/>
          <w:color w:val="000000"/>
          <w:sz w:val="24"/>
          <w:szCs w:val="24"/>
        </w:rPr>
        <w:t>zone saturée</w:t>
      </w:r>
      <w:r>
        <w:rPr>
          <w:rFonts w:ascii="Canva Sans" w:hAnsi="Canva Sans" w:cs="Canva Sans" w:eastAsia="Canva Sans"/>
          <w:color w:val="000000"/>
          <w:sz w:val="24"/>
          <w:szCs w:val="24"/>
        </w:rPr>
        <w:t xml:space="preserve"> du sous-sol, comprenant les écoulements dans les aquifères, où s’écoule </w:t>
      </w:r>
      <w:r>
        <w:rPr>
          <w:rFonts w:ascii="Canva Sans Bold" w:hAnsi="Canva Sans Bold" w:cs="Canva Sans Bold" w:eastAsia="Canva Sans Bold"/>
          <w:b/>
          <w:bCs/>
          <w:color w:val="000000"/>
          <w:sz w:val="24"/>
          <w:szCs w:val="24"/>
        </w:rPr>
        <w:t>l’écoulement profond</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En plus de cela, des flux communiquent entre chaque zones par infiltration, exfiltration, évaporation et transpiration qui vont donc influencer chacun des écoulements horizontaux. </w:t>
      </w:r>
      <w:r>
        <w:rPr>
          <w:rFonts w:ascii="Canva Sans" w:hAnsi="Canva Sans" w:cs="Canva Sans" w:eastAsia="Canva Sans"/>
          <w:color w:val="000000"/>
          <w:sz w:val="24"/>
          <w:szCs w:val="24"/>
        </w:rPr>
        <w:t xml:space="preserve">
</w:t>
      </w:r>
    </w:p>
    <w:p>
      <w:pPr>
        <w:spacing w:after="120" w:before="120"/>
        <w:jc w:val="center"/>
      </w:pPr>
      <w:r>
        <w:drawing>
          <wp:inline>
            <wp:extent cx="5734050" cy="3453921"/>
            <wp:docPr id="1" name="Drawing 1" descr="b69c9c8968881a5e82bfd06da093f19d.jpg"/>
            <wp:cNvGraphicFramePr>
              <a:graphicFrameLocks noChangeAspect="true"/>
            </wp:cNvGraphicFramePr>
            <a:graphic>
              <a:graphicData uri="http://schemas.openxmlformats.org/drawingml/2006/picture">
                <pic:pic xmlns:pic="http://schemas.openxmlformats.org/drawingml/2006/picture">
                  <pic:nvPicPr>
                    <pic:cNvPr id="0" name="Picture 1" descr="b69c9c8968881a5e82bfd06da093f19d.jpg"/>
                    <pic:cNvPicPr>
                      <a:picLocks noChangeAspect="true"/>
                    </pic:cNvPicPr>
                  </pic:nvPicPr>
                  <pic:blipFill>
                    <a:blip r:embed="rId5"/>
                    <a:stretch>
                      <a:fillRect/>
                    </a:stretch>
                  </pic:blipFill>
                  <pic:spPr>
                    <a:xfrm flipH="false" flipV="false">
                      <a:off x="0" y="0"/>
                      <a:ext cx="5734050" cy="3453921"/>
                    </a:xfrm>
                    <a:prstGeom prst="rect">
                      <a:avLst/>
                    </a:prstGeom>
                  </pic:spPr>
                </pic:pic>
              </a:graphicData>
            </a:graphic>
          </wp:inline>
        </w:drawing>
      </w:r>
    </w:p>
    <w:p>
      <w:pPr>
        <w:spacing w:after="120" w:before="120" w:line="336" w:lineRule="auto"/>
        <w:ind w:firstLine="0" w:start="0"/>
        <w:jc w:val="center"/>
      </w:pPr>
      <w:r>
        <w:rPr>
          <w:rFonts w:ascii="Canva Sans Italics" w:hAnsi="Canva Sans Italics" w:cs="Canva Sans Italics" w:eastAsia="Canva Sans Italics"/>
          <w:i/>
          <w:iCs/>
          <w:color w:val="000000"/>
          <w:sz w:val="18"/>
          <w:szCs w:val="18"/>
        </w:rPr>
        <w:t>Figure 2 : Principaux processus de transfert d'eau et délimitation de la zone critique [Chorover et al., 2007]</w:t>
      </w:r>
      <w:r>
        <w:rPr>
          <w:rFonts w:ascii="Canva Sans Italics" w:hAnsi="Canva Sans Italics" w:cs="Canva Sans Italics" w:eastAsia="Canva Sans Italics"/>
          <w:i/>
          <w:iCs/>
          <w:color w:val="000000"/>
          <w:sz w:val="18"/>
          <w:szCs w:val="18"/>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Modèle hydrologique
</w:t>
      </w:r>
    </w:p>
    <w:p>
      <w:pPr>
        <w:spacing w:after="120" w:before="120" w:line="336" w:lineRule="auto"/>
        <w:ind w:firstLine="0" w:start="0"/>
        <w:jc w:val="start"/>
      </w:pPr>
      <w:r>
        <w:rPr>
          <w:rFonts w:ascii="Canva Sans" w:hAnsi="Canva Sans" w:cs="Canva Sans" w:eastAsia="Canva Sans"/>
          <w:color w:val="000000"/>
          <w:sz w:val="24"/>
          <w:szCs w:val="24"/>
        </w:rPr>
        <w:t xml:space="preserve">Un modèle hydrologique a pour objectif de représenter le cycle de l’eau. Il permet, entre autre, de quantifier le débit d’eau qui s’est écoulé sur un bassin versant avec des conditions climatiques spécifiques. Il permet aussi en général de quantifier l’humidité du sol et le flux d’évapotranspiration.
</w:t>
      </w:r>
    </w:p>
    <w:p>
      <w:pPr>
        <w:spacing w:after="120" w:before="120" w:line="336" w:lineRule="auto"/>
        <w:ind w:firstLine="0" w:start="0"/>
        <w:jc w:val="start"/>
      </w:pPr>
      <w:r>
        <w:rPr>
          <w:rFonts w:ascii="Canva Sans" w:hAnsi="Canva Sans" w:cs="Canva Sans" w:eastAsia="Canva Sans"/>
          <w:color w:val="000000"/>
          <w:sz w:val="24"/>
          <w:szCs w:val="24"/>
        </w:rPr>
        <w:t xml:space="preserve">La modélisation se repose également sur une représentation du milieu par des paramètres fixés pour chaque simulation. Ces paramètres permettent de définir les pentes, les vitesses d’écoulement, la capacité d’infiltration du sol etc etc.
</w:t>
      </w:r>
    </w:p>
    <w:p>
      <w:pPr>
        <w:spacing w:after="120" w:before="120" w:line="336" w:lineRule="auto"/>
        <w:ind w:firstLine="0" w:start="0"/>
        <w:jc w:val="start"/>
      </w:pPr>
      <w:r>
        <w:rPr>
          <w:rFonts w:ascii="Canva Sans" w:hAnsi="Canva Sans" w:cs="Canva Sans" w:eastAsia="Canva Sans"/>
          <w:color w:val="000000"/>
          <w:sz w:val="24"/>
          <w:szCs w:val="24"/>
        </w:rPr>
        <w:t xml:space="preserve">Il existe deux grandes familles de modèle hydrologique : 
</w:t>
      </w:r>
    </w:p>
    <w:p>
      <w:pPr>
        <w:numPr>
          <w:ilvl w:val="0"/>
          <w:numId w:val="2"/>
        </w:numPr>
        <w:spacing w:after="0" w:before="0" w:line="336" w:lineRule="auto"/>
        <w:jc w:val="start"/>
      </w:pPr>
      <w:r>
        <w:rPr>
          <w:rFonts w:ascii="Canva Sans" w:hAnsi="Canva Sans" w:cs="Canva Sans" w:eastAsia="Canva Sans"/>
          <w:color w:val="000000"/>
          <w:sz w:val="24"/>
          <w:szCs w:val="24"/>
        </w:rPr>
        <w:t xml:space="preserve">des </w:t>
      </w:r>
      <w:r>
        <w:rPr>
          <w:rFonts w:ascii="Canva Sans Bold" w:hAnsi="Canva Sans Bold" w:cs="Canva Sans Bold" w:eastAsia="Canva Sans Bold"/>
          <w:b/>
          <w:bCs/>
          <w:color w:val="000000"/>
          <w:sz w:val="24"/>
          <w:szCs w:val="24"/>
          <w:u w:val="single" w:color="000000"/>
        </w:rPr>
        <w:t>modèles conceptuels</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pour lesquels chaques processus (ruissellement, infiltration…) sont représentés par des </w:t>
      </w:r>
      <w:r>
        <w:rPr>
          <w:rFonts w:ascii="Canva Sans Bold" w:hAnsi="Canva Sans Bold" w:cs="Canva Sans Bold" w:eastAsia="Canva Sans Bold"/>
          <w:b/>
          <w:bCs/>
          <w:color w:val="000000"/>
          <w:sz w:val="24"/>
          <w:szCs w:val="24"/>
        </w:rPr>
        <w:t xml:space="preserve">lois empiriques. </w:t>
      </w:r>
      <w:r>
        <w:rPr>
          <w:rFonts w:ascii="Canva Sans" w:hAnsi="Canva Sans" w:cs="Canva Sans" w:eastAsia="Canva Sans"/>
          <w:color w:val="000000"/>
          <w:sz w:val="24"/>
          <w:szCs w:val="24"/>
        </w:rPr>
        <w:t xml:space="preserve">Ces modèles ont en général, besoin d’une étape de </w:t>
      </w:r>
      <w:r>
        <w:rPr>
          <w:rFonts w:ascii="Canva Sans Bold" w:hAnsi="Canva Sans Bold" w:cs="Canva Sans Bold" w:eastAsia="Canva Sans Bold"/>
          <w:b/>
          <w:bCs/>
          <w:color w:val="000000"/>
          <w:sz w:val="24"/>
          <w:szCs w:val="24"/>
        </w:rPr>
        <w:t>calibration</w:t>
      </w:r>
      <w:r>
        <w:rPr>
          <w:rFonts w:ascii="Canva Sans" w:hAnsi="Canva Sans" w:cs="Canva Sans" w:eastAsia="Canva Sans"/>
          <w:color w:val="000000"/>
          <w:sz w:val="24"/>
          <w:szCs w:val="24"/>
        </w:rPr>
        <w:t xml:space="preserve"> afin de caler les paramètres du modèle. 
</w:t>
      </w:r>
    </w:p>
    <w:p>
      <w:pPr>
        <w:numPr>
          <w:ilvl w:val="0"/>
          <w:numId w:val="2"/>
        </w:numPr>
        <w:spacing w:after="0" w:before="0" w:line="336" w:lineRule="auto"/>
        <w:jc w:val="start"/>
      </w:pPr>
      <w:r>
        <w:rPr>
          <w:rFonts w:ascii="Canva Sans" w:hAnsi="Canva Sans" w:cs="Canva Sans" w:eastAsia="Canva Sans"/>
          <w:color w:val="000000"/>
          <w:sz w:val="24"/>
          <w:szCs w:val="24"/>
        </w:rPr>
        <w:t xml:space="preserve">des </w:t>
      </w:r>
      <w:r>
        <w:rPr>
          <w:rFonts w:ascii="Canva Sans Bold" w:hAnsi="Canva Sans Bold" w:cs="Canva Sans Bold" w:eastAsia="Canva Sans Bold"/>
          <w:b/>
          <w:bCs/>
          <w:color w:val="000000"/>
          <w:sz w:val="24"/>
          <w:szCs w:val="24"/>
          <w:u w:val="single" w:color="000000"/>
        </w:rPr>
        <w:t>modèles physiques</w:t>
      </w:r>
      <w:r>
        <w:rPr>
          <w:rFonts w:ascii="Canva Sans" w:hAnsi="Canva Sans" w:cs="Canva Sans" w:eastAsia="Canva Sans"/>
          <w:color w:val="000000"/>
          <w:sz w:val="24"/>
          <w:szCs w:val="24"/>
        </w:rPr>
        <w:t xml:space="preserve"> qui sont basés exclusivement sur des </w:t>
      </w:r>
      <w:r>
        <w:rPr>
          <w:rFonts w:ascii="Canva Sans Bold" w:hAnsi="Canva Sans Bold" w:cs="Canva Sans Bold" w:eastAsia="Canva Sans Bold"/>
          <w:b/>
          <w:bCs/>
          <w:color w:val="000000"/>
          <w:sz w:val="24"/>
          <w:szCs w:val="24"/>
        </w:rPr>
        <w:t>équations de conservation</w:t>
      </w:r>
      <w:r>
        <w:rPr>
          <w:rFonts w:ascii="Canva Sans" w:hAnsi="Canva Sans" w:cs="Canva Sans" w:eastAsia="Canva Sans"/>
          <w:color w:val="000000"/>
          <w:sz w:val="24"/>
          <w:szCs w:val="24"/>
        </w:rPr>
        <w:t xml:space="preserve"> et dont les paramètres sont censés être </w:t>
      </w:r>
      <w:r>
        <w:rPr>
          <w:rFonts w:ascii="Canva Sans Bold" w:hAnsi="Canva Sans Bold" w:cs="Canva Sans Bold" w:eastAsia="Canva Sans Bold"/>
          <w:b/>
          <w:bCs/>
          <w:color w:val="000000"/>
          <w:sz w:val="24"/>
          <w:szCs w:val="24"/>
        </w:rPr>
        <w:t>mesurables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Modèle Conceptuel - MORDOR - EDF</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MORDOR (EDF), J2000 (INRAE), Lis-Flood, SWAT, … sont des modèles conceptuels. Ces modèles reposent sur les bassins versants comme unité hydrologique, et le calcul se fait en chaque point exutoire de ces bassins versants. 
</w:t>
      </w:r>
    </w:p>
    <w:p>
      <w:pPr>
        <w:spacing w:after="120" w:before="120" w:line="336" w:lineRule="auto"/>
        <w:ind w:firstLine="0" w:start="0"/>
        <w:jc w:val="start"/>
      </w:pPr>
      <w:r>
        <w:rPr>
          <w:rFonts w:ascii="Canva Sans" w:hAnsi="Canva Sans" w:cs="Canva Sans" w:eastAsia="Canva Sans"/>
          <w:color w:val="000000"/>
          <w:sz w:val="24"/>
          <w:szCs w:val="24"/>
        </w:rPr>
        <w:t xml:space="preserve">Pour les modèles de la famille MORDOR,  MORDOR-SD ne considère qu’une seule unité hydrologique, contrairement à MORDOR-TS  qui est l’assemblage de plusieurs MORDOR-SD, chacun représentant un sous bassin.
</w:t>
      </w:r>
    </w:p>
    <w:p>
      <w:pPr>
        <w:spacing w:after="120" w:before="120"/>
        <w:jc w:val="center"/>
      </w:pPr>
      <w:r>
        <w:drawing>
          <wp:inline>
            <wp:extent cx="4486129" cy="1383245"/>
            <wp:docPr id="2" name="Drawing 2" descr="24c18525339615c14d51853a3033da16.png"/>
            <wp:cNvGraphicFramePr>
              <a:graphicFrameLocks noChangeAspect="true"/>
            </wp:cNvGraphicFramePr>
            <a:graphic>
              <a:graphicData uri="http://schemas.openxmlformats.org/drawingml/2006/picture">
                <pic:pic xmlns:pic="http://schemas.openxmlformats.org/drawingml/2006/picture">
                  <pic:nvPicPr>
                    <pic:cNvPr id="0" name="Picture 2" descr="24c18525339615c14d51853a3033da16.png"/>
                    <pic:cNvPicPr>
                      <a:picLocks noChangeAspect="true"/>
                    </pic:cNvPicPr>
                  </pic:nvPicPr>
                  <pic:blipFill>
                    <a:blip r:embed="rId6"/>
                    <a:stretch>
                      <a:fillRect/>
                    </a:stretch>
                  </pic:blipFill>
                  <pic:spPr>
                    <a:xfrm flipH="false" flipV="false">
                      <a:off x="0" y="0"/>
                      <a:ext cx="4486129" cy="1383245"/>
                    </a:xfrm>
                    <a:prstGeom prst="rect">
                      <a:avLst/>
                    </a:prstGeom>
                  </pic:spPr>
                </pic:pic>
              </a:graphicData>
            </a:graphic>
          </wp:inline>
        </w:drawing>
      </w:r>
    </w:p>
    <w:p>
      <w:pPr>
        <w:spacing w:after="120" w:before="120" w:line="336" w:lineRule="auto"/>
        <w:ind w:firstLine="0" w:start="0"/>
        <w:jc w:val="center"/>
      </w:pPr>
      <w:r>
        <w:rPr>
          <w:rFonts w:ascii="Canva Sans Italics" w:hAnsi="Canva Sans Italics" w:cs="Canva Sans Italics" w:eastAsia="Canva Sans Italics"/>
          <w:i/>
          <w:iCs/>
          <w:color w:val="000000"/>
          <w:sz w:val="18"/>
          <w:szCs w:val="18"/>
        </w:rPr>
        <w:t>Figure 3 : Représentation des deux modèles MORDOR</w:t>
      </w:r>
      <w:r>
        <w:rPr>
          <w:rFonts w:ascii="Canva Sans Italics" w:hAnsi="Canva Sans Italics" w:cs="Canva Sans Italics" w:eastAsia="Canva Sans Italics"/>
          <w:i/>
          <w:iC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Les modèles conceptuels </w:t>
      </w:r>
      <w:r>
        <w:rPr>
          <w:rFonts w:ascii="Canva Sans" w:hAnsi="Canva Sans" w:cs="Canva Sans" w:eastAsia="Canva Sans"/>
          <w:color w:val="000000"/>
          <w:sz w:val="24"/>
          <w:szCs w:val="24"/>
        </w:rPr>
        <w:t>peuvent être constitués de plusieurs réservoirs pour représenter différents chemins de l’eau.</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Les modules </w:t>
      </w:r>
      <w:r>
        <w:rPr>
          <w:rFonts w:ascii="Canva Sans" w:hAnsi="Canva Sans" w:cs="Canva Sans" w:eastAsia="Canva Sans"/>
          <w:color w:val="000000"/>
          <w:sz w:val="24"/>
          <w:szCs w:val="24"/>
        </w:rPr>
        <w:t xml:space="preserve">de </w:t>
      </w:r>
      <w:r>
        <w:rPr>
          <w:rFonts w:ascii="Canva Sans" w:hAnsi="Canva Sans" w:cs="Canva Sans" w:eastAsia="Canva Sans"/>
          <w:color w:val="000000"/>
          <w:sz w:val="24"/>
          <w:szCs w:val="24"/>
        </w:rPr>
        <w:t>MORDOR-SD, illustré sur la figure</w:t>
      </w:r>
      <w:r>
        <w:rPr>
          <w:rFonts w:ascii="Canva Sans" w:hAnsi="Canva Sans" w:cs="Canva Sans" w:eastAsia="Canva Sans"/>
          <w:color w:val="000000"/>
          <w:sz w:val="24"/>
          <w:szCs w:val="24"/>
        </w:rPr>
        <w:t xml:space="preserve"> 4</w:t>
      </w:r>
      <w:r>
        <w:rPr>
          <w:rFonts w:ascii="Canva Sans" w:hAnsi="Canva Sans" w:cs="Canva Sans" w:eastAsia="Canva Sans"/>
          <w:color w:val="000000"/>
          <w:sz w:val="24"/>
          <w:szCs w:val="24"/>
        </w:rPr>
        <w:t xml:space="preserve">, incluent </w:t>
      </w:r>
      <w:r>
        <w:rPr>
          <w:rFonts w:ascii="Canva Sans" w:hAnsi="Canva Sans" w:cs="Canva Sans" w:eastAsia="Canva Sans"/>
          <w:color w:val="000000"/>
          <w:sz w:val="24"/>
          <w:szCs w:val="24"/>
        </w:rPr>
        <w:t>deux</w:t>
      </w:r>
      <w:r>
        <w:rPr>
          <w:rFonts w:ascii="Canva Sans" w:hAnsi="Canva Sans" w:cs="Canva Sans" w:eastAsia="Canva Sans"/>
          <w:color w:val="000000"/>
          <w:sz w:val="24"/>
          <w:szCs w:val="24"/>
        </w:rPr>
        <w:t xml:space="preserve"> réservoirs pour la cryosphère, </w:t>
      </w:r>
      <w:r>
        <w:rPr>
          <w:rFonts w:ascii="Canva Sans" w:hAnsi="Canva Sans" w:cs="Canva Sans" w:eastAsia="Canva Sans"/>
          <w:color w:val="000000"/>
          <w:sz w:val="24"/>
          <w:szCs w:val="24"/>
        </w:rPr>
        <w:t>trois</w:t>
      </w:r>
      <w:r>
        <w:rPr>
          <w:rFonts w:ascii="Canva Sans" w:hAnsi="Canva Sans" w:cs="Canva Sans" w:eastAsia="Canva Sans"/>
          <w:color w:val="000000"/>
          <w:sz w:val="24"/>
          <w:szCs w:val="24"/>
        </w:rPr>
        <w:t xml:space="preserve"> pour la zone racinaire</w:t>
      </w: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et </w:t>
      </w:r>
      <w:r>
        <w:rPr>
          <w:rFonts w:ascii="Canva Sans" w:hAnsi="Canva Sans" w:cs="Canva Sans" w:eastAsia="Canva Sans"/>
          <w:color w:val="000000"/>
          <w:sz w:val="24"/>
          <w:szCs w:val="24"/>
        </w:rPr>
        <w:t>un</w:t>
      </w:r>
      <w:r>
        <w:rPr>
          <w:rFonts w:ascii="Canva Sans" w:hAnsi="Canva Sans" w:cs="Canva Sans" w:eastAsia="Canva Sans"/>
          <w:color w:val="000000"/>
          <w:sz w:val="24"/>
          <w:szCs w:val="24"/>
        </w:rPr>
        <w:t xml:space="preserve"> pour le stock d’eau souterraine.</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En dehors du module cryosphérique et souterrain, les relations entre ces réservoirs </w:t>
      </w:r>
      <w:r>
        <w:rPr>
          <w:rFonts w:ascii="Canva Sans" w:hAnsi="Canva Sans" w:cs="Canva Sans" w:eastAsia="Canva Sans"/>
          <w:color w:val="000000"/>
          <w:sz w:val="24"/>
          <w:szCs w:val="24"/>
        </w:rPr>
        <w:t xml:space="preserve">sont régis par une fonction de production et une fonction de transfert : 
</w:t>
      </w:r>
    </w:p>
    <w:p>
      <w:pPr>
        <w:numPr>
          <w:ilvl w:val="0"/>
          <w:numId w:val="3"/>
        </w:numPr>
        <w:spacing w:after="0" w:before="0" w:line="336" w:lineRule="auto"/>
        <w:jc w:val="start"/>
      </w:pPr>
      <w:r>
        <w:rPr>
          <w:rFonts w:ascii="Canva Sans" w:hAnsi="Canva Sans" w:cs="Canva Sans" w:eastAsia="Canva Sans"/>
          <w:color w:val="000000"/>
          <w:sz w:val="24"/>
          <w:szCs w:val="24"/>
        </w:rPr>
        <w:t>La fonction de production détermine le volume d’eau de pluie et le répartit dans les différents réservoirs du modèle (volume d’infiltration et de ruissellement).</w:t>
      </w:r>
      <w:r>
        <w:rPr>
          <w:rFonts w:ascii="Canva Sans" w:hAnsi="Canva Sans" w:cs="Canva Sans" w:eastAsia="Canva Sans"/>
          <w:color w:val="000000"/>
          <w:sz w:val="24"/>
          <w:szCs w:val="24"/>
        </w:rPr>
        <w:t xml:space="preserve">
</w:t>
      </w:r>
    </w:p>
    <w:p>
      <w:pPr>
        <w:numPr>
          <w:ilvl w:val="0"/>
          <w:numId w:val="3"/>
        </w:numPr>
        <w:spacing w:after="0" w:before="0" w:line="336" w:lineRule="auto"/>
        <w:jc w:val="start"/>
      </w:pPr>
      <w:r>
        <w:rPr>
          <w:rFonts w:ascii="Canva Sans" w:hAnsi="Canva Sans" w:cs="Canva Sans" w:eastAsia="Canva Sans"/>
          <w:color w:val="000000"/>
          <w:sz w:val="24"/>
          <w:szCs w:val="24"/>
        </w:rPr>
        <w:t>La fonction de transfert détermine le déplacement de ces volumes jusqu’à l’exutoire.</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Le modèle MORDOR est d’autant plus complexe qu’il se divise par bandes d’altitude. Ces dernières sont chacunes forcées par une météo spécifique, ont leur propre fonction de production et leur réservoirs. L’ensemble de ces volumes d’eau sont ensuite rassemblés par la fonction de transfert qui calcule le débit total en sortie de bassin versant. </w:t>
      </w:r>
      <w:r>
        <w:rPr>
          <w:rFonts w:ascii="Canva Sans" w:hAnsi="Canva Sans" w:cs="Canva Sans" w:eastAsia="Canva Sans"/>
          <w:color w:val="000000"/>
          <w:sz w:val="24"/>
          <w:szCs w:val="24"/>
        </w:rPr>
        <w:t xml:space="preserve">Le modèle boucle un bilan de masse global et pour chaque réservoir.
</w:t>
      </w:r>
    </w:p>
    <w:p>
      <w:pPr>
        <w:spacing w:after="120" w:before="120"/>
        <w:jc w:val="center"/>
      </w:pPr>
      <w:r>
        <w:drawing>
          <wp:inline>
            <wp:extent cx="4066463" cy="5062045"/>
            <wp:docPr id="3" name="Drawing 3" descr="d82dd1ad84d54faaa4cdb81a91bfaeab.png"/>
            <wp:cNvGraphicFramePr>
              <a:graphicFrameLocks noChangeAspect="true"/>
            </wp:cNvGraphicFramePr>
            <a:graphic>
              <a:graphicData uri="http://schemas.openxmlformats.org/drawingml/2006/picture">
                <pic:pic xmlns:pic="http://schemas.openxmlformats.org/drawingml/2006/picture">
                  <pic:nvPicPr>
                    <pic:cNvPr id="0" name="Picture 3" descr="d82dd1ad84d54faaa4cdb81a91bfaeab.png"/>
                    <pic:cNvPicPr>
                      <a:picLocks noChangeAspect="true"/>
                    </pic:cNvPicPr>
                  </pic:nvPicPr>
                  <pic:blipFill>
                    <a:blip r:embed="rId7"/>
                    <a:stretch>
                      <a:fillRect/>
                    </a:stretch>
                  </pic:blipFill>
                  <pic:spPr>
                    <a:xfrm flipH="false" flipV="false">
                      <a:off x="0" y="0"/>
                      <a:ext cx="4066463" cy="5062045"/>
                    </a:xfrm>
                    <a:prstGeom prst="rect">
                      <a:avLst/>
                    </a:prstGeom>
                  </pic:spPr>
                </pic:pic>
              </a:graphicData>
            </a:graphic>
          </wp:inline>
        </w:drawing>
      </w:r>
    </w:p>
    <w:p>
      <w:pPr>
        <w:spacing w:after="120" w:before="120" w:line="336" w:lineRule="auto"/>
        <w:ind w:firstLine="0" w:start="0"/>
        <w:jc w:val="center"/>
      </w:pPr>
      <w:r>
        <w:rPr>
          <w:rFonts w:ascii="Canva Sans Italics" w:hAnsi="Canva Sans Italics" w:cs="Canva Sans Italics" w:eastAsia="Canva Sans Italics"/>
          <w:i/>
          <w:iCs/>
          <w:color w:val="000000"/>
          <w:sz w:val="18"/>
          <w:szCs w:val="18"/>
        </w:rPr>
        <w:t>Figure 4 : Schéma du fonctionnement du modèle à réservoir MORDOR-SD,  [R. Garçon, 1990 &amp; Garavaglia et al., 2017]</w:t>
      </w:r>
      <w:r>
        <w:rPr>
          <w:rFonts w:ascii="Canva Sans Italics" w:hAnsi="Canva Sans Italics" w:cs="Canva Sans Italics" w:eastAsia="Canva Sans Italics"/>
          <w:i/>
          <w:iC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Pour le forçage météo (les données en entrée du modèle), les séries de précipitation, de température et d’évapotranspiration potentielle sont nécessaires. En sortie du modèle on obtient une série de débit, avec comme variables intermédiaires l’évapotranspiration réélle les stocks et les flux. 
</w:t>
      </w:r>
    </w:p>
    <w:p>
      <w:pPr>
        <w:spacing w:after="120" w:before="120" w:line="336" w:lineRule="auto"/>
        <w:ind w:firstLine="0" w:start="0"/>
        <w:jc w:val="start"/>
      </w:pPr>
      <w:r>
        <w:rPr>
          <w:rFonts w:ascii="Canva Sans" w:hAnsi="Canva Sans" w:cs="Canva Sans" w:eastAsia="Canva Sans"/>
          <w:color w:val="000000"/>
          <w:sz w:val="24"/>
          <w:szCs w:val="24"/>
        </w:rPr>
        <w:t xml:space="preserve">La paramétrisation se fait sur  ~18 paramètres : 12 de pluie-débit et 6 de neige, par itération pour caler les débits simulés sur les débits observés.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Modèle physique - ParFlow-CLM - IGE
</w:t>
      </w:r>
    </w:p>
    <w:p>
      <w:pPr>
        <w:spacing w:after="120" w:before="120" w:line="336" w:lineRule="auto"/>
        <w:ind w:firstLine="0" w:start="0"/>
        <w:jc w:val="start"/>
      </w:pPr>
      <w:r>
        <w:rPr>
          <w:rFonts w:ascii="Canva Sans" w:hAnsi="Canva Sans" w:cs="Canva Sans" w:eastAsia="Canva Sans"/>
          <w:color w:val="000000"/>
          <w:sz w:val="24"/>
          <w:szCs w:val="24"/>
        </w:rPr>
        <w:t xml:space="preserve">Le modèle physique repose sur des équations locales de </w:t>
      </w:r>
      <w:r>
        <w:rPr>
          <w:rFonts w:ascii="Canva Sans" w:hAnsi="Canva Sans" w:cs="Canva Sans" w:eastAsia="Canva Sans"/>
          <w:color w:val="000000"/>
          <w:sz w:val="24"/>
          <w:szCs w:val="24"/>
        </w:rPr>
        <w:t>conservation (masse, énergie, …). Ce sont des modèles distribués qui découpent l’espace en maille</w:t>
      </w:r>
      <w:r>
        <w:rPr>
          <w:rFonts w:ascii="Canva Sans" w:hAnsi="Canva Sans" w:cs="Canva Sans" w:eastAsia="Canva Sans"/>
          <w:color w:val="000000"/>
          <w:sz w:val="24"/>
          <w:szCs w:val="24"/>
        </w:rPr>
        <w:t>s</w:t>
      </w:r>
      <w:r>
        <w:rPr>
          <w:rFonts w:ascii="Canva Sans" w:hAnsi="Canva Sans" w:cs="Canva Sans" w:eastAsia="Canva Sans"/>
          <w:color w:val="000000"/>
          <w:sz w:val="24"/>
          <w:szCs w:val="24"/>
        </w:rPr>
        <w:t xml:space="preserve"> élémentaire</w:t>
      </w:r>
      <w:r>
        <w:rPr>
          <w:rFonts w:ascii="Canva Sans" w:hAnsi="Canva Sans" w:cs="Canva Sans" w:eastAsia="Canva Sans"/>
          <w:color w:val="000000"/>
          <w:sz w:val="24"/>
          <w:szCs w:val="24"/>
        </w:rPr>
        <w:t>s</w:t>
      </w:r>
      <w:r>
        <w:rPr>
          <w:rFonts w:ascii="Canva Sans" w:hAnsi="Canva Sans" w:cs="Canva Sans" w:eastAsia="Canva Sans"/>
          <w:color w:val="000000"/>
          <w:sz w:val="24"/>
          <w:szCs w:val="24"/>
        </w:rPr>
        <w:t xml:space="preserve"> au sein desquelles les équations de conservations sont résolues. </w:t>
      </w:r>
      <w:r>
        <w:rPr>
          <w:rFonts w:ascii="Canva Sans" w:hAnsi="Canva Sans" w:cs="Canva Sans" w:eastAsia="Canva Sans"/>
          <w:color w:val="000000"/>
          <w:sz w:val="24"/>
          <w:szCs w:val="24"/>
        </w:rPr>
        <w:t>L</w:t>
      </w:r>
      <w:r>
        <w:rPr>
          <w:rFonts w:ascii="Canva Sans" w:hAnsi="Canva Sans" w:cs="Canva Sans" w:eastAsia="Canva Sans"/>
          <w:color w:val="000000"/>
          <w:sz w:val="24"/>
          <w:szCs w:val="24"/>
        </w:rPr>
        <w:t xml:space="preserve">e découpage </w:t>
      </w:r>
      <w:r>
        <w:rPr>
          <w:rFonts w:ascii="Canva Sans" w:hAnsi="Canva Sans" w:cs="Canva Sans" w:eastAsia="Canva Sans"/>
          <w:color w:val="000000"/>
          <w:sz w:val="24"/>
          <w:szCs w:val="24"/>
        </w:rPr>
        <w:t xml:space="preserve">du bassin versant </w:t>
      </w:r>
      <w:r>
        <w:rPr>
          <w:rFonts w:ascii="Canva Sans" w:hAnsi="Canva Sans" w:cs="Canva Sans" w:eastAsia="Canva Sans"/>
          <w:color w:val="000000"/>
          <w:sz w:val="24"/>
          <w:szCs w:val="24"/>
        </w:rPr>
        <w:t xml:space="preserve">suit en général la topographie du terrain et est plus raffiné en surface que en profondeur. </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Parflow-CLM est un couplage entre le modèle Parflow qui résoud un </w:t>
      </w:r>
      <w:r>
        <w:rPr>
          <w:rFonts w:ascii="Canva Sans Bold" w:hAnsi="Canva Sans Bold" w:cs="Canva Sans Bold" w:eastAsia="Canva Sans Bold"/>
          <w:b/>
          <w:bCs/>
          <w:color w:val="000000"/>
          <w:sz w:val="24"/>
          <w:szCs w:val="24"/>
        </w:rPr>
        <w:t>bilan d’eau mécanique</w:t>
      </w:r>
      <w:r>
        <w:rPr>
          <w:rFonts w:ascii="Canva Sans" w:hAnsi="Canva Sans" w:cs="Canva Sans" w:eastAsia="Canva Sans"/>
          <w:color w:val="000000"/>
          <w:sz w:val="24"/>
          <w:szCs w:val="24"/>
        </w:rPr>
        <w:t xml:space="preserve">, et le modèle CLM qui résoud les </w:t>
      </w:r>
      <w:r>
        <w:rPr>
          <w:rFonts w:ascii="Canva Sans Bold" w:hAnsi="Canva Sans Bold" w:cs="Canva Sans Bold" w:eastAsia="Canva Sans Bold"/>
          <w:b/>
          <w:bCs/>
          <w:color w:val="000000"/>
          <w:sz w:val="24"/>
          <w:szCs w:val="24"/>
        </w:rPr>
        <w:t>bilans radiatifs et d’énergie</w:t>
      </w:r>
      <w:r>
        <w:rPr>
          <w:rFonts w:ascii="Canva Sans" w:hAnsi="Canva Sans" w:cs="Canva Sans" w:eastAsia="Canva Sans"/>
          <w:color w:val="000000"/>
          <w:sz w:val="24"/>
          <w:szCs w:val="24"/>
        </w:rPr>
        <w:t xml:space="preserve"> entre le sol et l’atmosphère</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w:t>
      </w:r>
      <w:r>
        <w:rPr>
          <w:rFonts w:ascii="Canva Sans" w:hAnsi="Canva Sans" w:cs="Canva Sans" w:eastAsia="Canva Sans"/>
          <w:color w:val="000000"/>
          <w:sz w:val="24"/>
          <w:szCs w:val="24"/>
        </w:rPr>
        <w:t xml:space="preserve">
</w:t>
      </w:r>
    </w:p>
    <w:p>
      <w:pPr>
        <w:numPr>
          <w:ilvl w:val="0"/>
          <w:numId w:val="4"/>
        </w:numPr>
        <w:spacing w:after="0" w:before="0" w:line="336" w:lineRule="auto"/>
        <w:jc w:val="start"/>
      </w:pPr>
      <w:r>
        <w:rPr>
          <w:rFonts w:ascii="Canva Sans" w:hAnsi="Canva Sans" w:cs="Canva Sans" w:eastAsia="Canva Sans"/>
          <w:color w:val="000000"/>
          <w:sz w:val="24"/>
          <w:szCs w:val="24"/>
        </w:rPr>
        <w:t xml:space="preserve">La partie </w:t>
      </w:r>
      <w:r>
        <w:rPr>
          <w:rFonts w:ascii="Canva Sans Bold" w:hAnsi="Canva Sans Bold" w:cs="Canva Sans Bold" w:eastAsia="Canva Sans Bold"/>
          <w:b/>
          <w:bCs/>
          <w:color w:val="000000"/>
          <w:sz w:val="24"/>
          <w:szCs w:val="24"/>
        </w:rPr>
        <w:t>Parflow</w:t>
      </w:r>
      <w:r>
        <w:rPr>
          <w:rFonts w:ascii="Canva Sans" w:hAnsi="Canva Sans" w:cs="Canva Sans" w:eastAsia="Canva Sans"/>
          <w:color w:val="000000"/>
          <w:sz w:val="24"/>
          <w:szCs w:val="24"/>
        </w:rPr>
        <w:t xml:space="preserve"> résoud l’</w:t>
      </w:r>
      <w:r>
        <w:rPr>
          <w:rFonts w:ascii="Canva Sans" w:hAnsi="Canva Sans" w:cs="Canva Sans" w:eastAsia="Canva Sans"/>
          <w:color w:val="000000"/>
          <w:sz w:val="24"/>
          <w:szCs w:val="24"/>
        </w:rPr>
        <w:t>é</w:t>
      </w:r>
      <w:r>
        <w:rPr>
          <w:rFonts w:ascii="Canva Sans" w:hAnsi="Canva Sans" w:cs="Canva Sans" w:eastAsia="Canva Sans"/>
          <w:color w:val="000000"/>
          <w:sz w:val="24"/>
          <w:szCs w:val="24"/>
        </w:rPr>
        <w:t xml:space="preserve">quation de Richards pour le transfert </w:t>
      </w:r>
      <w:r>
        <w:rPr>
          <w:rFonts w:ascii="Canva Sans" w:hAnsi="Canva Sans" w:cs="Canva Sans" w:eastAsia="Canva Sans"/>
          <w:color w:val="000000"/>
          <w:sz w:val="24"/>
          <w:szCs w:val="24"/>
        </w:rPr>
        <w:t xml:space="preserve">d’eau </w:t>
      </w:r>
      <w:r>
        <w:rPr>
          <w:rFonts w:ascii="Canva Sans" w:hAnsi="Canva Sans" w:cs="Canva Sans" w:eastAsia="Canva Sans"/>
          <w:color w:val="000000"/>
          <w:sz w:val="24"/>
          <w:szCs w:val="24"/>
        </w:rPr>
        <w:t>dans les sols, qu’ils soient saturés ou pas</w:t>
      </w:r>
      <w:r>
        <w:rPr>
          <w:rFonts w:ascii="Canva Sans" w:hAnsi="Canva Sans" w:cs="Canva Sans" w:eastAsia="Canva Sans"/>
          <w:color w:val="000000"/>
          <w:sz w:val="24"/>
          <w:szCs w:val="24"/>
        </w:rPr>
        <w:t xml:space="preserve"> ; ainsi que</w:t>
      </w:r>
      <w:r>
        <w:rPr>
          <w:rFonts w:ascii="Canva Sans" w:hAnsi="Canva Sans" w:cs="Canva Sans" w:eastAsia="Canva Sans"/>
          <w:color w:val="000000"/>
          <w:sz w:val="24"/>
          <w:szCs w:val="24"/>
        </w:rPr>
        <w:t xml:space="preserve"> l’équation de l’onde cinématique à la surface pour les eaux de ruissellement sur les versant et dans la rivière. </w:t>
      </w:r>
      <w:r>
        <w:rPr>
          <w:rFonts w:ascii="Canva Sans" w:hAnsi="Canva Sans" w:cs="Canva Sans" w:eastAsia="Canva Sans"/>
          <w:color w:val="000000"/>
          <w:sz w:val="24"/>
          <w:szCs w:val="24"/>
        </w:rPr>
        <w:t xml:space="preserve">
</w:t>
      </w:r>
    </w:p>
    <w:p>
      <w:pPr>
        <w:numPr>
          <w:ilvl w:val="0"/>
          <w:numId w:val="4"/>
        </w:numPr>
        <w:spacing w:after="0" w:before="0" w:line="336" w:lineRule="auto"/>
        <w:jc w:val="start"/>
      </w:pPr>
      <w:r>
        <w:rPr>
          <w:rFonts w:ascii="Canva Sans" w:hAnsi="Canva Sans" w:cs="Canva Sans" w:eastAsia="Canva Sans"/>
          <w:color w:val="000000"/>
          <w:sz w:val="24"/>
          <w:szCs w:val="24"/>
        </w:rPr>
        <w:t xml:space="preserve">La partie </w:t>
      </w:r>
      <w:r>
        <w:rPr>
          <w:rFonts w:ascii="Canva Sans Bold" w:hAnsi="Canva Sans Bold" w:cs="Canva Sans Bold" w:eastAsia="Canva Sans Bold"/>
          <w:b/>
          <w:bCs/>
          <w:color w:val="000000"/>
          <w:sz w:val="24"/>
          <w:szCs w:val="24"/>
        </w:rPr>
        <w:t>CLM</w:t>
      </w:r>
      <w:r>
        <w:rPr>
          <w:rFonts w:ascii="Canva Sans" w:hAnsi="Canva Sans" w:cs="Canva Sans" w:eastAsia="Canva Sans"/>
          <w:color w:val="000000"/>
          <w:sz w:val="24"/>
          <w:szCs w:val="24"/>
        </w:rPr>
        <w:t xml:space="preserve"> prend en compte la végétation et calcul</w:t>
      </w:r>
      <w:r>
        <w:rPr>
          <w:rFonts w:ascii="Canva Sans" w:hAnsi="Canva Sans" w:cs="Canva Sans" w:eastAsia="Canva Sans"/>
          <w:color w:val="000000"/>
          <w:sz w:val="24"/>
          <w:szCs w:val="24"/>
        </w:rPr>
        <w:t>e</w:t>
      </w:r>
      <w:r>
        <w:rPr>
          <w:rFonts w:ascii="Canva Sans" w:hAnsi="Canva Sans" w:cs="Canva Sans" w:eastAsia="Canva Sans"/>
          <w:color w:val="000000"/>
          <w:sz w:val="24"/>
          <w:szCs w:val="24"/>
        </w:rPr>
        <w:t xml:space="preserve"> l’évapotranspiration pour chaque maille de surface, celle-ci étant extraite des mailles de la zone racinaire, comme une perte pour les équations de Richards.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Ce</w:t>
      </w:r>
      <w:r>
        <w:rPr>
          <w:rFonts w:ascii="Canva Sans" w:hAnsi="Canva Sans" w:cs="Canva Sans" w:eastAsia="Canva Sans"/>
          <w:color w:val="000000"/>
          <w:sz w:val="24"/>
          <w:szCs w:val="24"/>
        </w:rPr>
        <w:t xml:space="preserve"> couplage se fait entre chaque pas de temps, une résolution du bilan d’énergie par CLM permet de lancer la résolution des équation de Richards par ParFlow avec des conditions spécifiques.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L</w:t>
      </w:r>
      <w:r>
        <w:rPr>
          <w:rFonts w:ascii="Canva Sans" w:hAnsi="Canva Sans" w:cs="Canva Sans" w:eastAsia="Canva Sans"/>
          <w:color w:val="000000"/>
          <w:sz w:val="24"/>
          <w:szCs w:val="24"/>
        </w:rPr>
        <w:t xml:space="preserve">a figure </w:t>
      </w:r>
      <w:r>
        <w:rPr>
          <w:rFonts w:ascii="Canva Sans" w:hAnsi="Canva Sans" w:cs="Canva Sans" w:eastAsia="Canva Sans"/>
          <w:color w:val="000000"/>
          <w:sz w:val="24"/>
          <w:szCs w:val="24"/>
        </w:rPr>
        <w:t>5</w:t>
      </w:r>
      <w:r>
        <w:rPr>
          <w:rFonts w:ascii="Canva Sans" w:hAnsi="Canva Sans" w:cs="Canva Sans" w:eastAsia="Canva Sans"/>
          <w:color w:val="000000"/>
          <w:sz w:val="24"/>
          <w:szCs w:val="24"/>
        </w:rPr>
        <w:t xml:space="preserve"> présente un exemple de bassin versant avec les différents éléments structurants du modèle Parflow-CLM (le domaine, le type de couvert, le maillage, les réservoirs, le forçage, et les processus). </w:t>
      </w:r>
      <w:r>
        <w:rPr>
          <w:rFonts w:ascii="Canva Sans" w:hAnsi="Canva Sans" w:cs="Canva Sans" w:eastAsia="Canva Sans"/>
          <w:color w:val="000000"/>
          <w:sz w:val="24"/>
          <w:szCs w:val="24"/>
        </w:rPr>
        <w:t xml:space="preserve">
</w:t>
      </w:r>
    </w:p>
    <w:p>
      <w:pPr>
        <w:spacing w:after="120" w:before="120"/>
        <w:jc w:val="center"/>
      </w:pPr>
      <w:r>
        <w:drawing>
          <wp:inline>
            <wp:extent cx="4894991" cy="3299223"/>
            <wp:docPr id="4" name="Drawing 4" descr="ef5b6240088e78beafcfb8dbe33b8ff8.png"/>
            <wp:cNvGraphicFramePr>
              <a:graphicFrameLocks noChangeAspect="true"/>
            </wp:cNvGraphicFramePr>
            <a:graphic>
              <a:graphicData uri="http://schemas.openxmlformats.org/drawingml/2006/picture">
                <pic:pic xmlns:pic="http://schemas.openxmlformats.org/drawingml/2006/picture">
                  <pic:nvPicPr>
                    <pic:cNvPr id="0" name="Picture 4" descr="ef5b6240088e78beafcfb8dbe33b8ff8.png"/>
                    <pic:cNvPicPr>
                      <a:picLocks noChangeAspect="true"/>
                    </pic:cNvPicPr>
                  </pic:nvPicPr>
                  <pic:blipFill>
                    <a:blip r:embed="rId8"/>
                    <a:stretch>
                      <a:fillRect/>
                    </a:stretch>
                  </pic:blipFill>
                  <pic:spPr>
                    <a:xfrm flipH="false" flipV="false">
                      <a:off x="0" y="0"/>
                      <a:ext cx="4894991" cy="3299223"/>
                    </a:xfrm>
                    <a:prstGeom prst="rect">
                      <a:avLst/>
                    </a:prstGeom>
                  </pic:spPr>
                </pic:pic>
              </a:graphicData>
            </a:graphic>
          </wp:inline>
        </w:drawing>
      </w:r>
    </w:p>
    <w:p>
      <w:pPr>
        <w:spacing w:after="120" w:before="120" w:line="336" w:lineRule="auto"/>
        <w:ind w:firstLine="0" w:start="0"/>
        <w:jc w:val="center"/>
      </w:pPr>
      <w:r>
        <w:rPr>
          <w:rFonts w:ascii="Canva Sans Italics" w:hAnsi="Canva Sans Italics" w:cs="Canva Sans Italics" w:eastAsia="Canva Sans Italics"/>
          <w:i/>
          <w:iCs/>
          <w:color w:val="000000"/>
          <w:sz w:val="18"/>
          <w:szCs w:val="18"/>
        </w:rPr>
        <w:t>Figure 5 : Schéma de la représentation du modèle Parflow-CLM</w:t>
      </w:r>
      <w:r>
        <w:rPr>
          <w:rFonts w:ascii="Canva Sans Italics" w:hAnsi="Canva Sans Italics" w:cs="Canva Sans Italics" w:eastAsia="Canva Sans Italics"/>
          <w:i/>
          <w:iCs/>
          <w:color w:val="000000"/>
          <w:sz w:val="18"/>
          <w:szCs w:val="1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Ce modèle se base sur une paramétrisation in-situ. Les paramètres sont mesurables et mesurés lorsque c’est possible </w:t>
      </w:r>
      <w:r>
        <w:rPr>
          <w:rFonts w:ascii="Canva Sans" w:hAnsi="Canva Sans" w:cs="Canva Sans" w:eastAsia="Canva Sans"/>
          <w:color w:val="000000"/>
          <w:sz w:val="24"/>
          <w:szCs w:val="24"/>
        </w:rPr>
        <w:t>et/ou nécessaire</w:t>
      </w:r>
      <w:r>
        <w:rPr>
          <w:rFonts w:ascii="Canva Sans" w:hAnsi="Canva Sans" w:cs="Canva Sans" w:eastAsia="Canva Sans"/>
          <w:color w:val="000000"/>
          <w:sz w:val="24"/>
          <w:szCs w:val="24"/>
        </w:rPr>
        <w:t xml:space="preserve">. Cette paramétrisation permet entre autre de caractériser spatialement le sous-sol, avec sa porosité et sa perméabilité qui représente sa capacité d’infiltration. Elle permet également d’identifier les types de végétation et d’usage des sols afin de les caractériser spatialement. 
</w:t>
      </w:r>
    </w:p>
    <w:p>
      <w:pPr>
        <w:spacing w:after="120" w:before="120" w:line="336" w:lineRule="auto"/>
        <w:ind w:firstLine="0" w:start="0"/>
        <w:jc w:val="start"/>
      </w:pPr>
      <w:r>
        <w:rPr>
          <w:rFonts w:ascii="Canva Sans" w:hAnsi="Canva Sans" w:cs="Canva Sans" w:eastAsia="Canva Sans"/>
          <w:color w:val="000000"/>
          <w:sz w:val="24"/>
          <w:szCs w:val="24"/>
        </w:rPr>
        <w:t xml:space="preserve">Cette paramétrisation spatiale demande beaucoup de données sur la végétation/usage des sols et une grande connaissance du sous-sol du bassin versant souvent difficlement accessible. 
</w:t>
      </w:r>
    </w:p>
    <w:p>
      <w:pPr>
        <w:spacing w:after="120" w:before="120" w:line="336" w:lineRule="auto"/>
        <w:ind w:firstLine="0" w:start="0"/>
        <w:jc w:val="start"/>
      </w:pPr>
      <w:r>
        <w:rPr>
          <w:rFonts w:ascii="Canva Sans Bold" w:hAnsi="Canva Sans Bold" w:cs="Canva Sans Bold" w:eastAsia="Canva Sans Bold"/>
          <w:b/>
          <w:bCs/>
          <w:color w:val="000000"/>
          <w:sz w:val="64"/>
          <w:szCs w:val="64"/>
        </w:rPr>
        <w:t>Résumé</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Les différences de modèles : </w:t>
      </w:r>
      <w:r>
        <w:rPr>
          <w:rFonts w:ascii="Canva Sans" w:hAnsi="Canva Sans" w:cs="Canva Sans" w:eastAsia="Canva Sans"/>
          <w:color w:val="000000"/>
          <w:sz w:val="24"/>
          <w:szCs w:val="24"/>
        </w:rPr>
        <w:t xml:space="preserve">
</w:t>
      </w:r>
    </w:p>
    <w:p>
      <w:pPr>
        <w:numPr>
          <w:ilvl w:val="0"/>
          <w:numId w:val="5"/>
        </w:numPr>
        <w:spacing w:after="0" w:before="0" w:line="336" w:lineRule="auto"/>
        <w:jc w:val="start"/>
      </w:pPr>
      <w:r>
        <w:rPr>
          <w:rFonts w:ascii="Canva Sans" w:hAnsi="Canva Sans" w:cs="Canva Sans" w:eastAsia="Canva Sans"/>
          <w:color w:val="000000"/>
          <w:sz w:val="24"/>
          <w:szCs w:val="24"/>
        </w:rPr>
        <w:t>MORDOR a été créé de manière opérationnelle pour reconstituer des débits en exutoire de bassin versant en fonction des forçages météo.</w:t>
      </w:r>
      <w:r>
        <w:rPr>
          <w:rFonts w:ascii="Canva Sans" w:hAnsi="Canva Sans" w:cs="Canva Sans" w:eastAsia="Canva Sans"/>
          <w:color w:val="000000"/>
          <w:sz w:val="24"/>
          <w:szCs w:val="24"/>
        </w:rPr>
        <w:t xml:space="preserve">
</w:t>
      </w:r>
    </w:p>
    <w:p>
      <w:pPr>
        <w:numPr>
          <w:ilvl w:val="0"/>
          <w:numId w:val="5"/>
        </w:numPr>
        <w:spacing w:after="0" w:before="0" w:line="336" w:lineRule="auto"/>
        <w:jc w:val="start"/>
      </w:pPr>
      <w:r>
        <w:rPr>
          <w:rFonts w:ascii="Canva Sans" w:hAnsi="Canva Sans" w:cs="Canva Sans" w:eastAsia="Canva Sans"/>
          <w:color w:val="000000"/>
          <w:sz w:val="24"/>
          <w:szCs w:val="24"/>
        </w:rPr>
        <w:t xml:space="preserve">ParFlow-CLM a pour objectif de résoudre et d’expliquer tous les processus physiques et écologiques ayant lieu sur un territoire en fonction des forçages météo.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Points forts parflow : 
</w:t>
      </w:r>
    </w:p>
    <w:p>
      <w:pPr>
        <w:numPr>
          <w:ilvl w:val="0"/>
          <w:numId w:val="6"/>
        </w:numPr>
        <w:spacing w:after="0" w:before="0" w:line="336" w:lineRule="auto"/>
        <w:jc w:val="start"/>
      </w:pPr>
      <w:r>
        <w:rPr>
          <w:rFonts w:ascii="Canva Sans" w:hAnsi="Canva Sans" w:cs="Canva Sans" w:eastAsia="Canva Sans"/>
          <w:color w:val="000000"/>
          <w:sz w:val="24"/>
          <w:szCs w:val="24"/>
        </w:rPr>
        <w:t>Résolution réaliste et spatialisée des processus intervenant dans le cycle de l’eau sur un bassin versant.</w:t>
      </w:r>
      <w:r>
        <w:rPr>
          <w:rFonts w:ascii="Canva Sans" w:hAnsi="Canva Sans" w:cs="Canva Sans" w:eastAsia="Canva Sans"/>
          <w:color w:val="000000"/>
          <w:sz w:val="24"/>
          <w:szCs w:val="24"/>
        </w:rPr>
        <w:t xml:space="preserve">
</w:t>
      </w:r>
    </w:p>
    <w:p>
      <w:pPr>
        <w:numPr>
          <w:ilvl w:val="0"/>
          <w:numId w:val="6"/>
        </w:numPr>
        <w:spacing w:after="0" w:before="0" w:line="336" w:lineRule="auto"/>
        <w:jc w:val="start"/>
      </w:pPr>
      <w:r>
        <w:rPr>
          <w:rFonts w:ascii="Canva Sans" w:hAnsi="Canva Sans" w:cs="Canva Sans" w:eastAsia="Canva Sans"/>
          <w:color w:val="000000"/>
          <w:sz w:val="24"/>
          <w:szCs w:val="24"/>
        </w:rPr>
        <w:t>Permet de comprendre  l’ensemble d</w:t>
      </w:r>
      <w:r>
        <w:rPr>
          <w:rFonts w:ascii="Canva Sans" w:hAnsi="Canva Sans" w:cs="Canva Sans" w:eastAsia="Canva Sans"/>
          <w:color w:val="000000"/>
          <w:sz w:val="24"/>
          <w:szCs w:val="24"/>
        </w:rPr>
        <w:t>es processus physique et écologique sur un territoire et leur liens entre-eux (quel processus impact lequel etc).</w:t>
      </w:r>
      <w:r>
        <w:rPr>
          <w:rFonts w:ascii="Canva Sans" w:hAnsi="Canva Sans" w:cs="Canva Sans" w:eastAsia="Canva Sans"/>
          <w:color w:val="000000"/>
          <w:sz w:val="24"/>
          <w:szCs w:val="24"/>
        </w:rPr>
        <w:t xml:space="preserve">
</w:t>
      </w:r>
    </w:p>
    <w:p>
      <w:pPr>
        <w:numPr>
          <w:ilvl w:val="0"/>
          <w:numId w:val="6"/>
        </w:numPr>
        <w:spacing w:after="0" w:before="0" w:line="336" w:lineRule="auto"/>
        <w:jc w:val="start"/>
      </w:pPr>
      <w:r>
        <w:rPr>
          <w:rFonts w:ascii="Canva Sans" w:hAnsi="Canva Sans" w:cs="Canva Sans" w:eastAsia="Canva Sans"/>
          <w:color w:val="000000"/>
          <w:sz w:val="24"/>
          <w:szCs w:val="24"/>
        </w:rPr>
        <w:t xml:space="preserve">Modèle complexe pouvant être utilisé de manière plus simplifiée.
</w:t>
      </w:r>
    </w:p>
    <w:p>
      <w:pPr>
        <w:spacing w:after="120" w:before="120" w:line="336" w:lineRule="auto"/>
        <w:ind w:firstLine="0" w:start="0"/>
        <w:jc w:val="start"/>
      </w:pPr>
      <w:r>
        <w:rPr>
          <w:rFonts w:ascii="Canva Sans" w:hAnsi="Canva Sans" w:cs="Canva Sans" w:eastAsia="Canva Sans"/>
          <w:color w:val="000000"/>
          <w:sz w:val="24"/>
          <w:szCs w:val="24"/>
        </w:rPr>
        <w:t xml:space="preserve">Points faibles Parflow : </w:t>
      </w:r>
      <w:r>
        <w:rPr>
          <w:rFonts w:ascii="Canva Sans" w:hAnsi="Canva Sans" w:cs="Canva Sans" w:eastAsia="Canva Sans"/>
          <w:color w:val="000000"/>
          <w:sz w:val="24"/>
          <w:szCs w:val="24"/>
        </w:rPr>
        <w:t xml:space="preserve">
</w:t>
      </w:r>
    </w:p>
    <w:p>
      <w:pPr>
        <w:numPr>
          <w:ilvl w:val="0"/>
          <w:numId w:val="7"/>
        </w:numPr>
        <w:spacing w:after="0" w:before="0" w:line="336" w:lineRule="auto"/>
        <w:jc w:val="start"/>
      </w:pPr>
      <w:r>
        <w:rPr>
          <w:rFonts w:ascii="Canva Sans" w:hAnsi="Canva Sans" w:cs="Canva Sans" w:eastAsia="Canva Sans"/>
          <w:color w:val="000000"/>
          <w:sz w:val="24"/>
          <w:szCs w:val="24"/>
        </w:rPr>
        <w:t>Beaucoup de données in-situ nécessaires pour les paramètres et le forçage météo.</w:t>
      </w:r>
      <w:r>
        <w:rPr>
          <w:rFonts w:ascii="Canva Sans" w:hAnsi="Canva Sans" w:cs="Canva Sans" w:eastAsia="Canva Sans"/>
          <w:color w:val="000000"/>
          <w:sz w:val="24"/>
          <w:szCs w:val="24"/>
        </w:rPr>
        <w:t xml:space="preserve">
</w:t>
      </w:r>
    </w:p>
    <w:p>
      <w:pPr>
        <w:numPr>
          <w:ilvl w:val="0"/>
          <w:numId w:val="7"/>
        </w:numPr>
        <w:spacing w:after="0" w:before="0" w:line="336" w:lineRule="auto"/>
        <w:jc w:val="start"/>
      </w:pPr>
      <w:r>
        <w:rPr>
          <w:rFonts w:ascii="Canva Sans" w:hAnsi="Canva Sans" w:cs="Canva Sans" w:eastAsia="Canva Sans"/>
          <w:color w:val="000000"/>
          <w:sz w:val="24"/>
          <w:szCs w:val="24"/>
        </w:rPr>
        <w:t xml:space="preserve">Difficilement transposable sur d’autre bassin versant </w:t>
      </w:r>
      <w:r>
        <w:rPr>
          <w:rFonts w:ascii="Canva Sans" w:hAnsi="Canva Sans" w:cs="Canva Sans" w:eastAsia="Canva Sans"/>
          <w:color w:val="000000"/>
          <w:sz w:val="24"/>
          <w:szCs w:val="24"/>
        </w:rPr>
        <w:t>(chaque cas d’étude demande du temps, des données et de l’expertise)</w:t>
      </w: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w:t>
      </w:r>
    </w:p>
    <w:p>
      <w:pPr>
        <w:numPr>
          <w:ilvl w:val="0"/>
          <w:numId w:val="7"/>
        </w:numPr>
        <w:spacing w:after="0" w:before="0" w:line="336" w:lineRule="auto"/>
        <w:jc w:val="start"/>
      </w:pPr>
      <w:r>
        <w:rPr>
          <w:rFonts w:ascii="Canva Sans" w:hAnsi="Canva Sans" w:cs="Canva Sans" w:eastAsia="Canva Sans"/>
          <w:color w:val="000000"/>
          <w:sz w:val="24"/>
          <w:szCs w:val="24"/>
        </w:rPr>
        <w:t>E</w:t>
      </w:r>
      <w:r>
        <w:rPr>
          <w:rFonts w:ascii="Canva Sans" w:hAnsi="Canva Sans" w:cs="Canva Sans" w:eastAsia="Canva Sans"/>
          <w:color w:val="000000"/>
          <w:sz w:val="24"/>
          <w:szCs w:val="24"/>
        </w:rPr>
        <w:t>nergivore en temps de calcul.</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Point forts Mordor
</w:t>
      </w:r>
    </w:p>
    <w:p>
      <w:pPr>
        <w:numPr>
          <w:ilvl w:val="0"/>
          <w:numId w:val="8"/>
        </w:numPr>
        <w:spacing w:after="0" w:before="0" w:line="336" w:lineRule="auto"/>
        <w:jc w:val="start"/>
      </w:pPr>
      <w:r>
        <w:rPr>
          <w:rFonts w:ascii="Canva Sans" w:hAnsi="Canva Sans" w:cs="Canva Sans" w:eastAsia="Canva Sans"/>
          <w:color w:val="000000"/>
          <w:sz w:val="24"/>
          <w:szCs w:val="24"/>
        </w:rPr>
        <w:t>Représente bien les débits rééls.</w:t>
      </w:r>
      <w:r>
        <w:rPr>
          <w:rFonts w:ascii="Canva Sans" w:hAnsi="Canva Sans" w:cs="Canva Sans" w:eastAsia="Canva Sans"/>
          <w:color w:val="000000"/>
          <w:sz w:val="24"/>
          <w:szCs w:val="24"/>
        </w:rPr>
        <w:t xml:space="preserve">
</w:t>
      </w:r>
    </w:p>
    <w:p>
      <w:pPr>
        <w:numPr>
          <w:ilvl w:val="0"/>
          <w:numId w:val="8"/>
        </w:numPr>
        <w:spacing w:after="0" w:before="0" w:line="336" w:lineRule="auto"/>
        <w:jc w:val="start"/>
      </w:pPr>
      <w:r>
        <w:rPr>
          <w:rFonts w:ascii="Canva Sans" w:hAnsi="Canva Sans" w:cs="Canva Sans" w:eastAsia="Canva Sans"/>
          <w:color w:val="000000"/>
          <w:sz w:val="24"/>
          <w:szCs w:val="24"/>
        </w:rPr>
        <w:t xml:space="preserve">Nécessite peu de données in-situ seulement météo (température, précip) et débits obs.
</w:t>
      </w:r>
    </w:p>
    <w:p>
      <w:pPr>
        <w:numPr>
          <w:ilvl w:val="0"/>
          <w:numId w:val="8"/>
        </w:numPr>
        <w:spacing w:after="0" w:before="0" w:line="336" w:lineRule="auto"/>
        <w:jc w:val="start"/>
      </w:pPr>
      <w:r>
        <w:rPr>
          <w:rFonts w:ascii="Canva Sans" w:hAnsi="Canva Sans" w:cs="Canva Sans" w:eastAsia="Canva Sans"/>
          <w:color w:val="000000"/>
          <w:sz w:val="24"/>
          <w:szCs w:val="24"/>
        </w:rPr>
        <w:t xml:space="preserve">Facilement transposable.
</w:t>
      </w:r>
    </w:p>
    <w:p>
      <w:pPr>
        <w:spacing w:after="120" w:before="120" w:line="336" w:lineRule="auto"/>
        <w:ind w:firstLine="0" w:start="0"/>
        <w:jc w:val="start"/>
      </w:pPr>
      <w:r>
        <w:rPr>
          <w:rFonts w:ascii="Canva Sans" w:hAnsi="Canva Sans" w:cs="Canva Sans" w:eastAsia="Canva Sans"/>
          <w:color w:val="000000"/>
          <w:sz w:val="24"/>
          <w:szCs w:val="24"/>
        </w:rPr>
        <w:t>Points faibles MORDOR</w:t>
      </w:r>
      <w:r>
        <w:rPr>
          <w:rFonts w:ascii="Canva Sans" w:hAnsi="Canva Sans" w:cs="Canva Sans" w:eastAsia="Canva Sans"/>
          <w:color w:val="000000"/>
          <w:sz w:val="24"/>
          <w:szCs w:val="24"/>
        </w:rPr>
        <w:t xml:space="preserve">
</w:t>
      </w:r>
    </w:p>
    <w:p>
      <w:pPr>
        <w:numPr>
          <w:ilvl w:val="0"/>
          <w:numId w:val="9"/>
        </w:numPr>
        <w:spacing w:after="0" w:before="0" w:line="336" w:lineRule="auto"/>
        <w:jc w:val="start"/>
      </w:pPr>
      <w:r>
        <w:rPr>
          <w:rFonts w:ascii="Canva Sans" w:hAnsi="Canva Sans" w:cs="Canva Sans" w:eastAsia="Canva Sans"/>
          <w:color w:val="000000"/>
          <w:sz w:val="24"/>
          <w:szCs w:val="24"/>
        </w:rPr>
        <w:t xml:space="preserve">Les paramètres </w:t>
      </w:r>
      <w:r>
        <w:rPr>
          <w:rFonts w:ascii="Canva Sans" w:hAnsi="Canva Sans" w:cs="Canva Sans" w:eastAsia="Canva Sans"/>
          <w:color w:val="000000"/>
          <w:sz w:val="24"/>
          <w:szCs w:val="24"/>
        </w:rPr>
        <w:t>et les sorties du modèle, part le débit, sont difficilement comparable</w:t>
      </w:r>
      <w:r>
        <w:rPr>
          <w:rFonts w:ascii="Canva Sans" w:hAnsi="Canva Sans" w:cs="Canva Sans" w:eastAsia="Canva Sans"/>
          <w:color w:val="000000"/>
          <w:sz w:val="24"/>
          <w:szCs w:val="24"/>
        </w:rPr>
        <w:t>s</w:t>
      </w:r>
      <w:r>
        <w:rPr>
          <w:rFonts w:ascii="Canva Sans" w:hAnsi="Canva Sans" w:cs="Canva Sans" w:eastAsia="Canva Sans"/>
          <w:color w:val="000000"/>
          <w:sz w:val="24"/>
          <w:szCs w:val="24"/>
        </w:rPr>
        <w:t xml:space="preserve"> à des observations</w:t>
      </w:r>
      <w:r>
        <w:rPr>
          <w:rFonts w:ascii="Canva Sans" w:hAnsi="Canva Sans" w:cs="Canva Sans" w:eastAsia="Canva Sans"/>
          <w:color w:val="000000"/>
          <w:sz w:val="24"/>
          <w:szCs w:val="24"/>
        </w:rPr>
        <w:t>.</w:t>
      </w: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Bold Italics">
    <w:panose1 w:val="020B0704020202090204"/>
    <w:charset w:characterSet="1"/>
    <w:embedBoldItalic r:id="rId2"/>
  </w:font>
  <w:font w:name="Arimo Italics">
    <w:panose1 w:val="020B0604020202090204"/>
    <w:charset w:characterSet="1"/>
    <w:embedItalic r:id="rId3"/>
  </w:font>
  <w:font w:name="Arimo">
    <w:panose1 w:val="020B0604020202020204"/>
    <w:charset w:characterSet="1"/>
    <w:embedRegular r:id="rId4"/>
  </w:font>
  <w:font w:name="Canva Sans Bold">
    <w:panose1 w:val="020B0803030501040103"/>
    <w:charset w:characterSet="1"/>
    <w:embedBold r:id="rId5"/>
  </w:font>
  <w:font w:name="Canva Sans Italics">
    <w:panose1 w:val="020B0503030501040103"/>
    <w:charset w:characterSet="1"/>
    <w:embedItalic r:id="rId6"/>
  </w:font>
  <w:font w:name="Canva Sans">
    <w:panose1 w:val="020B0503030501040103"/>
    <w:charset w:characterSet="1"/>
    <w:embedRegular r:id="rId7"/>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numbering.xml" Type="http://schemas.openxmlformats.org/officeDocument/2006/relationships/numbering"/><Relationship Id="rId5" Target="media/image2.jpe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2025-07-09T15:38:28Z</dcterms:created>
  <dc:creator>Apache POI</dc:creator>
</cp:coreProperties>
</file>