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667C8">
      <w:pPr>
        <w:keepNext w:val="0"/>
        <w:keepLines w:val="0"/>
        <w:pageBreakBefore w:val="0"/>
        <w:widowControl w:val="0"/>
        <w:kinsoku/>
        <w:wordWrap/>
        <w:overflowPunct/>
        <w:topLinePunct w:val="0"/>
        <w:autoSpaceDE/>
        <w:autoSpaceDN/>
        <w:bidi w:val="0"/>
        <w:adjustRightInd/>
        <w:snapToGrid w:val="0"/>
        <w:spacing w:line="640" w:lineRule="exact"/>
        <w:jc w:val="center"/>
        <w:textAlignment w:val="baseline"/>
        <w:rPr>
          <w:rFonts w:hint="eastAsia" w:ascii="Times New Roman Bold" w:hAnsi="Times New Roman Bold" w:eastAsia="方正小标宋简体" w:cs="方正小标宋简体"/>
          <w:b/>
          <w:bCs/>
          <w:kern w:val="21"/>
          <w:sz w:val="44"/>
          <w:szCs w:val="44"/>
          <w:highlight w:val="none"/>
          <w:lang w:eastAsia="zh-Hans"/>
        </w:rPr>
      </w:pPr>
      <w:r>
        <w:rPr>
          <w:rFonts w:hint="eastAsia" w:ascii="Times New Roman Bold" w:hAnsi="Times New Roman Bold" w:eastAsia="方正小标宋简体" w:cs="方正小标宋简体"/>
          <w:b/>
          <w:bCs/>
          <w:spacing w:val="-6"/>
          <w:kern w:val="21"/>
          <w:sz w:val="44"/>
          <w:szCs w:val="44"/>
          <w:highlight w:val="none"/>
          <w:lang w:eastAsia="zh-Hans"/>
        </w:rPr>
        <w:t>International Track — Topics &amp; Rules</w:t>
      </w:r>
    </w:p>
    <w:p w14:paraId="2E54CE7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方正仿宋_GB2312" w:cs="Times New Roman"/>
          <w:bCs/>
          <w:kern w:val="0"/>
          <w:sz w:val="30"/>
          <w:szCs w:val="30"/>
          <w:highlight w:val="none"/>
          <w:lang w:val="en-US" w:eastAsia="zh-CN"/>
        </w:rPr>
      </w:pPr>
    </w:p>
    <w:p w14:paraId="5CAA5BEB">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1. Theme</w:t>
      </w:r>
    </w:p>
    <w:p w14:paraId="6BED7C2A">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The theme of this year’s International Track is “AI as a Financial Participant”: each team designs and builds an AI agent capable of completing real tasks in a financial scenario. Choose one of the six topics below.</w:t>
      </w:r>
    </w:p>
    <w:p w14:paraId="5076F41F">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2. Topics (Choose One of Six)</w:t>
      </w:r>
    </w:p>
    <w:p w14:paraId="22181211">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•Topic A | Personal Finance Assistant: An intelligent assistant for individual users, capable of smart budgeting, bill analysis, and spending insights, delivering actionable recommendations based on the user’s income and expenses.</w:t>
      </w:r>
    </w:p>
    <w:p w14:paraId="3FC83A33">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•Topic B | Wealth Advisory Agent: An agent that mirrors a professional wealth-advisory workflow — product comparison, client risk profiling, and advisory dialogue — producing compliant and explainable asset-allocation suggestions.</w:t>
      </w:r>
    </w:p>
    <w:p w14:paraId="26ECFECD">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•Topic C | Cross-border &amp; Student Finance Assistant: Solutions addressing real financial pain points of international students and cross-border users, such as remittances, tuition payments, credit building, and multi-currency management.</w:t>
      </w:r>
    </w:p>
    <w:p w14:paraId="6660578C">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•Topic D | Insurance Assistant: An insurance-scenario assistant capable of policy Q&amp;A, coverage-gap analysis, and claims guidance, helping users understand and manage their insurance portfolios.</w:t>
      </w:r>
    </w:p>
    <w:p w14:paraId="5F85B790">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•Topic E | SME Finance Copilot: A finance copilot for small-business owners, offering financing-option matching, cash-flow management and alerts, and business financial analysis.</w:t>
      </w:r>
    </w:p>
    <w:p w14:paraId="466ADE97">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•Topic F | Agent Wallet — Autonomous On-chain Wallet: The track’s original on-chain topic — build an AI wallet agent that autonomously executes on-chain operations (asset management, transaction execution, risk control). Ambitious ideas are encouraged, with a 0–5 point challenge bonus.</w:t>
      </w:r>
    </w:p>
    <w:p w14:paraId="56BABCBE">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3. Unified Requirements and Scoring</w:t>
      </w:r>
    </w:p>
    <w:p w14:paraId="07E4AAC7">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All six topics share the same core capability requirements and scoring criteria; choosing the on-chain topic does not affect scoring:</w:t>
      </w:r>
    </w:p>
    <w:p w14:paraId="55A1723B">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•Task completion: 40%</w:t>
      </w:r>
    </w:p>
    <w:p w14:paraId="120C91BB">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•Security &amp; compliance: 30%</w:t>
      </w:r>
    </w:p>
    <w:p w14:paraId="5C734A2B">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•Innovation &amp; interaction: 30%</w:t>
      </w:r>
    </w:p>
    <w:p w14:paraId="7A6B5552">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•Challenge bonus (on-chain exploration): 0–5 points</w:t>
      </w:r>
    </w:p>
    <w:p w14:paraId="5D0B272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4. Eligibility and Teaming</w:t>
      </w:r>
    </w:p>
    <w:p w14:paraId="3083E051">
      <w:pPr>
        <w:keepNext w:val="0"/>
        <w:keepLines w:val="0"/>
        <w:pageBreakBefore w:val="0"/>
        <w:widowControl w:val="0"/>
        <w:kinsoku/>
        <w:wordWrap/>
        <w:overflowPunct/>
        <w:topLinePunct w:val="0"/>
        <w:autoSpaceDE/>
        <w:autoSpaceDN/>
        <w:bidi w:val="0"/>
        <w:adjustRightInd/>
        <w:snapToGrid/>
        <w:spacing w:line="560" w:lineRule="exact"/>
        <w:ind w:firstLine="442"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 xml:space="preserve">(1)Who may enter: </w:t>
      </w:r>
      <w:r>
        <w:rPr>
          <w:rFonts w:hint="eastAsia" w:ascii="Times New Roman" w:hAnsi="Times New Roman" w:eastAsia="方正仿宋_GB2312" w:cs="Times New Roman"/>
          <w:bCs/>
          <w:kern w:val="0"/>
          <w:sz w:val="22"/>
          <w:szCs w:val="22"/>
          <w:highlight w:val="none"/>
          <w:lang w:val="en-US" w:eastAsia="zh-CN"/>
        </w:rPr>
        <w:t>The Competition is open to full-time students (including undergraduates, master's and doctoral candidates) currently enrolled at overseas universities and research institutions, with no restrictions on nationality, major, or year of study. For the purposes of these Rules, "overseas universities" refers to higher education institutions and research organizations established in countries other than China (including Hong Kong, Macao, and Taiwan) that hold independent accreditation and are authorized to independently confer academic qualifications or degrees.</w:t>
      </w:r>
    </w:p>
    <w:p w14:paraId="367523E9">
      <w:pPr>
        <w:keepNext w:val="0"/>
        <w:keepLines w:val="0"/>
        <w:pageBreakBefore w:val="0"/>
        <w:widowControl w:val="0"/>
        <w:kinsoku/>
        <w:wordWrap/>
        <w:overflowPunct/>
        <w:topLinePunct w:val="0"/>
        <w:autoSpaceDE/>
        <w:autoSpaceDN/>
        <w:bidi w:val="0"/>
        <w:adjustRightInd/>
        <w:snapToGrid/>
        <w:spacing w:line="560" w:lineRule="exact"/>
        <w:ind w:firstLine="442"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 xml:space="preserve">(2)Teaming: </w:t>
      </w:r>
      <w:r>
        <w:rPr>
          <w:rFonts w:hint="eastAsia" w:ascii="Times New Roman" w:hAnsi="Times New Roman" w:eastAsia="方正仿宋_GB2312" w:cs="Times New Roman"/>
          <w:bCs/>
          <w:kern w:val="0"/>
          <w:sz w:val="22"/>
          <w:szCs w:val="22"/>
          <w:highlight w:val="none"/>
          <w:lang w:val="en-US" w:eastAsia="zh-CN"/>
        </w:rPr>
        <w:t>Teams of 2–5 students; cross-year, cross-major, and cross-university (including cross-border) teaming is allowed. Each participant may join only one team across both the Domestic and International Tracks; duplicate registration is invalid.</w:t>
      </w:r>
    </w:p>
    <w:p w14:paraId="16B111A3">
      <w:pPr>
        <w:keepNext w:val="0"/>
        <w:keepLines w:val="0"/>
        <w:pageBreakBefore w:val="0"/>
        <w:widowControl w:val="0"/>
        <w:kinsoku/>
        <w:wordWrap/>
        <w:overflowPunct/>
        <w:topLinePunct w:val="0"/>
        <w:autoSpaceDE/>
        <w:autoSpaceDN/>
        <w:bidi w:val="0"/>
        <w:adjustRightInd/>
        <w:snapToGrid/>
        <w:spacing w:line="560" w:lineRule="exact"/>
        <w:ind w:firstLine="442"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 xml:space="preserve">(3)Language: </w:t>
      </w:r>
      <w:r>
        <w:rPr>
          <w:rFonts w:hint="eastAsia" w:ascii="Times New Roman" w:hAnsi="Times New Roman" w:eastAsia="方正仿宋_GB2312" w:cs="Times New Roman"/>
          <w:bCs/>
          <w:kern w:val="0"/>
          <w:sz w:val="22"/>
          <w:szCs w:val="22"/>
          <w:highlight w:val="none"/>
          <w:lang w:val="en-US" w:eastAsia="zh-CN"/>
        </w:rPr>
        <w:t>English is the official language of the International Track; submissions, presentations, and reviews are all conducted in English.</w:t>
      </w:r>
    </w:p>
    <w:p w14:paraId="4C15B484">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Note: To ensure the international character of this track, at least 60% of a team’s members should be non-Chinese nationals. Track assignment is determined by the Organizing Committee based on members’ nationalities and institutions.</w:t>
      </w:r>
    </w:p>
    <w:p w14:paraId="48E0B560">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5. Submission</w:t>
      </w:r>
    </w:p>
    <w:p w14:paraId="1B4E5B42">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Registration and submission share the same deadline: October 20, 2026, 23:59 (Beijing Time, UTC+8) — i.e., 16:00 UTC | 17:00 London (BST) | 09:00 US Pacific (PDT) | 01:00 Tokyo (Oct 21) | 03:00 Sydney (Oct 21). A bilingual email reminder will be sent 24 hours before the deadline.</w:t>
      </w:r>
    </w:p>
    <w:p w14:paraId="7FF8E65D">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Submission checklist:</w:t>
      </w:r>
    </w:p>
    <w:p w14:paraId="0FFB19C2">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1.Technical documentation (system architecture, core algorithm description, security design)</w:t>
      </w:r>
    </w:p>
    <w:p w14:paraId="5BF9B0E5">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2.Presentation deck (final presentation no longer than 10 minutes)</w:t>
      </w:r>
    </w:p>
    <w:p w14:paraId="56D68F74">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3.Demo video (optional, no longer than 5 minutes)</w:t>
      </w:r>
    </w:p>
    <w:p w14:paraId="6301E7D4">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4.Source code (with README, GitHub repository link, deployment instructions, and test cases)</w:t>
      </w:r>
    </w:p>
    <w:p w14:paraId="3E070F0D">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5.Security self-assessment report (permission-tier implementation and known-risk list)</w:t>
      </w:r>
    </w:p>
    <w:p w14:paraId="53C3FE58">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6.Execution evidence (for non-on-chain topics: simulated-account/sandbox operation logs and demo video; for the on-chain topic: real on-chain transaction hashes)</w:t>
      </w:r>
    </w:p>
    <w:p w14:paraId="5FCB964A">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Submissions may be updated any time before the deadline; the latest version received prevails. No changes are accepted after the deadline.</w:t>
      </w:r>
    </w:p>
    <w:p w14:paraId="7AF6269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6. Review and Grand Final</w:t>
      </w:r>
    </w:p>
    <w:p w14:paraId="4A9F3049">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•Late October: Online review by a panel of WeBank industry experts and university scholars</w:t>
      </w:r>
    </w:p>
    <w:p w14:paraId="36FBF822">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w:t>
      </w:r>
      <w:r>
        <w:rPr>
          <w:rFonts w:hint="default" w:ascii="Times New Roman" w:hAnsi="Times New Roman" w:eastAsia="方正仿宋_GB2312" w:cs="Times New Roman"/>
          <w:bCs/>
          <w:kern w:val="0"/>
          <w:sz w:val="22"/>
          <w:szCs w:val="22"/>
          <w:highlight w:val="none"/>
          <w:lang w:val="en-US" w:eastAsia="zh-CN"/>
        </w:rPr>
        <w:t xml:space="preserve"> </w:t>
      </w:r>
      <w:r>
        <w:rPr>
          <w:rFonts w:hint="eastAsia" w:ascii="Times New Roman" w:hAnsi="Times New Roman" w:eastAsia="方正仿宋_GB2312" w:cs="Times New Roman"/>
          <w:bCs/>
          <w:kern w:val="0"/>
          <w:sz w:val="22"/>
          <w:szCs w:val="22"/>
          <w:highlight w:val="none"/>
          <w:lang w:val="en-US" w:eastAsia="zh-CN"/>
        </w:rPr>
        <w:t>By October 31: Finalists announced</w:t>
      </w:r>
    </w:p>
    <w:p w14:paraId="328C78BB">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w:t>
      </w:r>
      <w:r>
        <w:rPr>
          <w:rFonts w:hint="default" w:ascii="Times New Roman" w:hAnsi="Times New Roman" w:eastAsia="方正仿宋_GB2312" w:cs="Times New Roman"/>
          <w:bCs/>
          <w:kern w:val="0"/>
          <w:sz w:val="22"/>
          <w:szCs w:val="22"/>
          <w:highlight w:val="none"/>
          <w:lang w:val="en-US" w:eastAsia="zh-CN"/>
        </w:rPr>
        <w:t xml:space="preserve"> </w:t>
      </w:r>
      <w:r>
        <w:rPr>
          <w:rFonts w:hint="eastAsia" w:ascii="Times New Roman" w:hAnsi="Times New Roman" w:eastAsia="方正仿宋_GB2312" w:cs="Times New Roman"/>
          <w:bCs/>
          <w:kern w:val="0"/>
          <w:sz w:val="22"/>
          <w:szCs w:val="22"/>
          <w:highlight w:val="none"/>
          <w:lang w:val="en-US" w:eastAsia="zh-CN"/>
        </w:rPr>
        <w:t>November 20: Check-in and WeBank HQ visit, Shenzhen</w:t>
      </w:r>
    </w:p>
    <w:p w14:paraId="5A9960CC">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w:t>
      </w:r>
      <w:r>
        <w:rPr>
          <w:rFonts w:hint="default" w:ascii="Times New Roman" w:hAnsi="Times New Roman" w:eastAsia="方正仿宋_GB2312" w:cs="Times New Roman"/>
          <w:bCs/>
          <w:kern w:val="0"/>
          <w:sz w:val="22"/>
          <w:szCs w:val="22"/>
          <w:highlight w:val="none"/>
          <w:lang w:val="en-US" w:eastAsia="zh-CN"/>
        </w:rPr>
        <w:t xml:space="preserve"> </w:t>
      </w:r>
      <w:r>
        <w:rPr>
          <w:rFonts w:hint="eastAsia" w:ascii="Times New Roman" w:hAnsi="Times New Roman" w:eastAsia="方正仿宋_GB2312" w:cs="Times New Roman"/>
          <w:bCs/>
          <w:kern w:val="0"/>
          <w:sz w:val="22"/>
          <w:szCs w:val="22"/>
          <w:highlight w:val="none"/>
          <w:lang w:val="en-US" w:eastAsia="zh-CN"/>
        </w:rPr>
        <w:t>November 21–23: Grand Final &amp; Awards Ceremony, Shenzhen. At least one member of each finalist team must attend in person; a team absent without justification forfeits award eligibility.</w:t>
      </w:r>
    </w:p>
    <w:p w14:paraId="71F77585">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7. Fees and Benefits</w:t>
      </w:r>
    </w:p>
    <w:p w14:paraId="76728095">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w:t>
      </w:r>
      <w:r>
        <w:rPr>
          <w:rFonts w:hint="default" w:ascii="Times New Roman" w:hAnsi="Times New Roman" w:eastAsia="方正仿宋_GB2312" w:cs="Times New Roman"/>
          <w:bCs/>
          <w:kern w:val="0"/>
          <w:sz w:val="22"/>
          <w:szCs w:val="22"/>
          <w:highlight w:val="none"/>
          <w:lang w:val="en-US" w:eastAsia="zh-CN"/>
        </w:rPr>
        <w:t xml:space="preserve"> </w:t>
      </w:r>
      <w:r>
        <w:rPr>
          <w:rFonts w:hint="eastAsia" w:ascii="Times New Roman" w:hAnsi="Times New Roman" w:eastAsia="方正仿宋_GB2312" w:cs="Times New Roman"/>
          <w:bCs/>
          <w:kern w:val="0"/>
          <w:sz w:val="22"/>
          <w:szCs w:val="22"/>
          <w:highlight w:val="none"/>
          <w:lang w:val="en-US" w:eastAsia="zh-CN"/>
        </w:rPr>
        <w:t>No registration fee</w:t>
      </w:r>
    </w:p>
    <w:p w14:paraId="6FD70259">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•For invited finalist members, accommodation and round-trip international travel during the finals are arranged and covered by the Organizing Committee (number of invited members per team as stated in the invitation)</w:t>
      </w:r>
    </w:p>
    <w:p w14:paraId="3057FAD9">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 xml:space="preserve">•International Track prize pool: RMB 250,000 — </w:t>
      </w:r>
    </w:p>
    <w:p w14:paraId="00654598">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 First Prize RMB 100,000 (1)</w:t>
      </w:r>
    </w:p>
    <w:p w14:paraId="2995782C">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 xml:space="preserve">· Second Prize RMB 80,000 (1) </w:t>
      </w:r>
    </w:p>
    <w:p w14:paraId="2EFB4259">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 xml:space="preserve">· Third Prize RMB 50,000 (1) </w:t>
      </w:r>
    </w:p>
    <w:p w14:paraId="238E8ADA">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 xml:space="preserve">· Best Innovation Award RMB 20,000 (1) </w:t>
      </w:r>
    </w:p>
    <w:p w14:paraId="37E3B5BA">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 Excellence Awards (several); all prizes are pre-tax</w:t>
      </w:r>
    </w:p>
    <w:p w14:paraId="5FCEF721">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•Outstanding teams receive fast-track interview access to WeBank</w:t>
      </w:r>
    </w:p>
    <w:p w14:paraId="56AF4361">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8. Integrity and IP (Key Points)</w:t>
      </w:r>
    </w:p>
    <w:p w14:paraId="3900BDDD">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Entries must be completed independently, free of plagiarism or IP infringement; third-party data, code, and open-source components must be properly licensed. IP of entries remains with the contestants; the hosts may use entries and team information for non-commercial promotional purposes (non-exclusive, royalty-free). Full terms are governed by the Competition Rules and Privacy Policy published on the official website.</w:t>
      </w:r>
    </w:p>
    <w:p w14:paraId="5751FC81">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Bold" w:hAnsi="Times New Roman Bold" w:eastAsia="方正仿宋_GB2312" w:cs="Times New Roman Bold"/>
          <w:b/>
          <w:bCs w:val="0"/>
          <w:kern w:val="0"/>
          <w:sz w:val="22"/>
          <w:szCs w:val="22"/>
          <w:highlight w:val="none"/>
          <w:lang w:val="en-US" w:eastAsia="zh-CN"/>
        </w:rPr>
      </w:pPr>
      <w:r>
        <w:rPr>
          <w:rFonts w:hint="default" w:ascii="Times New Roman Bold" w:hAnsi="Times New Roman Bold" w:eastAsia="方正仿宋_GB2312" w:cs="Times New Roman Bold"/>
          <w:b/>
          <w:bCs w:val="0"/>
          <w:kern w:val="0"/>
          <w:sz w:val="22"/>
          <w:szCs w:val="22"/>
          <w:highlight w:val="none"/>
          <w:lang w:val="en-US" w:eastAsia="zh-CN"/>
        </w:rPr>
        <w:t>9. Contact</w:t>
      </w:r>
    </w:p>
    <w:p w14:paraId="79974229">
      <w:pPr>
        <w:keepNext w:val="0"/>
        <w:keepLines w:val="0"/>
        <w:pageBreakBefore w:val="0"/>
        <w:widowControl w:val="0"/>
        <w:kinsoku/>
        <w:wordWrap/>
        <w:overflowPunct/>
        <w:topLinePunct w:val="0"/>
        <w:autoSpaceDE/>
        <w:autoSpaceDN/>
        <w:bidi w:val="0"/>
        <w:adjustRightInd/>
        <w:snapToGrid/>
        <w:spacing w:line="560" w:lineRule="exact"/>
        <w:ind w:firstLine="440" w:firstLineChars="200"/>
        <w:textAlignment w:val="auto"/>
        <w:rPr>
          <w:rFonts w:hint="eastAsia" w:ascii="Times New Roman" w:hAnsi="Times New Roman" w:eastAsia="方正仿宋_GB2312" w:cs="Times New Roman"/>
          <w:bCs/>
          <w:kern w:val="0"/>
          <w:sz w:val="22"/>
          <w:szCs w:val="22"/>
          <w:highlight w:val="none"/>
          <w:lang w:val="en-US" w:eastAsia="zh-CN"/>
        </w:rPr>
      </w:pPr>
      <w:r>
        <w:rPr>
          <w:rFonts w:hint="eastAsia" w:ascii="Times New Roman" w:hAnsi="Times New Roman" w:eastAsia="方正仿宋_GB2312" w:cs="Times New Roman"/>
          <w:bCs/>
          <w:kern w:val="0"/>
          <w:sz w:val="22"/>
          <w:szCs w:val="22"/>
          <w:highlight w:val="none"/>
          <w:lang w:val="en-US" w:eastAsia="zh-CN"/>
        </w:rPr>
        <w:t xml:space="preserve">Website: fintechathon.g-ican.com　Email: info@ican-x.com </w:t>
      </w:r>
    </w:p>
    <w:p w14:paraId="2943E133">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2312" w:cs="Times New Roman"/>
          <w:bCs/>
          <w:kern w:val="0"/>
          <w:sz w:val="30"/>
          <w:szCs w:val="30"/>
          <w:highlight w:val="none"/>
          <w:lang w:val="en-US" w:eastAsia="zh-CN"/>
        </w:rPr>
      </w:pPr>
    </w:p>
    <w:p w14:paraId="195FCF4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仿宋_GB2312"/>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仿宋_GB2312"/>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方正小标宋简体">
    <w:panose1 w:val="02000000000000000000"/>
    <w:charset w:val="86"/>
    <w:family w:val="script"/>
    <w:pitch w:val="default"/>
    <w:sig w:usb0="00000001" w:usb1="0800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6D440E"/>
    <w:rsid w:val="7B6D4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2026-08-24T08:03:00Z</dcterms:created>
  <dc:creator>李正泰</dc:creator>
  <cp:lastModifiedBy>李正泰</cp:lastModifiedBy>
  <dcterms:modified xsi:type="dcterms:W3CDTF">2026-08-24T08:04:53Z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C0C36E7467D6E3FB6E8A8B6AE6E42CF2_41</vt:lpwstr>
  </property>
</Properties>
</file>