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80"/>
        <w:rPr/>
      </w:pPr>
      <w:r>
        <w:rPr>
          <w:rFonts w:eastAsia="Arial" w:cs="Arial"/>
          <w:b/>
          <w:bCs/>
          <w:color w:val="1F3864"/>
          <w:sz w:val="34"/>
          <w:szCs w:val="34"/>
        </w:rPr>
        <w:t>SME Finance Copilot (Topic E) ссылки на датасеты и источники данных</w:t>
      </w:r>
    </w:p>
    <w:p>
      <w:pPr>
        <w:pStyle w:val="Heading1"/>
        <w:spacing w:before="240" w:after="120"/>
        <w:rPr/>
      </w:pPr>
      <w:r>
        <w:rPr>
          <w:rFonts w:eastAsia="Arial" w:cs="Arial" w:ascii="Arial" w:hAnsi="Arial"/>
          <w:b/>
          <w:bCs/>
          <w:color w:val="1F3864"/>
          <w:sz w:val="30"/>
          <w:szCs w:val="30"/>
        </w:rPr>
        <w:t>1. Датасеты</w:t>
      </w:r>
    </w:p>
    <w:p>
      <w:pPr>
        <w:pStyle w:val="Normal"/>
        <w:spacing w:before="0" w:after="100"/>
        <w:rPr/>
      </w:pPr>
      <w:r>
        <w:rPr>
          <w:rFonts w:eastAsia="Arial" w:cs="Arial"/>
          <w:sz w:val="19"/>
          <w:szCs w:val="19"/>
        </w:rPr>
        <w:t>Группы данных: A — транзакции, B — фискальные и документы, G — альтернативные и опросные, H — кредит и скоринг, I / LLM — внешний контекст и текстовые корпуса. D1–D4 — датасеты MVP-набора.</w:t>
      </w:r>
    </w:p>
    <w:tbl>
      <w:tblPr>
        <w:tblW w:w="15400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400"/>
        <w:gridCol w:w="3100"/>
        <w:gridCol w:w="899"/>
        <w:gridCol w:w="1901"/>
        <w:gridCol w:w="1700"/>
        <w:gridCol w:w="2099"/>
        <w:gridCol w:w="1700"/>
        <w:gridCol w:w="3601"/>
      </w:tblGrid>
      <w:tr>
        <w:trPr>
          <w:tblHeader w:val="true"/>
        </w:trPr>
        <w:tc>
          <w:tcPr>
            <w:tcW w:w="4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№</w:t>
            </w:r>
          </w:p>
        </w:tc>
        <w:tc>
          <w:tcPr>
            <w:tcW w:w="31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Датасет</w:t>
            </w:r>
          </w:p>
        </w:tc>
        <w:tc>
          <w:tcPr>
            <w:tcW w:w="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Группа</w:t>
            </w:r>
          </w:p>
        </w:tc>
        <w:tc>
          <w:tcPr>
            <w:tcW w:w="19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Тип данных</w:t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Лицензия</w:t>
            </w:r>
          </w:p>
        </w:tc>
        <w:tc>
          <w:tcPr>
            <w:tcW w:w="20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Статус проверки</w:t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Роль в MVP</w:t>
            </w:r>
          </w:p>
        </w:tc>
        <w:tc>
          <w:tcPr>
            <w:tcW w:w="36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Ссылка</w:t>
            </w:r>
          </w:p>
        </w:tc>
      </w:tr>
      <w:tr>
        <w:trPr/>
        <w:tc>
          <w:tcPr>
            <w:tcW w:w="4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1</w:t>
            </w:r>
          </w:p>
        </w:tc>
        <w:tc>
          <w:tcPr>
            <w:tcW w:w="31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CUMCM 2020, задача C «</w:t>
            </w:r>
            <w:r>
              <w:rPr>
                <w:rFonts w:ascii="Arial" w:hAnsi="Arial" w:cs="Arial"/>
                <w:b w:val="false"/>
                <w:bCs w:val="false"/>
                <w:sz w:val="17"/>
                <w:szCs w:val="17"/>
              </w:rPr>
              <w:t>中小微企业的信贷决策</w:t>
            </w: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» (инвойсы МСП + кредитные рейтинги)</w:t>
            </w:r>
          </w:p>
        </w:tc>
        <w:tc>
          <w:tcPr>
            <w:tcW w:w="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B / H</w:t>
            </w:r>
          </w:p>
        </w:tc>
        <w:tc>
          <w:tcPr>
            <w:tcW w:w="19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Анонимизированные; train</w:t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Не указана</w:t>
            </w:r>
          </w:p>
        </w:tc>
        <w:tc>
          <w:tcPr>
            <w:tcW w:w="20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 xml:space="preserve">◐ </w:t>
            </w: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Частично: официальной страницы данных нет; подтверждено статьёй и описанием</w:t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D1 — train модели готовности, калибровка генератора</w:t>
            </w:r>
          </w:p>
        </w:tc>
        <w:tc>
          <w:tcPr>
            <w:tcW w:w="36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hyperlink r:id="rId2">
              <w:r>
                <w:rPr>
                  <w:rStyle w:val="Hyperlink"/>
                  <w:rFonts w:eastAsia="Arial" w:cs="Arial"/>
                  <w:color w:val="0563C1"/>
                  <w:sz w:val="15"/>
                  <w:szCs w:val="15"/>
                  <w:u w:val="single"/>
                </w:rPr>
                <w:t>https://www.atlantis-press.com/article/125977116.pdf</w:t>
              </w:r>
            </w:hyperlink>
          </w:p>
        </w:tc>
      </w:tr>
      <w:tr>
        <w:trPr/>
        <w:tc>
          <w:tcPr>
            <w:tcW w:w="4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2</w:t>
            </w:r>
          </w:p>
        </w:tc>
        <w:tc>
          <w:tcPr>
            <w:tcW w:w="31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CUMCM 2020 C — описание задачи и данных (CSDN, 25.05.2021)</w:t>
            </w:r>
          </w:p>
        </w:tc>
        <w:tc>
          <w:tcPr>
            <w:tcW w:w="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B / H</w:t>
            </w:r>
          </w:p>
        </w:tc>
        <w:tc>
          <w:tcPr>
            <w:tcW w:w="19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—</w:t>
            </w:r>
          </w:p>
        </w:tc>
        <w:tc>
          <w:tcPr>
            <w:tcW w:w="20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 xml:space="preserve">✓ </w:t>
            </w: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Открыта</w:t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Справка к D1</w:t>
            </w:r>
          </w:p>
        </w:tc>
        <w:tc>
          <w:tcPr>
            <w:tcW w:w="36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hyperlink r:id="rId3">
              <w:r>
                <w:rPr>
                  <w:rStyle w:val="Hyperlink"/>
                  <w:rFonts w:eastAsia="Arial" w:cs="Arial"/>
                  <w:color w:val="0563C1"/>
                  <w:sz w:val="15"/>
                  <w:szCs w:val="15"/>
                  <w:u w:val="single"/>
                </w:rPr>
                <w:t>https://damodev.csdn.net/6a4331f510ee7a33f284496b.html</w:t>
              </w:r>
            </w:hyperlink>
          </w:p>
        </w:tc>
      </w:tr>
      <w:tr>
        <w:trPr/>
        <w:tc>
          <w:tcPr>
            <w:tcW w:w="4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3</w:t>
            </w:r>
          </w:p>
        </w:tc>
        <w:tc>
          <w:tcPr>
            <w:tcW w:w="31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Tianchi «</w:t>
            </w:r>
            <w:r>
              <w:rPr>
                <w:rFonts w:ascii="Arial" w:hAnsi="Arial" w:cs="Arial"/>
                <w:b w:val="false"/>
                <w:bCs w:val="false"/>
                <w:sz w:val="17"/>
                <w:szCs w:val="17"/>
              </w:rPr>
              <w:t>零基础入门金融风控</w:t>
            </w: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-</w:t>
            </w:r>
            <w:r>
              <w:rPr>
                <w:rFonts w:ascii="Arial" w:hAnsi="Arial" w:cs="Arial"/>
                <w:b w:val="false"/>
                <w:bCs w:val="false"/>
                <w:sz w:val="17"/>
                <w:szCs w:val="17"/>
              </w:rPr>
              <w:t>贷款违约预测</w:t>
            </w: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» (дефолты кредитов)</w:t>
            </w:r>
          </w:p>
        </w:tc>
        <w:tc>
          <w:tcPr>
            <w:tcW w:w="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H</w:t>
            </w:r>
          </w:p>
        </w:tc>
        <w:tc>
          <w:tcPr>
            <w:tcW w:w="19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Анонимизированные; train; 2020</w:t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Не указана</w:t>
            </w:r>
          </w:p>
        </w:tc>
        <w:tc>
          <w:tcPr>
            <w:tcW w:w="20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 xml:space="preserve">✓ </w:t>
            </w: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Метаданные</w:t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D2 — baseline скоринга</w:t>
            </w:r>
          </w:p>
        </w:tc>
        <w:tc>
          <w:tcPr>
            <w:tcW w:w="36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hyperlink r:id="rId4">
              <w:r>
                <w:rPr>
                  <w:rStyle w:val="Hyperlink"/>
                  <w:rFonts w:eastAsia="Arial" w:cs="Arial"/>
                  <w:color w:val="0563C1"/>
                  <w:sz w:val="15"/>
                  <w:szCs w:val="15"/>
                  <w:u w:val="single"/>
                </w:rPr>
                <w:t>https://tianchi.aliyun.com/competition/entrance/531830/information</w:t>
              </w:r>
            </w:hyperlink>
          </w:p>
        </w:tc>
      </w:tr>
      <w:tr>
        <w:trPr/>
        <w:tc>
          <w:tcPr>
            <w:tcW w:w="4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4</w:t>
            </w:r>
          </w:p>
        </w:tc>
        <w:tc>
          <w:tcPr>
            <w:tcW w:w="31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CFLUE (Alibaba Cloud)</w:t>
            </w:r>
          </w:p>
        </w:tc>
        <w:tc>
          <w:tcPr>
            <w:tcW w:w="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I / LLM</w:t>
            </w:r>
          </w:p>
        </w:tc>
        <w:tc>
          <w:tcPr>
            <w:tcW w:w="19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Реальные экзаменационные вопросы; benchmark + train-часть</w:t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Код MIT; данные CC BY-NC-SA 4.0</w:t>
            </w:r>
          </w:p>
        </w:tc>
        <w:tc>
          <w:tcPr>
            <w:tcW w:w="20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 xml:space="preserve">✓ </w:t>
            </w: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Открыта</w:t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D3 — LoRA и оценка</w:t>
            </w:r>
          </w:p>
        </w:tc>
        <w:tc>
          <w:tcPr>
            <w:tcW w:w="36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hyperlink r:id="rId5">
              <w:r>
                <w:rPr>
                  <w:rStyle w:val="Hyperlink"/>
                  <w:rFonts w:eastAsia="Arial" w:cs="Arial"/>
                  <w:color w:val="0563C1"/>
                  <w:sz w:val="15"/>
                  <w:szCs w:val="15"/>
                  <w:u w:val="single"/>
                </w:rPr>
                <w:t>https://github.com/aliyun/cflue</w:t>
              </w:r>
            </w:hyperlink>
          </w:p>
        </w:tc>
      </w:tr>
      <w:tr>
        <w:trPr/>
        <w:tc>
          <w:tcPr>
            <w:tcW w:w="4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5</w:t>
            </w:r>
          </w:p>
        </w:tc>
        <w:tc>
          <w:tcPr>
            <w:tcW w:w="31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PaddleOCR — ключевые поля инвойса НДС (doc v2.9)</w:t>
            </w:r>
          </w:p>
        </w:tc>
        <w:tc>
          <w:tcPr>
            <w:tcW w:w="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B</w:t>
            </w:r>
          </w:p>
        </w:tc>
        <w:tc>
          <w:tcPr>
            <w:tcW w:w="19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Реальные изображения; 38 шт.</w:t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Не указана</w:t>
            </w:r>
          </w:p>
        </w:tc>
        <w:tc>
          <w:tcPr>
            <w:tcW w:w="20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 xml:space="preserve">✓ </w:t>
            </w: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Открыта</w:t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D4 — тест OCR</w:t>
            </w:r>
          </w:p>
        </w:tc>
        <w:tc>
          <w:tcPr>
            <w:tcW w:w="36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hyperlink r:id="rId6">
              <w:r>
                <w:rPr>
                  <w:rStyle w:val="Hyperlink"/>
                  <w:rFonts w:eastAsia="Arial" w:cs="Arial"/>
                  <w:color w:val="0563C1"/>
                  <w:sz w:val="15"/>
                  <w:szCs w:val="15"/>
                  <w:u w:val="single"/>
                </w:rPr>
                <w:t>https://www.paddleocr.ai/v2.9/applications/%E5%8F%91%E7%A5%A8%E5%85%B3%E9%94%AE%E4%BF%A1%E6%81%AF%E6%8A%BD%E5%8F%96.html</w:t>
              </w:r>
            </w:hyperlink>
          </w:p>
        </w:tc>
      </w:tr>
      <w:tr>
        <w:trPr/>
        <w:tc>
          <w:tcPr>
            <w:tcW w:w="4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6</w:t>
            </w:r>
          </w:p>
        </w:tc>
        <w:tc>
          <w:tcPr>
            <w:tcW w:w="31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Baidu AI Studio, датасет 165561 (файлы для D4)</w:t>
            </w:r>
          </w:p>
        </w:tc>
        <w:tc>
          <w:tcPr>
            <w:tcW w:w="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B</w:t>
            </w:r>
          </w:p>
        </w:tc>
        <w:tc>
          <w:tcPr>
            <w:tcW w:w="19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Реальные изображения</w:t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Не указана</w:t>
            </w:r>
          </w:p>
        </w:tc>
        <w:tc>
          <w:tcPr>
            <w:tcW w:w="20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 xml:space="preserve">◐ </w:t>
            </w: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Ссылка из документации PaddleOCR, напрямую не проверена</w:t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D4 — скачивание</w:t>
            </w:r>
          </w:p>
        </w:tc>
        <w:tc>
          <w:tcPr>
            <w:tcW w:w="36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hyperlink r:id="rId7">
              <w:r>
                <w:rPr>
                  <w:rStyle w:val="Hyperlink"/>
                  <w:rFonts w:eastAsia="Arial" w:cs="Arial"/>
                  <w:color w:val="0563C1"/>
                  <w:sz w:val="15"/>
                  <w:szCs w:val="15"/>
                  <w:u w:val="single"/>
                </w:rPr>
                <w:t>https://aistudio.baidu.com/aistudio/datasetdetail/165561</w:t>
              </w:r>
            </w:hyperlink>
          </w:p>
        </w:tc>
      </w:tr>
      <w:tr>
        <w:trPr/>
        <w:tc>
          <w:tcPr>
            <w:tcW w:w="4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7</w:t>
            </w:r>
          </w:p>
        </w:tc>
        <w:tc>
          <w:tcPr>
            <w:tcW w:w="31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Home Credit Default Risk (Kaggle, 2018)</w:t>
            </w:r>
          </w:p>
        </w:tc>
        <w:tc>
          <w:tcPr>
            <w:tcW w:w="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H</w:t>
            </w:r>
          </w:p>
        </w:tc>
        <w:tc>
          <w:tcPr>
            <w:tcW w:w="19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Анонимизированные; train; классика</w:t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Не указана (правила Kaggle)</w:t>
            </w:r>
          </w:p>
        </w:tc>
        <w:tc>
          <w:tcPr>
            <w:tcW w:w="20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 xml:space="preserve">✓ </w:t>
            </w: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Метаданные</w:t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Резерв для D2</w:t>
            </w:r>
          </w:p>
        </w:tc>
        <w:tc>
          <w:tcPr>
            <w:tcW w:w="36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hyperlink r:id="rId8">
              <w:r>
                <w:rPr>
                  <w:rStyle w:val="Hyperlink"/>
                  <w:rFonts w:eastAsia="Arial" w:cs="Arial"/>
                  <w:color w:val="0563C1"/>
                  <w:sz w:val="15"/>
                  <w:szCs w:val="15"/>
                  <w:u w:val="single"/>
                </w:rPr>
                <w:t>https://www.kaggle.com/c/home-credit-default-risk/data</w:t>
              </w:r>
            </w:hyperlink>
          </w:p>
        </w:tc>
      </w:tr>
      <w:tr>
        <w:trPr/>
        <w:tc>
          <w:tcPr>
            <w:tcW w:w="4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8</w:t>
            </w:r>
          </w:p>
        </w:tc>
        <w:tc>
          <w:tcPr>
            <w:tcW w:w="31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Home Credit Default Risk — зеркало IEEE DataPort</w:t>
            </w:r>
          </w:p>
        </w:tc>
        <w:tc>
          <w:tcPr>
            <w:tcW w:w="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H</w:t>
            </w:r>
          </w:p>
        </w:tc>
        <w:tc>
          <w:tcPr>
            <w:tcW w:w="19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Анонимизированные</w:t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По подписке</w:t>
            </w:r>
          </w:p>
        </w:tc>
        <w:tc>
          <w:tcPr>
            <w:tcW w:w="20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 xml:space="preserve">✓ </w:t>
            </w: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Открыта</w:t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—</w:t>
            </w:r>
          </w:p>
        </w:tc>
        <w:tc>
          <w:tcPr>
            <w:tcW w:w="36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hyperlink r:id="rId9">
              <w:r>
                <w:rPr>
                  <w:rStyle w:val="Hyperlink"/>
                  <w:rFonts w:eastAsia="Arial" w:cs="Arial"/>
                  <w:color w:val="0563C1"/>
                  <w:sz w:val="15"/>
                  <w:szCs w:val="15"/>
                  <w:u w:val="single"/>
                </w:rPr>
                <w:t>https://ieee-dataport.org/documents/home-credit-default-risk</w:t>
              </w:r>
            </w:hyperlink>
          </w:p>
        </w:tc>
      </w:tr>
      <w:tr>
        <w:trPr/>
        <w:tc>
          <w:tcPr>
            <w:tcW w:w="4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9</w:t>
            </w:r>
          </w:p>
        </w:tc>
        <w:tc>
          <w:tcPr>
            <w:tcW w:w="31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Give Me Some Credit (Kaggle, 2011)</w:t>
            </w:r>
          </w:p>
        </w:tc>
        <w:tc>
          <w:tcPr>
            <w:tcW w:w="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H</w:t>
            </w:r>
          </w:p>
        </w:tc>
        <w:tc>
          <w:tcPr>
            <w:tcW w:w="19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Анонимизированные; train; классика</w:t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Не указана</w:t>
            </w:r>
          </w:p>
        </w:tc>
        <w:tc>
          <w:tcPr>
            <w:tcW w:w="20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 xml:space="preserve">◐ </w:t>
            </w: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Kaggle напрямую не проверен; подтверждено через empulse/OpenML</w:t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—</w:t>
            </w:r>
          </w:p>
        </w:tc>
        <w:tc>
          <w:tcPr>
            <w:tcW w:w="36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hyperlink r:id="rId10">
              <w:r>
                <w:rPr>
                  <w:rStyle w:val="Hyperlink"/>
                  <w:rFonts w:eastAsia="Arial" w:cs="Arial"/>
                  <w:color w:val="0563C1"/>
                  <w:sz w:val="15"/>
                  <w:szCs w:val="15"/>
                  <w:u w:val="single"/>
                </w:rPr>
                <w:t>https://www.kaggle.com/c/GiveMeSomeCredit/data</w:t>
              </w:r>
            </w:hyperlink>
          </w:p>
        </w:tc>
      </w:tr>
      <w:tr>
        <w:trPr/>
        <w:tc>
          <w:tcPr>
            <w:tcW w:w="4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10</w:t>
            </w:r>
          </w:p>
        </w:tc>
        <w:tc>
          <w:tcPr>
            <w:tcW w:w="31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Give Me Some Credit — OpenML</w:t>
            </w:r>
          </w:p>
        </w:tc>
        <w:tc>
          <w:tcPr>
            <w:tcW w:w="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H</w:t>
            </w:r>
          </w:p>
        </w:tc>
        <w:tc>
          <w:tcPr>
            <w:tcW w:w="19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Анонимизированные</w:t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Не указана</w:t>
            </w:r>
          </w:p>
        </w:tc>
        <w:tc>
          <w:tcPr>
            <w:tcW w:w="20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 xml:space="preserve">✓ </w:t>
            </w: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Открыта</w:t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—</w:t>
            </w:r>
          </w:p>
        </w:tc>
        <w:tc>
          <w:tcPr>
            <w:tcW w:w="36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hyperlink r:id="rId11">
              <w:r>
                <w:rPr>
                  <w:rStyle w:val="Hyperlink"/>
                  <w:rFonts w:eastAsia="Arial" w:cs="Arial"/>
                  <w:color w:val="0563C1"/>
                  <w:sz w:val="15"/>
                  <w:szCs w:val="15"/>
                  <w:u w:val="single"/>
                </w:rPr>
                <w:t>https://api.openml.org/d/45024</w:t>
              </w:r>
            </w:hyperlink>
          </w:p>
        </w:tc>
      </w:tr>
      <w:tr>
        <w:trPr/>
        <w:tc>
          <w:tcPr>
            <w:tcW w:w="4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11</w:t>
            </w:r>
          </w:p>
        </w:tc>
        <w:tc>
          <w:tcPr>
            <w:tcW w:w="31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Berka / PKDD’99 Financial (Czech Financial Dataset)</w:t>
            </w:r>
          </w:p>
        </w:tc>
        <w:tc>
          <w:tcPr>
            <w:tcW w:w="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A</w:t>
            </w:r>
          </w:p>
        </w:tc>
        <w:tc>
          <w:tcPr>
            <w:tcW w:w="19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Анонимизированные; train; классика 1999</w:t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Не указана</w:t>
            </w:r>
          </w:p>
        </w:tc>
        <w:tc>
          <w:tcPr>
            <w:tcW w:w="20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 xml:space="preserve">✓ </w:t>
            </w: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Открыта</w:t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—</w:t>
            </w:r>
          </w:p>
        </w:tc>
        <w:tc>
          <w:tcPr>
            <w:tcW w:w="36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hyperlink r:id="rId12">
              <w:r>
                <w:rPr>
                  <w:rStyle w:val="Hyperlink"/>
                  <w:rFonts w:eastAsia="Arial" w:cs="Arial"/>
                  <w:color w:val="0563C1"/>
                  <w:sz w:val="15"/>
                  <w:szCs w:val="15"/>
                  <w:u w:val="single"/>
                </w:rPr>
                <w:t>https://relational.fel.cvut.cz/dataset/Financial</w:t>
              </w:r>
            </w:hyperlink>
          </w:p>
        </w:tc>
      </w:tr>
      <w:tr>
        <w:trPr/>
        <w:tc>
          <w:tcPr>
            <w:tcW w:w="4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12</w:t>
            </w:r>
          </w:p>
        </w:tc>
        <w:tc>
          <w:tcPr>
            <w:tcW w:w="31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PaySim (синтетика mobile money)</w:t>
            </w:r>
          </w:p>
        </w:tc>
        <w:tc>
          <w:tcPr>
            <w:tcW w:w="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A</w:t>
            </w:r>
          </w:p>
        </w:tc>
        <w:tc>
          <w:tcPr>
            <w:tcW w:w="19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Синтетические; train</w:t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Не подтверждена</w:t>
            </w:r>
          </w:p>
        </w:tc>
        <w:tc>
          <w:tcPr>
            <w:tcW w:w="20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 xml:space="preserve">✓ </w:t>
            </w: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Метаданные</w:t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—</w:t>
            </w:r>
          </w:p>
        </w:tc>
        <w:tc>
          <w:tcPr>
            <w:tcW w:w="36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hyperlink r:id="rId13">
              <w:r>
                <w:rPr>
                  <w:rStyle w:val="Hyperlink"/>
                  <w:rFonts w:eastAsia="Arial" w:cs="Arial"/>
                  <w:color w:val="0563C1"/>
                  <w:sz w:val="15"/>
                  <w:szCs w:val="15"/>
                  <w:u w:val="single"/>
                </w:rPr>
                <w:t>https://www.kaggle.com/datasets/ealaxi/paysim1</w:t>
              </w:r>
            </w:hyperlink>
          </w:p>
        </w:tc>
      </w:tr>
      <w:tr>
        <w:trPr/>
        <w:tc>
          <w:tcPr>
            <w:tcW w:w="4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13</w:t>
            </w:r>
          </w:p>
        </w:tc>
        <w:tc>
          <w:tcPr>
            <w:tcW w:w="31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PaySim — зеркало на GitHub</w:t>
            </w:r>
          </w:p>
        </w:tc>
        <w:tc>
          <w:tcPr>
            <w:tcW w:w="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A</w:t>
            </w:r>
          </w:p>
        </w:tc>
        <w:tc>
          <w:tcPr>
            <w:tcW w:w="19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Синтетические</w:t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Не подтверждена</w:t>
            </w:r>
          </w:p>
        </w:tc>
        <w:tc>
          <w:tcPr>
            <w:tcW w:w="20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 xml:space="preserve">✓ </w:t>
            </w: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Открыта</w:t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—</w:t>
            </w:r>
          </w:p>
        </w:tc>
        <w:tc>
          <w:tcPr>
            <w:tcW w:w="36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hyperlink r:id="rId14">
              <w:r>
                <w:rPr>
                  <w:rStyle w:val="Hyperlink"/>
                  <w:rFonts w:eastAsia="Arial" w:cs="Arial"/>
                  <w:color w:val="0563C1"/>
                  <w:sz w:val="15"/>
                  <w:szCs w:val="15"/>
                  <w:u w:val="single"/>
                </w:rPr>
                <w:t>https://github.com/BBQtime/Synthetic-Financial-Datasets-For-Fraud-Detection</w:t>
              </w:r>
            </w:hyperlink>
          </w:p>
        </w:tc>
      </w:tr>
      <w:tr>
        <w:trPr/>
        <w:tc>
          <w:tcPr>
            <w:tcW w:w="4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14</w:t>
            </w:r>
          </w:p>
        </w:tc>
        <w:tc>
          <w:tcPr>
            <w:tcW w:w="31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IBM TabFormer (24 млн синтетических транзакций)</w:t>
            </w:r>
          </w:p>
        </w:tc>
        <w:tc>
          <w:tcPr>
            <w:tcW w:w="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A</w:t>
            </w:r>
          </w:p>
        </w:tc>
        <w:tc>
          <w:tcPr>
            <w:tcW w:w="19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Синтетические; train; stale</w:t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Репозиторий Apache-2.0</w:t>
            </w:r>
          </w:p>
        </w:tc>
        <w:tc>
          <w:tcPr>
            <w:tcW w:w="20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 xml:space="preserve">✓ </w:t>
            </w: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Открыта</w:t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—</w:t>
            </w:r>
          </w:p>
        </w:tc>
        <w:tc>
          <w:tcPr>
            <w:tcW w:w="36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hyperlink r:id="rId15">
              <w:r>
                <w:rPr>
                  <w:rStyle w:val="Hyperlink"/>
                  <w:rFonts w:eastAsia="Arial" w:cs="Arial"/>
                  <w:color w:val="0563C1"/>
                  <w:sz w:val="15"/>
                  <w:szCs w:val="15"/>
                  <w:u w:val="single"/>
                </w:rPr>
                <w:t>https://github.com/IBM/TabFormer</w:t>
              </w:r>
            </w:hyperlink>
          </w:p>
        </w:tc>
      </w:tr>
      <w:tr>
        <w:trPr/>
        <w:tc>
          <w:tcPr>
            <w:tcW w:w="4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15</w:t>
            </w:r>
          </w:p>
        </w:tc>
        <w:tc>
          <w:tcPr>
            <w:tcW w:w="31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XFUND (формы, есть китайская часть)</w:t>
            </w:r>
          </w:p>
        </w:tc>
        <w:tc>
          <w:tcPr>
            <w:tcW w:w="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B</w:t>
            </w:r>
          </w:p>
        </w:tc>
        <w:tc>
          <w:tcPr>
            <w:tcW w:w="19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Реальные формы; benchmark + train</w:t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CC BY-NC-SA 4.0</w:t>
            </w:r>
          </w:p>
        </w:tc>
        <w:tc>
          <w:tcPr>
            <w:tcW w:w="20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 xml:space="preserve">✓ </w:t>
            </w: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Открыта</w:t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—</w:t>
            </w:r>
          </w:p>
        </w:tc>
        <w:tc>
          <w:tcPr>
            <w:tcW w:w="36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hyperlink r:id="rId16">
              <w:r>
                <w:rPr>
                  <w:rStyle w:val="Hyperlink"/>
                  <w:rFonts w:eastAsia="Arial" w:cs="Arial"/>
                  <w:color w:val="0563C1"/>
                  <w:sz w:val="15"/>
                  <w:szCs w:val="15"/>
                  <w:u w:val="single"/>
                </w:rPr>
                <w:t>https://github.com/doc-analysis/XFUND</w:t>
              </w:r>
            </w:hyperlink>
          </w:p>
        </w:tc>
      </w:tr>
      <w:tr>
        <w:trPr/>
        <w:tc>
          <w:tcPr>
            <w:tcW w:w="4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16</w:t>
            </w:r>
          </w:p>
        </w:tc>
        <w:tc>
          <w:tcPr>
            <w:tcW w:w="31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CORD (чеки, Индонезия)</w:t>
            </w:r>
          </w:p>
        </w:tc>
        <w:tc>
          <w:tcPr>
            <w:tcW w:w="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B</w:t>
            </w:r>
          </w:p>
        </w:tc>
        <w:tc>
          <w:tcPr>
            <w:tcW w:w="19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Реальные; stale</w:t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CC BY 4.0</w:t>
            </w:r>
          </w:p>
        </w:tc>
        <w:tc>
          <w:tcPr>
            <w:tcW w:w="20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 xml:space="preserve">✓ </w:t>
            </w: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Открыта</w:t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—</w:t>
            </w:r>
          </w:p>
        </w:tc>
        <w:tc>
          <w:tcPr>
            <w:tcW w:w="36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hyperlink r:id="rId17">
              <w:r>
                <w:rPr>
                  <w:rStyle w:val="Hyperlink"/>
                  <w:rFonts w:eastAsia="Arial" w:cs="Arial"/>
                  <w:color w:val="0563C1"/>
                  <w:sz w:val="15"/>
                  <w:szCs w:val="15"/>
                  <w:u w:val="single"/>
                </w:rPr>
                <w:t>https://github.com/clovaai/cord</w:t>
              </w:r>
            </w:hyperlink>
          </w:p>
        </w:tc>
      </w:tr>
      <w:tr>
        <w:trPr/>
        <w:tc>
          <w:tcPr>
            <w:tcW w:w="4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17</w:t>
            </w:r>
          </w:p>
        </w:tc>
        <w:tc>
          <w:tcPr>
            <w:tcW w:w="31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SROIE (ICDAR 2019, чеки)</w:t>
            </w:r>
          </w:p>
        </w:tc>
        <w:tc>
          <w:tcPr>
            <w:tcW w:w="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B</w:t>
            </w:r>
          </w:p>
        </w:tc>
        <w:tc>
          <w:tcPr>
            <w:tcW w:w="19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Реальные; benchmark</w:t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Не указана</w:t>
            </w:r>
          </w:p>
        </w:tc>
        <w:tc>
          <w:tcPr>
            <w:tcW w:w="20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 xml:space="preserve">✓ </w:t>
            </w: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Открыта</w:t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—</w:t>
            </w:r>
          </w:p>
        </w:tc>
        <w:tc>
          <w:tcPr>
            <w:tcW w:w="36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hyperlink r:id="rId18">
              <w:r>
                <w:rPr>
                  <w:rStyle w:val="Hyperlink"/>
                  <w:rFonts w:eastAsia="Arial" w:cs="Arial"/>
                  <w:color w:val="0563C1"/>
                  <w:sz w:val="15"/>
                  <w:szCs w:val="15"/>
                  <w:u w:val="single"/>
                </w:rPr>
                <w:t>https://rrc.cvc.uab.es/?ch=13</w:t>
              </w:r>
            </w:hyperlink>
          </w:p>
        </w:tc>
      </w:tr>
      <w:tr>
        <w:trPr/>
        <w:tc>
          <w:tcPr>
            <w:tcW w:w="4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18</w:t>
            </w:r>
          </w:p>
        </w:tc>
        <w:tc>
          <w:tcPr>
            <w:tcW w:w="31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EATEN (Baidu: билеты, паспорта, визитки)</w:t>
            </w:r>
          </w:p>
        </w:tc>
        <w:tc>
          <w:tcPr>
            <w:tcW w:w="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B</w:t>
            </w:r>
          </w:p>
        </w:tc>
        <w:tc>
          <w:tcPr>
            <w:tcW w:w="19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Синтетика + ~2 тыс. реальных; stale</w:t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Не указана</w:t>
            </w:r>
          </w:p>
        </w:tc>
        <w:tc>
          <w:tcPr>
            <w:tcW w:w="20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 xml:space="preserve">✓ </w:t>
            </w: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Открыта</w:t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—</w:t>
            </w:r>
          </w:p>
        </w:tc>
        <w:tc>
          <w:tcPr>
            <w:tcW w:w="36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hyperlink r:id="rId19">
              <w:r>
                <w:rPr>
                  <w:rStyle w:val="Hyperlink"/>
                  <w:rFonts w:eastAsia="Arial" w:cs="Arial"/>
                  <w:color w:val="0563C1"/>
                  <w:sz w:val="15"/>
                  <w:szCs w:val="15"/>
                  <w:u w:val="single"/>
                </w:rPr>
                <w:t>https://github.com/beacandler/EATEN</w:t>
              </w:r>
            </w:hyperlink>
          </w:p>
        </w:tc>
      </w:tr>
      <w:tr>
        <w:trPr/>
        <w:tc>
          <w:tcPr>
            <w:tcW w:w="4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19</w:t>
            </w:r>
          </w:p>
        </w:tc>
        <w:tc>
          <w:tcPr>
            <w:tcW w:w="31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World Bank Enterprise Survey, China 2024</w:t>
            </w:r>
          </w:p>
        </w:tc>
        <w:tc>
          <w:tcPr>
            <w:tcW w:w="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G</w:t>
            </w:r>
          </w:p>
        </w:tc>
        <w:tc>
          <w:tcPr>
            <w:tcW w:w="19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Анонимизированные микроданные опроса</w:t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Условия World Bank, ссылка обязательна</w:t>
            </w:r>
          </w:p>
        </w:tc>
        <w:tc>
          <w:tcPr>
            <w:tcW w:w="20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 xml:space="preserve">✓ </w:t>
            </w: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Открыта</w:t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Распределения для генераторов M1</w:t>
            </w:r>
          </w:p>
        </w:tc>
        <w:tc>
          <w:tcPr>
            <w:tcW w:w="36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hyperlink r:id="rId20">
              <w:r>
                <w:rPr>
                  <w:rStyle w:val="Hyperlink"/>
                  <w:rFonts w:eastAsia="Arial" w:cs="Arial"/>
                  <w:color w:val="0563C1"/>
                  <w:sz w:val="15"/>
                  <w:szCs w:val="15"/>
                  <w:u w:val="single"/>
                </w:rPr>
                <w:t>https://microdata.worldbank.org/catalog/6676</w:t>
              </w:r>
            </w:hyperlink>
          </w:p>
        </w:tc>
      </w:tr>
      <w:tr>
        <w:trPr/>
        <w:tc>
          <w:tcPr>
            <w:tcW w:w="4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20</w:t>
            </w:r>
          </w:p>
        </w:tc>
        <w:tc>
          <w:tcPr>
            <w:tcW w:w="31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FinEval (SUFE)</w:t>
            </w:r>
          </w:p>
        </w:tc>
        <w:tc>
          <w:tcPr>
            <w:tcW w:w="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I / LLM</w:t>
            </w:r>
          </w:p>
        </w:tc>
        <w:tc>
          <w:tcPr>
            <w:tcW w:w="19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Реальные; только benchmark</w:t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Apache-2.0</w:t>
            </w:r>
          </w:p>
        </w:tc>
        <w:tc>
          <w:tcPr>
            <w:tcW w:w="20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 xml:space="preserve">✓ </w:t>
            </w: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Открыта</w:t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—</w:t>
            </w:r>
          </w:p>
        </w:tc>
        <w:tc>
          <w:tcPr>
            <w:tcW w:w="36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hyperlink r:id="rId21">
              <w:r>
                <w:rPr>
                  <w:rStyle w:val="Hyperlink"/>
                  <w:rFonts w:eastAsia="Arial" w:cs="Arial"/>
                  <w:color w:val="0563C1"/>
                  <w:sz w:val="15"/>
                  <w:szCs w:val="15"/>
                  <w:u w:val="single"/>
                </w:rPr>
                <w:t>https://github.com/SUFE-AIFLM-Lab/FinEval</w:t>
              </w:r>
            </w:hyperlink>
          </w:p>
        </w:tc>
      </w:tr>
      <w:tr>
        <w:trPr/>
        <w:tc>
          <w:tcPr>
            <w:tcW w:w="4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21</w:t>
            </w:r>
          </w:p>
        </w:tc>
        <w:tc>
          <w:tcPr>
            <w:tcW w:w="31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FinCorpus (Du Xiaoman), 21.2 GB</w:t>
            </w:r>
          </w:p>
        </w:tc>
        <w:tc>
          <w:tcPr>
            <w:tcW w:w="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I / LLM</w:t>
            </w:r>
          </w:p>
        </w:tc>
        <w:tc>
          <w:tcPr>
            <w:tcW w:w="19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Реальные публичные тексты; train</w:t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Apache-2.0</w:t>
            </w:r>
          </w:p>
        </w:tc>
        <w:tc>
          <w:tcPr>
            <w:tcW w:w="20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 xml:space="preserve">✓ </w:t>
            </w: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Открыта</w:t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—</w:t>
            </w:r>
          </w:p>
        </w:tc>
        <w:tc>
          <w:tcPr>
            <w:tcW w:w="36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hyperlink r:id="rId22">
              <w:r>
                <w:rPr>
                  <w:rStyle w:val="Hyperlink"/>
                  <w:rFonts w:eastAsia="Arial" w:cs="Arial"/>
                  <w:color w:val="0563C1"/>
                  <w:sz w:val="15"/>
                  <w:szCs w:val="15"/>
                  <w:u w:val="single"/>
                </w:rPr>
                <w:t>https://huggingface.co/datasets/Duxiaoman-DI/FinCorpus</w:t>
              </w:r>
            </w:hyperlink>
          </w:p>
        </w:tc>
      </w:tr>
      <w:tr>
        <w:trPr/>
        <w:tc>
          <w:tcPr>
            <w:tcW w:w="4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22</w:t>
            </w:r>
          </w:p>
        </w:tc>
        <w:tc>
          <w:tcPr>
            <w:tcW w:w="31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XuanYuan / FinanceIQ (Du Xiaoman)</w:t>
            </w:r>
          </w:p>
        </w:tc>
        <w:tc>
          <w:tcPr>
            <w:tcW w:w="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I / LLM</w:t>
            </w:r>
          </w:p>
        </w:tc>
        <w:tc>
          <w:tcPr>
            <w:tcW w:w="19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Реальные; benchmark</w:t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Не указана</w:t>
            </w:r>
          </w:p>
        </w:tc>
        <w:tc>
          <w:tcPr>
            <w:tcW w:w="20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 xml:space="preserve">✓ </w:t>
            </w: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Открыта</w:t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—</w:t>
            </w:r>
          </w:p>
        </w:tc>
        <w:tc>
          <w:tcPr>
            <w:tcW w:w="36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hyperlink r:id="rId23">
              <w:r>
                <w:rPr>
                  <w:rStyle w:val="Hyperlink"/>
                  <w:rFonts w:eastAsia="Arial" w:cs="Arial"/>
                  <w:color w:val="0563C1"/>
                  <w:sz w:val="15"/>
                  <w:szCs w:val="15"/>
                  <w:u w:val="single"/>
                </w:rPr>
                <w:t>https://github.com/Duxiaoman-DI/XuanYuan</w:t>
              </w:r>
            </w:hyperlink>
          </w:p>
        </w:tc>
      </w:tr>
      <w:tr>
        <w:trPr/>
        <w:tc>
          <w:tcPr>
            <w:tcW w:w="4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23</w:t>
            </w:r>
          </w:p>
        </w:tc>
        <w:tc>
          <w:tcPr>
            <w:tcW w:w="31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DISC-FinLLM (Fudan) — опубликован только образец SFT</w:t>
            </w:r>
          </w:p>
        </w:tc>
        <w:tc>
          <w:tcPr>
            <w:tcW w:w="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I / LLM</w:t>
            </w:r>
          </w:p>
        </w:tc>
        <w:tc>
          <w:tcPr>
            <w:tcW w:w="19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Образец + eval; stale</w:t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Проект Apache-2.0</w:t>
            </w:r>
          </w:p>
        </w:tc>
        <w:tc>
          <w:tcPr>
            <w:tcW w:w="20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 xml:space="preserve">✓ </w:t>
            </w: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Открыта</w:t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Не использовать вместо CFLUE</w:t>
            </w:r>
          </w:p>
        </w:tc>
        <w:tc>
          <w:tcPr>
            <w:tcW w:w="36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hyperlink r:id="rId24">
              <w:r>
                <w:rPr>
                  <w:rStyle w:val="Hyperlink"/>
                  <w:rFonts w:eastAsia="Arial" w:cs="Arial"/>
                  <w:color w:val="0563C1"/>
                  <w:sz w:val="15"/>
                  <w:szCs w:val="15"/>
                  <w:u w:val="single"/>
                </w:rPr>
                <w:t>https://github.com/FudanDISC/DISC-FinLLM</w:t>
              </w:r>
            </w:hyperlink>
          </w:p>
        </w:tc>
      </w:tr>
      <w:tr>
        <w:trPr/>
        <w:tc>
          <w:tcPr>
            <w:tcW w:w="4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24</w:t>
            </w:r>
          </w:p>
        </w:tc>
        <w:tc>
          <w:tcPr>
            <w:tcW w:w="31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DISC-FIN-SFT — неофициальная копия на HF</w:t>
            </w:r>
          </w:p>
        </w:tc>
        <w:tc>
          <w:tcPr>
            <w:tcW w:w="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I / LLM</w:t>
            </w:r>
          </w:p>
        </w:tc>
        <w:tc>
          <w:tcPr>
            <w:tcW w:w="19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Не указана</w:t>
            </w:r>
          </w:p>
        </w:tc>
        <w:tc>
          <w:tcPr>
            <w:tcW w:w="20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 xml:space="preserve">✓ </w:t>
            </w: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Открыта (viewer не работает)</w:t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Не использовать</w:t>
            </w:r>
          </w:p>
        </w:tc>
        <w:tc>
          <w:tcPr>
            <w:tcW w:w="36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hyperlink r:id="rId25">
              <w:r>
                <w:rPr>
                  <w:rStyle w:val="Hyperlink"/>
                  <w:rFonts w:eastAsia="Arial" w:cs="Arial"/>
                  <w:color w:val="0563C1"/>
                  <w:sz w:val="15"/>
                  <w:szCs w:val="15"/>
                  <w:u w:val="single"/>
                </w:rPr>
                <w:t>https://huggingface.co/datasets/eggbiscuit/DISC-FIN-SFT</w:t>
              </w:r>
            </w:hyperlink>
          </w:p>
        </w:tc>
      </w:tr>
      <w:tr>
        <w:trPr/>
        <w:tc>
          <w:tcPr>
            <w:tcW w:w="4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25</w:t>
            </w:r>
          </w:p>
        </w:tc>
        <w:tc>
          <w:tcPr>
            <w:tcW w:w="31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BBT-FinCorpus / FinCUGE (~300 GB)</w:t>
            </w:r>
          </w:p>
        </w:tc>
        <w:tc>
          <w:tcPr>
            <w:tcW w:w="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I / LLM</w:t>
            </w:r>
          </w:p>
        </w:tc>
        <w:tc>
          <w:tcPr>
            <w:tcW w:w="19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Реальные; train + benchmark; stale</w:t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Не указана; доступ по заявке</w:t>
            </w:r>
          </w:p>
        </w:tc>
        <w:tc>
          <w:tcPr>
            <w:tcW w:w="20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 xml:space="preserve">✓ </w:t>
            </w: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Открыта</w:t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—</w:t>
            </w:r>
          </w:p>
        </w:tc>
        <w:tc>
          <w:tcPr>
            <w:tcW w:w="36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hyperlink r:id="rId26">
              <w:r>
                <w:rPr>
                  <w:rStyle w:val="Hyperlink"/>
                  <w:rFonts w:eastAsia="Arial" w:cs="Arial"/>
                  <w:color w:val="0563C1"/>
                  <w:sz w:val="15"/>
                  <w:szCs w:val="15"/>
                  <w:u w:val="single"/>
                </w:rPr>
                <w:t>https://github.com/ssymmetry/BBT-FinCUGE-Applications</w:t>
              </w:r>
            </w:hyperlink>
          </w:p>
        </w:tc>
      </w:tr>
      <w:tr>
        <w:trPr/>
        <w:tc>
          <w:tcPr>
            <w:tcW w:w="4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26</w:t>
            </w:r>
          </w:p>
        </w:tc>
        <w:tc>
          <w:tcPr>
            <w:tcW w:w="31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FinGPT (китайская часть fingpt-fineval)</w:t>
            </w:r>
          </w:p>
        </w:tc>
        <w:tc>
          <w:tcPr>
            <w:tcW w:w="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I / LLM</w:t>
            </w:r>
          </w:p>
        </w:tc>
        <w:tc>
          <w:tcPr>
            <w:tcW w:w="19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Реальные; stale</w:t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Не указана</w:t>
            </w:r>
          </w:p>
        </w:tc>
        <w:tc>
          <w:tcPr>
            <w:tcW w:w="20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 xml:space="preserve">✓ </w:t>
            </w: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Открыта</w:t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—</w:t>
            </w:r>
          </w:p>
        </w:tc>
        <w:tc>
          <w:tcPr>
            <w:tcW w:w="36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hyperlink r:id="rId27">
              <w:r>
                <w:rPr>
                  <w:rStyle w:val="Hyperlink"/>
                  <w:rFonts w:eastAsia="Arial" w:cs="Arial"/>
                  <w:color w:val="0563C1"/>
                  <w:sz w:val="15"/>
                  <w:szCs w:val="15"/>
                  <w:u w:val="single"/>
                </w:rPr>
                <w:t>https://github.com/AI4Finance-Foundation/FinGPT</w:t>
              </w:r>
            </w:hyperlink>
          </w:p>
        </w:tc>
      </w:tr>
      <w:tr>
        <w:trPr/>
        <w:tc>
          <w:tcPr>
            <w:tcW w:w="4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27</w:t>
            </w:r>
          </w:p>
        </w:tc>
        <w:tc>
          <w:tcPr>
            <w:tcW w:w="31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DISC-LawLLM / DISC-Law-SFT (~295k)</w:t>
            </w:r>
          </w:p>
        </w:tc>
        <w:tc>
          <w:tcPr>
            <w:tcW w:w="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I / LLM</w:t>
            </w:r>
          </w:p>
        </w:tc>
        <w:tc>
          <w:tcPr>
            <w:tcW w:w="19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Смешанные; train</w:t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Не указана</w:t>
            </w:r>
          </w:p>
        </w:tc>
        <w:tc>
          <w:tcPr>
            <w:tcW w:w="20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 xml:space="preserve">✓ </w:t>
            </w: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Открыта</w:t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Опционально для RAG</w:t>
            </w:r>
          </w:p>
        </w:tc>
        <w:tc>
          <w:tcPr>
            <w:tcW w:w="36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hyperlink r:id="rId28">
              <w:r>
                <w:rPr>
                  <w:rStyle w:val="Hyperlink"/>
                  <w:rFonts w:eastAsia="Arial" w:cs="Arial"/>
                  <w:color w:val="0563C1"/>
                  <w:sz w:val="15"/>
                  <w:szCs w:val="15"/>
                  <w:u w:val="single"/>
                </w:rPr>
                <w:t>https://github.com/FudanDISC/DISC-LawLLM</w:t>
              </w:r>
            </w:hyperlink>
          </w:p>
        </w:tc>
      </w:tr>
    </w:tbl>
    <w:p>
      <w:pPr>
        <w:pStyle w:val="Heading1"/>
        <w:spacing w:before="240" w:after="120"/>
        <w:rPr/>
      </w:pPr>
      <w:r>
        <w:rPr>
          <w:rFonts w:eastAsia="Arial" w:cs="Arial" w:ascii="Arial" w:hAnsi="Arial"/>
          <w:b/>
          <w:bCs/>
          <w:color w:val="1F3864"/>
          <w:sz w:val="30"/>
          <w:szCs w:val="30"/>
        </w:rPr>
        <w:t>2. Схемы данных и инструменты генерации синтетики</w:t>
      </w:r>
    </w:p>
    <w:p>
      <w:pPr>
        <w:pStyle w:val="Normal"/>
        <w:spacing w:before="0" w:after="100"/>
        <w:rPr/>
      </w:pPr>
      <w:r>
        <w:rPr>
          <w:rFonts w:eastAsia="Arial" w:cs="Arial"/>
          <w:sz w:val="19"/>
          <w:szCs w:val="19"/>
        </w:rPr>
        <w:t xml:space="preserve">Открытых датасетов по выпискам </w:t>
      </w:r>
      <w:r>
        <w:rPr>
          <w:rFonts w:ascii="Arial" w:hAnsi="Arial" w:cs="Arial"/>
          <w:sz w:val="19"/>
          <w:szCs w:val="19"/>
        </w:rPr>
        <w:t>对公</w:t>
      </w:r>
      <w:r>
        <w:rPr>
          <w:rFonts w:eastAsia="Arial" w:cs="Arial"/>
          <w:sz w:val="19"/>
          <w:szCs w:val="19"/>
        </w:rPr>
        <w:t xml:space="preserve">, реальным </w:t>
      </w:r>
      <w:r>
        <w:rPr>
          <w:rFonts w:ascii="Arial" w:hAnsi="Arial" w:cs="Arial"/>
          <w:sz w:val="19"/>
          <w:szCs w:val="19"/>
        </w:rPr>
        <w:t>数电票</w:t>
      </w:r>
      <w:r>
        <w:rPr>
          <w:rFonts w:eastAsia="Arial" w:cs="Arial"/>
          <w:sz w:val="19"/>
          <w:szCs w:val="19"/>
        </w:rPr>
        <w:t xml:space="preserve">, merchant-выгрузкам и </w:t>
      </w:r>
      <w:r>
        <w:rPr>
          <w:rFonts w:ascii="Arial" w:hAnsi="Arial" w:cs="Arial"/>
          <w:sz w:val="19"/>
          <w:szCs w:val="19"/>
        </w:rPr>
        <w:t xml:space="preserve">征信 </w:t>
      </w:r>
      <w:r>
        <w:rPr>
          <w:rFonts w:eastAsia="Arial" w:cs="Arial"/>
          <w:sz w:val="19"/>
          <w:szCs w:val="19"/>
        </w:rPr>
        <w:t>нет. Генераторы M1–M3 строятся по этим опубликованным схемам.</w:t>
      </w:r>
    </w:p>
    <w:tbl>
      <w:tblPr>
        <w:tblW w:w="15400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400"/>
        <w:gridCol w:w="6000"/>
        <w:gridCol w:w="3300"/>
        <w:gridCol w:w="5700"/>
      </w:tblGrid>
      <w:tr>
        <w:trPr>
          <w:tblHeader w:val="true"/>
        </w:trPr>
        <w:tc>
          <w:tcPr>
            <w:tcW w:w="4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№</w:t>
            </w:r>
          </w:p>
        </w:tc>
        <w:tc>
          <w:tcPr>
            <w:tcW w:w="6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Источник</w:t>
            </w:r>
          </w:p>
        </w:tc>
        <w:tc>
          <w:tcPr>
            <w:tcW w:w="3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Для чего</w:t>
            </w:r>
          </w:p>
        </w:tc>
        <w:tc>
          <w:tcPr>
            <w:tcW w:w="5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Ссылка</w:t>
            </w:r>
          </w:p>
        </w:tc>
      </w:tr>
      <w:tr>
        <w:trPr/>
        <w:tc>
          <w:tcPr>
            <w:tcW w:w="4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1</w:t>
            </w:r>
          </w:p>
        </w:tc>
        <w:tc>
          <w:tcPr>
            <w:tcW w:w="6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ascii="Arial" w:hAnsi="Arial" w:cs="Arial"/>
                <w:b w:val="false"/>
                <w:bCs w:val="false"/>
                <w:sz w:val="17"/>
                <w:szCs w:val="17"/>
              </w:rPr>
              <w:t>数电票</w:t>
            </w: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 xml:space="preserve">: реквизиты и формат номера (STA </w:t>
            </w:r>
            <w:r>
              <w:rPr>
                <w:rFonts w:ascii="Arial" w:hAnsi="Arial" w:cs="Arial"/>
                <w:b w:val="false"/>
                <w:bCs w:val="false"/>
                <w:sz w:val="17"/>
                <w:szCs w:val="17"/>
              </w:rPr>
              <w:t>公告</w:t>
            </w: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2024</w:t>
            </w:r>
            <w:r>
              <w:rPr>
                <w:rFonts w:ascii="Arial" w:hAnsi="Arial" w:cs="Arial"/>
                <w:b w:val="false"/>
                <w:bCs w:val="false"/>
                <w:sz w:val="17"/>
                <w:szCs w:val="17"/>
              </w:rPr>
              <w:t>年第</w:t>
            </w: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11</w:t>
            </w:r>
            <w:r>
              <w:rPr>
                <w:rFonts w:ascii="Arial" w:hAnsi="Arial" w:cs="Arial"/>
                <w:b w:val="false"/>
                <w:bCs w:val="false"/>
                <w:sz w:val="17"/>
                <w:szCs w:val="17"/>
              </w:rPr>
              <w:t>号</w:t>
            </w: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, 12.11.2024)</w:t>
            </w:r>
          </w:p>
        </w:tc>
        <w:tc>
          <w:tcPr>
            <w:tcW w:w="3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Схема для генератора инвойсов (M2)</w:t>
            </w:r>
          </w:p>
        </w:tc>
        <w:tc>
          <w:tcPr>
            <w:tcW w:w="5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hyperlink r:id="rId29">
              <w:r>
                <w:rPr>
                  <w:rStyle w:val="Hyperlink"/>
                  <w:rFonts w:eastAsia="Arial" w:cs="Arial"/>
                  <w:color w:val="0563C1"/>
                  <w:sz w:val="15"/>
                  <w:szCs w:val="15"/>
                  <w:u w:val="single"/>
                </w:rPr>
                <w:t>https://fgk.chinatax.gov.cn/zcfgk/c100012/c5236067/content.html</w:t>
              </w:r>
            </w:hyperlink>
          </w:p>
        </w:tc>
      </w:tr>
      <w:tr>
        <w:trPr/>
        <w:tc>
          <w:tcPr>
            <w:tcW w:w="4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2</w:t>
            </w:r>
          </w:p>
        </w:tc>
        <w:tc>
          <w:tcPr>
            <w:tcW w:w="6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ascii="Arial" w:hAnsi="Arial" w:cs="Arial"/>
                <w:b w:val="false"/>
                <w:bCs w:val="false"/>
                <w:sz w:val="17"/>
                <w:szCs w:val="17"/>
              </w:rPr>
              <w:t>数电票</w:t>
            </w: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: форматы XML / PDF / OFD (</w:t>
            </w:r>
            <w:r>
              <w:rPr>
                <w:rFonts w:ascii="Arial" w:hAnsi="Arial" w:cs="Arial"/>
                <w:b w:val="false"/>
                <w:bCs w:val="false"/>
                <w:sz w:val="17"/>
                <w:szCs w:val="17"/>
              </w:rPr>
              <w:t>新浪财经</w:t>
            </w: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, 12.11.2024)</w:t>
            </w:r>
          </w:p>
        </w:tc>
        <w:tc>
          <w:tcPr>
            <w:tcW w:w="3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Форматы вывода M2</w:t>
            </w:r>
          </w:p>
        </w:tc>
        <w:tc>
          <w:tcPr>
            <w:tcW w:w="5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hyperlink r:id="rId30">
              <w:r>
                <w:rPr>
                  <w:rStyle w:val="Hyperlink"/>
                  <w:rFonts w:eastAsia="Arial" w:cs="Arial"/>
                  <w:color w:val="0563C1"/>
                  <w:sz w:val="15"/>
                  <w:szCs w:val="15"/>
                  <w:u w:val="single"/>
                </w:rPr>
                <w:t>https://finance.sina.cn/2024-11-12/detail-incvvkfz9333061.d.html</w:t>
              </w:r>
            </w:hyperlink>
          </w:p>
        </w:tc>
      </w:tr>
      <w:tr>
        <w:trPr/>
        <w:tc>
          <w:tcPr>
            <w:tcW w:w="4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3</w:t>
            </w:r>
          </w:p>
        </w:tc>
        <w:tc>
          <w:tcPr>
            <w:tcW w:w="6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Alipay: выгрузка счетов, 24 колонки CSV (Tencent Cloud, 24.06.2022)</w:t>
            </w:r>
          </w:p>
        </w:tc>
        <w:tc>
          <w:tcPr>
            <w:tcW w:w="3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Схема платежей (M2)</w:t>
            </w:r>
          </w:p>
        </w:tc>
        <w:tc>
          <w:tcPr>
            <w:tcW w:w="5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hyperlink r:id="rId31">
              <w:r>
                <w:rPr>
                  <w:rStyle w:val="Hyperlink"/>
                  <w:rFonts w:eastAsia="Arial" w:cs="Arial"/>
                  <w:color w:val="0563C1"/>
                  <w:sz w:val="15"/>
                  <w:szCs w:val="15"/>
                  <w:u w:val="single"/>
                </w:rPr>
                <w:t>https://cloud.tencent.com/developer/article/2029243</w:t>
              </w:r>
            </w:hyperlink>
          </w:p>
        </w:tc>
      </w:tr>
      <w:tr>
        <w:trPr/>
        <w:tc>
          <w:tcPr>
            <w:tcW w:w="4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4</w:t>
            </w:r>
          </w:p>
        </w:tc>
        <w:tc>
          <w:tcPr>
            <w:tcW w:w="6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WeChat Pay API v3: счёт предприятия trade-bill (09.05.2025)</w:t>
            </w:r>
          </w:p>
        </w:tc>
        <w:tc>
          <w:tcPr>
            <w:tcW w:w="3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Правила выгрузки (M2)</w:t>
            </w:r>
          </w:p>
        </w:tc>
        <w:tc>
          <w:tcPr>
            <w:tcW w:w="5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hyperlink r:id="rId32">
              <w:r>
                <w:rPr>
                  <w:rStyle w:val="Hyperlink"/>
                  <w:rFonts w:eastAsia="Arial" w:cs="Arial"/>
                  <w:color w:val="0563C1"/>
                  <w:sz w:val="15"/>
                  <w:szCs w:val="15"/>
                  <w:u w:val="single"/>
                </w:rPr>
                <w:t>https://pay.weixin.qq.com/doc/v3/partner/4014507142</w:t>
              </w:r>
            </w:hyperlink>
          </w:p>
        </w:tc>
      </w:tr>
      <w:tr>
        <w:trPr/>
        <w:tc>
          <w:tcPr>
            <w:tcW w:w="4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5</w:t>
            </w:r>
          </w:p>
        </w:tc>
        <w:tc>
          <w:tcPr>
            <w:tcW w:w="6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Tianyancha API 1116: поля компании (Huawei Cloud, 23.04.2024)</w:t>
            </w:r>
          </w:p>
        </w:tc>
        <w:tc>
          <w:tcPr>
            <w:tcW w:w="3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Схема профиля компании (M1)</w:t>
            </w:r>
          </w:p>
        </w:tc>
        <w:tc>
          <w:tcPr>
            <w:tcW w:w="5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hyperlink r:id="rId33">
              <w:r>
                <w:rPr>
                  <w:rStyle w:val="Hyperlink"/>
                  <w:rFonts w:eastAsia="Arial" w:cs="Arial"/>
                  <w:color w:val="0563C1"/>
                  <w:sz w:val="15"/>
                  <w:szCs w:val="15"/>
                  <w:u w:val="single"/>
                </w:rPr>
                <w:t>https://support.huaweicloud.com/tbis-dma/tbis_04.html</w:t>
              </w:r>
            </w:hyperlink>
          </w:p>
        </w:tc>
      </w:tr>
      <w:tr>
        <w:trPr/>
        <w:tc>
          <w:tcPr>
            <w:tcW w:w="4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6</w:t>
            </w:r>
          </w:p>
        </w:tc>
        <w:tc>
          <w:tcPr>
            <w:tcW w:w="6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ascii="Arial" w:hAnsi="Arial" w:cs="Arial"/>
                <w:b w:val="false"/>
                <w:bCs w:val="false"/>
                <w:sz w:val="17"/>
                <w:szCs w:val="17"/>
              </w:rPr>
              <w:t xml:space="preserve">企业信息公示暂行条例 </w:t>
            </w: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(2014): показатели годового отчёта, ст. 9</w:t>
            </w:r>
          </w:p>
        </w:tc>
        <w:tc>
          <w:tcPr>
            <w:tcW w:w="3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Схема отчётности (M1)</w:t>
            </w:r>
          </w:p>
        </w:tc>
        <w:tc>
          <w:tcPr>
            <w:tcW w:w="5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hyperlink r:id="rId34">
              <w:r>
                <w:rPr>
                  <w:rStyle w:val="Hyperlink"/>
                  <w:rFonts w:eastAsia="Arial" w:cs="Arial"/>
                  <w:color w:val="0563C1"/>
                  <w:sz w:val="15"/>
                  <w:szCs w:val="15"/>
                  <w:u w:val="single"/>
                </w:rPr>
                <w:t>https://www.gov.cn/zhengce/2014-08/23/content_2739774.htm</w:t>
              </w:r>
            </w:hyperlink>
          </w:p>
        </w:tc>
      </w:tr>
      <w:tr>
        <w:trPr/>
        <w:tc>
          <w:tcPr>
            <w:tcW w:w="4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7</w:t>
            </w:r>
          </w:p>
        </w:tc>
        <w:tc>
          <w:tcPr>
            <w:tcW w:w="6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Кредитный отчёт: состав разделов (</w:t>
            </w:r>
            <w:r>
              <w:rPr>
                <w:rFonts w:ascii="Arial" w:hAnsi="Arial" w:cs="Arial"/>
                <w:b w:val="false"/>
                <w:bCs w:val="false"/>
                <w:sz w:val="17"/>
                <w:szCs w:val="17"/>
              </w:rPr>
              <w:t>人民日报</w:t>
            </w: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, 20.05.2024)</w:t>
            </w:r>
          </w:p>
        </w:tc>
        <w:tc>
          <w:tcPr>
            <w:tcW w:w="3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 xml:space="preserve">Структура «упрощённого </w:t>
            </w:r>
            <w:r>
              <w:rPr>
                <w:rFonts w:ascii="Arial" w:hAnsi="Arial" w:cs="Arial"/>
                <w:b w:val="false"/>
                <w:bCs w:val="false"/>
                <w:sz w:val="17"/>
                <w:szCs w:val="17"/>
              </w:rPr>
              <w:t>征信</w:t>
            </w: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» (M3)</w:t>
            </w:r>
          </w:p>
        </w:tc>
        <w:tc>
          <w:tcPr>
            <w:tcW w:w="5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hyperlink r:id="rId35">
              <w:r>
                <w:rPr>
                  <w:rStyle w:val="Hyperlink"/>
                  <w:rFonts w:eastAsia="Arial" w:cs="Arial"/>
                  <w:color w:val="0563C1"/>
                  <w:sz w:val="15"/>
                  <w:szCs w:val="15"/>
                  <w:u w:val="single"/>
                </w:rPr>
                <w:t>https://paper.people.com.cn/rmrbwap/html/2024-05/20/nw.D110000renmrb_20240520_1-02.htm</w:t>
              </w:r>
            </w:hyperlink>
          </w:p>
        </w:tc>
      </w:tr>
      <w:tr>
        <w:trPr/>
        <w:tc>
          <w:tcPr>
            <w:tcW w:w="4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8</w:t>
            </w:r>
          </w:p>
        </w:tc>
        <w:tc>
          <w:tcPr>
            <w:tcW w:w="6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LPR на 20.09.2026 (</w:t>
            </w:r>
            <w:r>
              <w:rPr>
                <w:rFonts w:ascii="Arial" w:hAnsi="Arial" w:cs="Arial"/>
                <w:b w:val="false"/>
                <w:bCs w:val="false"/>
                <w:sz w:val="17"/>
                <w:szCs w:val="17"/>
              </w:rPr>
              <w:t>同花顺</w:t>
            </w: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)</w:t>
            </w:r>
          </w:p>
        </w:tc>
        <w:tc>
          <w:tcPr>
            <w:tcW w:w="3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Внешний контекст для матчинга</w:t>
            </w:r>
          </w:p>
        </w:tc>
        <w:tc>
          <w:tcPr>
            <w:tcW w:w="5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hyperlink r:id="rId36">
              <w:r>
                <w:rPr>
                  <w:rStyle w:val="Hyperlink"/>
                  <w:rFonts w:eastAsia="Arial" w:cs="Arial"/>
                  <w:color w:val="0563C1"/>
                  <w:sz w:val="15"/>
                  <w:szCs w:val="15"/>
                  <w:u w:val="single"/>
                </w:rPr>
                <w:t>https://news.10jqka.com.cn/20260920/c680091504.shtml</w:t>
              </w:r>
            </w:hyperlink>
          </w:p>
        </w:tc>
      </w:tr>
      <w:tr>
        <w:trPr/>
        <w:tc>
          <w:tcPr>
            <w:tcW w:w="4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9</w:t>
            </w:r>
          </w:p>
        </w:tc>
        <w:tc>
          <w:tcPr>
            <w:tcW w:w="6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Faker, локаль zh_CN (v40.43.0)</w:t>
            </w:r>
          </w:p>
        </w:tc>
        <w:tc>
          <w:tcPr>
            <w:tcW w:w="3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Генератор названий, адресов, банков</w:t>
            </w:r>
          </w:p>
        </w:tc>
        <w:tc>
          <w:tcPr>
            <w:tcW w:w="5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hyperlink r:id="rId37">
              <w:r>
                <w:rPr>
                  <w:rStyle w:val="Hyperlink"/>
                  <w:rFonts w:eastAsia="Arial" w:cs="Arial"/>
                  <w:color w:val="0563C1"/>
                  <w:sz w:val="15"/>
                  <w:szCs w:val="15"/>
                  <w:u w:val="single"/>
                </w:rPr>
                <w:t>https://faker.readthedocs.io/en/master/locales/zh_CN.html</w:t>
              </w:r>
            </w:hyperlink>
          </w:p>
        </w:tc>
      </w:tr>
      <w:tr>
        <w:trPr/>
        <w:tc>
          <w:tcPr>
            <w:tcW w:w="4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10</w:t>
            </w:r>
          </w:p>
        </w:tc>
        <w:tc>
          <w:tcPr>
            <w:tcW w:w="6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SDV 1.37.3 (PyPI, 02.07.2026), лицензия BUSL-1.1</w:t>
            </w:r>
          </w:p>
        </w:tc>
        <w:tc>
          <w:tcPr>
            <w:tcW w:w="3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Синтез табличных и последовательных данных</w:t>
            </w:r>
          </w:p>
        </w:tc>
        <w:tc>
          <w:tcPr>
            <w:tcW w:w="5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hyperlink r:id="rId38">
              <w:r>
                <w:rPr>
                  <w:rStyle w:val="Hyperlink"/>
                  <w:rFonts w:eastAsia="Arial" w:cs="Arial"/>
                  <w:color w:val="0563C1"/>
                  <w:sz w:val="15"/>
                  <w:szCs w:val="15"/>
                  <w:u w:val="single"/>
                </w:rPr>
                <w:t>https://pypi.org/project/sdv/1.37.3/</w:t>
              </w:r>
            </w:hyperlink>
          </w:p>
        </w:tc>
      </w:tr>
    </w:tbl>
    <w:p>
      <w:pPr>
        <w:pStyle w:val="Heading1"/>
        <w:spacing w:before="240" w:after="120"/>
        <w:rPr>
          <w:rFonts w:ascii="Arial" w:hAnsi="Arial" w:eastAsia="Arial" w:cs="Arial"/>
          <w:b/>
          <w:bCs/>
          <w:color w:val="1F3864"/>
          <w:sz w:val="19"/>
          <w:szCs w:val="19"/>
        </w:rPr>
      </w:pPr>
      <w:r>
        <w:rPr/>
      </w:r>
    </w:p>
    <w:sectPr>
      <w:type w:val="nextPage"/>
      <w:pgSz w:orient="landscape" w:w="16838" w:h="11906"/>
      <w:pgMar w:left="720" w:right="720" w:gutter="0" w:header="0" w:top="900" w:footer="0" w:bottom="90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Arial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19"/>
        <w:szCs w:val="19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19"/>
      <w:szCs w:val="19"/>
      <w:lang w:val="ru-RU" w:eastAsia="zh-CN" w:bidi="hi-IN"/>
    </w:rPr>
  </w:style>
  <w:style w:type="paragraph" w:styleId="Heading1">
    <w:name w:val="heading 1"/>
    <w:basedOn w:val="Style10"/>
    <w:qFormat/>
    <w:pPr/>
    <w:rPr>
      <w:color w:val="2E74B5"/>
      <w:sz w:val="32"/>
      <w:szCs w:val="32"/>
    </w:rPr>
  </w:style>
  <w:style w:type="paragraph" w:styleId="Heading2">
    <w:name w:val="heading 2"/>
    <w:basedOn w:val="Style10"/>
    <w:qFormat/>
    <w:pPr/>
    <w:rPr>
      <w:color w:val="2E74B5"/>
      <w:sz w:val="26"/>
      <w:szCs w:val="26"/>
    </w:rPr>
  </w:style>
  <w:style w:type="paragraph" w:styleId="Heading3">
    <w:name w:val="heading 3"/>
    <w:basedOn w:val="Style10"/>
    <w:qFormat/>
    <w:pPr/>
    <w:rPr>
      <w:color w:val="1F4D78"/>
      <w:sz w:val="24"/>
      <w:szCs w:val="24"/>
    </w:rPr>
  </w:style>
  <w:style w:type="paragraph" w:styleId="Heading4">
    <w:name w:val="heading 4"/>
    <w:basedOn w:val="Style10"/>
    <w:qFormat/>
    <w:pPr/>
    <w:rPr>
      <w:i/>
      <w:iCs/>
      <w:color w:val="2E74B5"/>
    </w:rPr>
  </w:style>
  <w:style w:type="paragraph" w:styleId="Heading5">
    <w:name w:val="heading 5"/>
    <w:basedOn w:val="Style10"/>
    <w:qFormat/>
    <w:pPr/>
    <w:rPr>
      <w:color w:val="2E74B5"/>
    </w:rPr>
  </w:style>
  <w:style w:type="paragraph" w:styleId="Heading6">
    <w:name w:val="heading 6"/>
    <w:basedOn w:val="Style10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Style8">
    <w:name w:val="Символ сноски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Style9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Style10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19"/>
      <w:szCs w:val="19"/>
      <w:lang w:val="ru-RU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19"/>
      <w:szCs w:val="19"/>
      <w:lang w:val="ru-RU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atlantis-press.com/article/125977116.pdf" TargetMode="External"/><Relationship Id="rId3" Type="http://schemas.openxmlformats.org/officeDocument/2006/relationships/hyperlink" Target="https://damodev.csdn.net/6a4331f510ee7a33f284496b.html" TargetMode="External"/><Relationship Id="rId4" Type="http://schemas.openxmlformats.org/officeDocument/2006/relationships/hyperlink" Target="https://tianchi.aliyun.com/competition/entrance/531830/information" TargetMode="External"/><Relationship Id="rId5" Type="http://schemas.openxmlformats.org/officeDocument/2006/relationships/hyperlink" Target="https://github.com/aliyun/cflue" TargetMode="External"/><Relationship Id="rId6" Type="http://schemas.openxmlformats.org/officeDocument/2006/relationships/hyperlink" Target="https://www.paddleocr.ai/v2.9/applications/&#21457;&#31080;&#20851;&#38190;&#20449;&#24687;&#25277;&#21462;.html" TargetMode="External"/><Relationship Id="rId7" Type="http://schemas.openxmlformats.org/officeDocument/2006/relationships/hyperlink" Target="https://aistudio.baidu.com/aistudio/datasetdetail/165561" TargetMode="External"/><Relationship Id="rId8" Type="http://schemas.openxmlformats.org/officeDocument/2006/relationships/hyperlink" Target="https://www.kaggle.com/c/home-credit-default-risk/data" TargetMode="External"/><Relationship Id="rId9" Type="http://schemas.openxmlformats.org/officeDocument/2006/relationships/hyperlink" Target="https://ieee-dataport.org/documents/home-credit-default-risk" TargetMode="External"/><Relationship Id="rId10" Type="http://schemas.openxmlformats.org/officeDocument/2006/relationships/hyperlink" Target="https://www.kaggle.com/c/GiveMeSomeCredit/data" TargetMode="External"/><Relationship Id="rId11" Type="http://schemas.openxmlformats.org/officeDocument/2006/relationships/hyperlink" Target="https://api.openml.org/d/45024" TargetMode="External"/><Relationship Id="rId12" Type="http://schemas.openxmlformats.org/officeDocument/2006/relationships/hyperlink" Target="https://relational.fel.cvut.cz/dataset/Financial" TargetMode="External"/><Relationship Id="rId13" Type="http://schemas.openxmlformats.org/officeDocument/2006/relationships/hyperlink" Target="https://www.kaggle.com/datasets/ealaxi/paysim1" TargetMode="External"/><Relationship Id="rId14" Type="http://schemas.openxmlformats.org/officeDocument/2006/relationships/hyperlink" Target="https://github.com/BBQtime/Synthetic-Financial-Datasets-For-Fraud-Detection" TargetMode="External"/><Relationship Id="rId15" Type="http://schemas.openxmlformats.org/officeDocument/2006/relationships/hyperlink" Target="https://github.com/IBM/TabFormer" TargetMode="External"/><Relationship Id="rId16" Type="http://schemas.openxmlformats.org/officeDocument/2006/relationships/hyperlink" Target="https://github.com/doc-analysis/XFUND" TargetMode="External"/><Relationship Id="rId17" Type="http://schemas.openxmlformats.org/officeDocument/2006/relationships/hyperlink" Target="https://github.com/clovaai/cord" TargetMode="External"/><Relationship Id="rId18" Type="http://schemas.openxmlformats.org/officeDocument/2006/relationships/hyperlink" Target="https://rrc.cvc.uab.es/?ch=13" TargetMode="External"/><Relationship Id="rId19" Type="http://schemas.openxmlformats.org/officeDocument/2006/relationships/hyperlink" Target="https://github.com/beacandler/EATEN" TargetMode="External"/><Relationship Id="rId20" Type="http://schemas.openxmlformats.org/officeDocument/2006/relationships/hyperlink" Target="https://microdata.worldbank.org/catalog/6676" TargetMode="External"/><Relationship Id="rId21" Type="http://schemas.openxmlformats.org/officeDocument/2006/relationships/hyperlink" Target="https://github.com/SUFE-AIFLM-Lab/FinEval" TargetMode="External"/><Relationship Id="rId22" Type="http://schemas.openxmlformats.org/officeDocument/2006/relationships/hyperlink" Target="https://huggingface.co/datasets/Duxiaoman-DI/FinCorpus" TargetMode="External"/><Relationship Id="rId23" Type="http://schemas.openxmlformats.org/officeDocument/2006/relationships/hyperlink" Target="https://github.com/Duxiaoman-DI/XuanYuan" TargetMode="External"/><Relationship Id="rId24" Type="http://schemas.openxmlformats.org/officeDocument/2006/relationships/hyperlink" Target="https://github.com/FudanDISC/DISC-FinLLM" TargetMode="External"/><Relationship Id="rId25" Type="http://schemas.openxmlformats.org/officeDocument/2006/relationships/hyperlink" Target="https://huggingface.co/datasets/eggbiscuit/DISC-FIN-SFT" TargetMode="External"/><Relationship Id="rId26" Type="http://schemas.openxmlformats.org/officeDocument/2006/relationships/hyperlink" Target="https://github.com/ssymmetry/BBT-FinCUGE-Applications" TargetMode="External"/><Relationship Id="rId27" Type="http://schemas.openxmlformats.org/officeDocument/2006/relationships/hyperlink" Target="https://github.com/AI4Finance-Foundation/FinGPT" TargetMode="External"/><Relationship Id="rId28" Type="http://schemas.openxmlformats.org/officeDocument/2006/relationships/hyperlink" Target="https://github.com/FudanDISC/DISC-LawLLM" TargetMode="External"/><Relationship Id="rId29" Type="http://schemas.openxmlformats.org/officeDocument/2006/relationships/hyperlink" Target="https://fgk.chinatax.gov.cn/zcfgk/c100012/c5236067/content.html" TargetMode="External"/><Relationship Id="rId30" Type="http://schemas.openxmlformats.org/officeDocument/2006/relationships/hyperlink" Target="https://finance.sina.cn/2024-11-12/detail-incvvkfz9333061.d.html" TargetMode="External"/><Relationship Id="rId31" Type="http://schemas.openxmlformats.org/officeDocument/2006/relationships/hyperlink" Target="https://cloud.tencent.com/developer/article/2029243" TargetMode="External"/><Relationship Id="rId32" Type="http://schemas.openxmlformats.org/officeDocument/2006/relationships/hyperlink" Target="https://pay.weixin.qq.com/doc/v3/partner/4014507142" TargetMode="External"/><Relationship Id="rId33" Type="http://schemas.openxmlformats.org/officeDocument/2006/relationships/hyperlink" Target="https://support.huaweicloud.com/tbis-dma/tbis_04.html" TargetMode="External"/><Relationship Id="rId34" Type="http://schemas.openxmlformats.org/officeDocument/2006/relationships/hyperlink" Target="https://www.gov.cn/zhengce/2014-08/23/content_2739774.htm" TargetMode="External"/><Relationship Id="rId35" Type="http://schemas.openxmlformats.org/officeDocument/2006/relationships/hyperlink" Target="https://paper.people.com.cn/rmrbwap/html/2024-05/20/nw.D110000renmrb_20240520_1-02.htm" TargetMode="External"/><Relationship Id="rId36" Type="http://schemas.openxmlformats.org/officeDocument/2006/relationships/hyperlink" Target="https://news.10jqka.com.cn/20260920/c680091504.shtml" TargetMode="External"/><Relationship Id="rId37" Type="http://schemas.openxmlformats.org/officeDocument/2006/relationships/hyperlink" Target="https://faker.readthedocs.io/en/master/locales/zh_CN.html" TargetMode="External"/><Relationship Id="rId38" Type="http://schemas.openxmlformats.org/officeDocument/2006/relationships/hyperlink" Target="https://pypi.org/project/sdv/1.37.3/" TargetMode="External"/><Relationship Id="rId39" Type="http://schemas.openxmlformats.org/officeDocument/2006/relationships/fontTable" Target="fontTable.xml"/><Relationship Id="rId40" Type="http://schemas.openxmlformats.org/officeDocument/2006/relationships/settings" Target="settings.xml"/><Relationship Id="rId4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LibreOffice/26.2.6.3$Windows_X86_64 LibreOffice_project/8221e31b3ac356a1623c672912a3d2b492f7e3d1</Application>
  <AppVersion>15.0000</AppVersion>
  <Pages>3</Pages>
  <Words>784</Words>
  <Characters>5633</Characters>
  <CharactersWithSpaces>6107</CharactersWithSpaces>
  <Paragraphs>273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2026-10-11T11:39:40Z</dcterms:created>
  <dc:creator>Un-named</dc:creator>
  <dc:description/>
  <dc:language>ru-RU</dc:language>
  <cp:lastModifiedBy/>
  <dcterms:modified xsi:type="dcterms:W3CDTF">2026-10-11T15:45:11Z</dcterms:modified>
  <cp:revision>2</cp:revision>
  <dc:subject/>
  <dc:title/>
</cp:coreProperties>
</file>