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SME Finance Copilot — технический ресёрч: стеки конкурентов, data pipeline, пустоты и стек MVP (Topic E)</w:t>
      </w:r>
    </w:p>
    <w:p>
      <w:pPr/>
      <w:r>
        <w:t xml:space="preserve">Oct 10, 2026</w:t>
      </w:r>
      <w:r>
        <w:t xml:space="preserve"> · </w:t>
      </w:r>
      <w:r>
        <w:t xml:space="preserve">@Wright</w:t>
      </w:r>
    </w:p>
    <w:p>
      <w:pPr>
        <w:pStyle w:val="Heading2"/>
      </w:pPr>
      <w:r>
        <w:t xml:space="preserve">Блок 1. Технологический профиль конкурентов</w:t>
      </w:r>
    </w:p>
    <w:p>
      <w:pPr/>
      <w:r>
        <w:t xml:space="preserve">Главное: ни один игрок не раскрывает, на какой модели работает его клиентский SME-агент. Публично известны только семейства моделей (Ant Ling, Du Xiaoman XuanYuan, JD JoyAI) и архитектурные принципы: агент + атомарные навыки + база знаний + человек на кредитном решении [14][16][8].</w:t>
      </w:r>
    </w:p>
    <w:p>
      <w:pPr/>
      <w:r>
        <w:t xml:space="preserve">Маркировка: </w:t>
      </w:r>
      <w:r>
        <w:rPr>
          <w:b/>
        </w:rPr>
        <w:t xml:space="preserve">claim</w:t>
      </w:r>
      <w:r>
        <w:t xml:space="preserve"> — заявление компании без независимой проверки; </w:t>
      </w:r>
      <w:r>
        <w:rPr>
          <w:b/>
        </w:rPr>
        <w:t xml:space="preserve">verified</w:t>
      </w:r>
      <w:r>
        <w:t xml:space="preserve"> — проверяемое (веса/карточка модели, рецензируемая статья); </w:t>
      </w:r>
      <w:r>
        <w:rPr>
          <w:b/>
        </w:rPr>
        <w:t xml:space="preserve">single source</w:t>
      </w:r>
      <w:r>
        <w:t xml:space="preserve"> — один источник; </w:t>
      </w:r>
      <w:r>
        <w:rPr>
          <w:b/>
        </w:rPr>
        <w:t xml:space="preserve">н/р</w:t>
      </w:r>
      <w:r>
        <w:t xml:space="preserve"> — не раскрывается публично.</w:t>
      </w:r>
    </w:p>
    <w:p>
      <w:pPr>
        <w:pStyle w:val="Heading3"/>
      </w:pPr>
      <w:r>
        <w:t xml:space="preserve">1А. Модель, данные, архитектура (1.1–1.3)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Игрок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1.1 Базовая LLM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1.2 Данные и методы обучения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1.3 Архитектура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WeBank (微众银行, Wēizhòng Yínháng)</w:t>
            </w:r>
          </w:p>
        </w:tc>
        <w:tc>
          <w:tcPr>
            <w:tcW w:w="2340" w:type="dxa"/>
          </w:tcPr>
          <w:p>
            <w:pPr/>
            <w:r>
              <w:t xml:space="preserve">н/р. Косвенно: «гибкая подключаемая адаптация моделей», новая модель разворачивается за 1 день (2026, claim) [8] — то есть мультимодельный слой, а не одна собственная LLM</w:t>
            </w:r>
          </w:p>
        </w:tc>
        <w:tc>
          <w:tcPr>
            <w:tcW w:w="2340" w:type="dxa"/>
          </w:tcPr>
          <w:p>
            <w:pPr/>
            <w:r>
              <w:t xml:space="preserve">н/р. Заявлены «сотни доменно обученных GenAI-моделей» для SME-маркетинга (2025, claim, single source) [47]</w:t>
            </w:r>
          </w:p>
        </w:tc>
        <w:tc>
          <w:tcPr>
            <w:tcW w:w="2340" w:type="dxa"/>
          </w:tcPr>
          <w:p>
            <w:pPr/>
            <w:r>
              <w:t xml:space="preserve">Единая AI-инженерная платформа: гибридные вычисления, low-code, переиспользуемые Skills; 80+ «цифровых сотрудников», 100+ вертикальных AI-приложений; в онлайн-кредитовании AI собирает отчёт по компании, одобрение сжалось с дней до часов (2026, claim) [8][45]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MYbank (网商银行, Wǎngshāng Yínháng) / Ant Group</w:t>
            </w:r>
          </w:p>
        </w:tc>
        <w:tc>
          <w:tcPr>
            <w:tcW w:w="2340" w:type="dxa"/>
          </w:tcPr>
          <w:p>
            <w:pPr/>
            <w:r>
              <w:t xml:space="preserve">Модель агента 百灵 2.0 — н/р [14][15]. Рядом в группе Ant: семейство Ling; Ling-3.0-flash-Fin — 124B всего / 5.1B активных, 256K, открытые веса (09.2026, verified по факту публикации) [3][2]; Ling-3.1-flash — ~560B / ~25B, до 1M контекста, пока не открыт (30.09.2026) [1]. Связь агента с Ling — не подтверждена, совпадает только имя «百灵»</w:t>
            </w:r>
          </w:p>
        </w:tc>
        <w:tc>
          <w:tcPr>
            <w:tcW w:w="2340" w:type="dxa"/>
          </w:tcPr>
          <w:p>
            <w:pPr/>
            <w:r>
              <w:t xml:space="preserve">Ling-Fin: продолженное предобучение на финансовых корпусах + доменный post-training + оптимизация tool use; размер корпуса н/р [3]. Данные скоринга MYbank: транзакции и платежи Alipay, сети платёжных связей, LBS-контекст магазина (baseline 2018–2019) [17]. Данные клиента — только в рамках его согласия (2026, claim) [14]</w:t>
            </w:r>
          </w:p>
        </w:tc>
        <w:tc>
          <w:tcPr>
            <w:tcW w:w="2340" w:type="dxa"/>
          </w:tcPr>
          <w:p>
            <w:pPr/>
            <w:r>
              <w:t xml:space="preserve">Агент с планированием и вызовом инструментов; экспертные навыки (отрасль, бренд, локация, риск-обзор, анализ кредита) как атомарные вызовы; «библиотека предприятия» как база знаний; 8 AI-воркбенчей; harness-инженерия, система оценок, человек на финальном решении по лимиту (09.2026, claim) [14][16]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JD Technology (京东科技, Jīngdōng Kējì)</w:t>
            </w:r>
          </w:p>
        </w:tc>
        <w:tc>
          <w:tcPr>
            <w:tcW w:w="2340" w:type="dxa"/>
          </w:tcPr>
          <w:p>
            <w:pPr/>
            <w:r>
              <w:t xml:space="preserve">JoyAI (бывш. 言犀): линейка от 3B до 750B (07.2025, claim) [10]. Финансовая/SME-модель — н/р</w:t>
            </w:r>
          </w:p>
        </w:tc>
        <w:tc>
          <w:tcPr>
            <w:tcW w:w="2340" w:type="dxa"/>
          </w:tcPr>
          <w:p>
            <w:pPr/>
            <w:r>
              <w:t xml:space="preserve">Дистилляция и междоменное управление данными: −~70% стоимости обучения (claim) [10]</w:t>
            </w:r>
          </w:p>
        </w:tc>
        <w:tc>
          <w:tcPr>
            <w:tcW w:w="2340" w:type="dxa"/>
          </w:tcPr>
          <w:p>
            <w:pPr/>
            <w:r>
              <w:t xml:space="preserve">JoyAgent — открытый мультиагентный фреймворк с DAG-исполнением, связка больших и малых моделей (07.2025) [10]. SME-применений в финансах не найдено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 Xiaoman (度小满, Dùxiǎomǎn)</w:t>
            </w:r>
          </w:p>
        </w:tc>
        <w:tc>
          <w:tcPr>
            <w:tcW w:w="2340" w:type="dxa"/>
          </w:tcPr>
          <w:p>
            <w:pPr/>
            <w:r>
              <w:t xml:space="preserve">XuanYuan (轩辕): открыт в 05.2023 как «первая финансовая LLM масштаба сотни млрд параметров»; XuanYuan FinX1 — модель с рассуждением (2025); размер и лицензия FinX1 — н/р [5]</w:t>
            </w:r>
          </w:p>
        </w:tc>
        <w:tc>
          <w:tcPr>
            <w:tcW w:w="2340" w:type="dxa"/>
          </w:tcPr>
          <w:p>
            <w:pPr/>
            <w:r>
              <w:t xml:space="preserve">н/р. Косвенно: LLM читает кредитные отчёты и тексты, &gt;400 тыс. риск-переменных (baseline 2023) [49]; copilot учится на логике опытных кредитных экспертов [5]</w:t>
            </w:r>
          </w:p>
        </w:tc>
        <w:tc>
          <w:tcPr>
            <w:tcW w:w="2340" w:type="dxa"/>
          </w:tcPr>
          <w:p>
            <w:pPr/>
            <w:r>
              <w:t xml:space="preserve">Copilot для кредитного ревью: 10 мин → 30 с, риск дефолта −&gt;50% (2026, claim, single source) [5]; Agent Infra и «решения по одному клиенту» вместо групповых правил (05.2026) [48]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Lufax (陆金所, Lùjīnsuǒ) / OneConnect (金融壹账通)</w:t>
            </w:r>
          </w:p>
        </w:tc>
        <w:tc>
          <w:tcPr>
            <w:tcW w:w="2340" w:type="dxa"/>
          </w:tcPr>
          <w:p>
            <w:pPr/>
            <w:r>
              <w:t xml:space="preserve">AI-фичи 2025–2026 не найдены [50]</w:t>
            </w:r>
          </w:p>
        </w:tc>
        <w:tc>
          <w:tcPr>
            <w:tcW w:w="2340" w:type="dxa"/>
          </w:tcPr>
          <w:p>
            <w:pPr/>
            <w:r>
              <w:t xml:space="preserve">н/р</w:t>
            </w:r>
          </w:p>
        </w:tc>
        <w:tc>
          <w:tcPr>
            <w:tcW w:w="2340" w:type="dxa"/>
          </w:tcPr>
          <w:p>
            <w:pPr/>
            <w:r>
              <w:t xml:space="preserve">н/р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Kingdee (金蝶, Jīndié)</w:t>
            </w:r>
          </w:p>
        </w:tc>
        <w:tc>
          <w:tcPr>
            <w:tcW w:w="2340" w:type="dxa"/>
          </w:tcPr>
          <w:p>
            <w:pPr/>
            <w:r>
              <w:t xml:space="preserve">Базовые модели не названы; мультимодельный подход и партнёрство со StepFun (阶跃星辰) (06.2026) [11]</w:t>
            </w:r>
          </w:p>
        </w:tc>
        <w:tc>
          <w:tcPr>
            <w:tcW w:w="2340" w:type="dxa"/>
          </w:tcPr>
          <w:p>
            <w:pPr/>
            <w:r>
              <w:t xml:space="preserve">«Знание и онтология»: 30 лет управленческих практик, финансовые модели, метаданные ERP (claim) [11]</w:t>
            </w:r>
          </w:p>
        </w:tc>
        <w:tc>
          <w:tcPr>
            <w:tcW w:w="2340" w:type="dxa"/>
          </w:tcPr>
          <w:p>
            <w:pPr/>
            <w:r>
              <w:t xml:space="preserve">«灵基» — 6 слоёв: модели и вычисления → знания/онтология → оркестрация агентов → runtime → управление и доверие → маркетплейс; нативные API к ERP, открытые протоколы к WeCom/DingTalk/Feishu (06.2026) [11]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Yonyou (用友, Yòngyǒu)</w:t>
            </w:r>
          </w:p>
        </w:tc>
        <w:tc>
          <w:tcPr>
            <w:tcW w:w="2340" w:type="dxa"/>
          </w:tcPr>
          <w:p>
            <w:pPr/>
            <w:r>
              <w:t xml:space="preserve">н/р; агентный продукт YonClaw (05.2026) [52]</w:t>
            </w:r>
          </w:p>
        </w:tc>
        <w:tc>
          <w:tcPr>
            <w:tcW w:w="2340" w:type="dxa"/>
          </w:tcPr>
          <w:p>
            <w:pPr/>
            <w:r>
              <w:t xml:space="preserve">н/р</w:t>
            </w:r>
          </w:p>
        </w:tc>
        <w:tc>
          <w:tcPr>
            <w:tcW w:w="2340" w:type="dxa"/>
          </w:tcPr>
          <w:p>
            <w:pPr/>
            <w:r>
              <w:t xml:space="preserve">н/р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慧算账 (Huìsuànzhàng)</w:t>
            </w:r>
          </w:p>
        </w:tc>
        <w:tc>
          <w:tcPr>
            <w:tcW w:w="2340" w:type="dxa"/>
          </w:tcPr>
          <w:p>
            <w:pPr/>
            <w:r>
              <w:t xml:space="preserve">н/р [20]</w:t>
            </w:r>
          </w:p>
        </w:tc>
        <w:tc>
          <w:tcPr>
            <w:tcW w:w="2340" w:type="dxa"/>
          </w:tcPr>
          <w:p>
            <w:pPr/>
            <w:r>
              <w:t xml:space="preserve">н/р</w:t>
            </w:r>
          </w:p>
        </w:tc>
        <w:tc>
          <w:tcPr>
            <w:tcW w:w="2340" w:type="dxa"/>
          </w:tcPr>
          <w:p>
            <w:pPr/>
            <w:r>
              <w:t xml:space="preserve">Агент в боковой панели WeCom на платформе Tencent Cloud ClawPro: приватные Skills, облачная память, учёт токенов, RPA для пакетной подачи налогов (04.2026, single source) [20]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Servyou (税友, Shuìyǒu) — AI-first в налогах</w:t>
            </w:r>
          </w:p>
        </w:tc>
        <w:tc>
          <w:tcPr>
            <w:tcW w:w="2340" w:type="dxa"/>
          </w:tcPr>
          <w:p>
            <w:pPr/>
            <w:r>
              <w:t xml:space="preserve">Собственная вертикальная модель «犀友»; размер и база н/р (06.2026) [19]</w:t>
            </w:r>
          </w:p>
        </w:tc>
        <w:tc>
          <w:tcPr>
            <w:tcW w:w="2340" w:type="dxa"/>
          </w:tcPr>
          <w:p>
            <w:pPr/>
            <w:r>
              <w:t xml:space="preserve">20 млрд единиц налоговых и финансовых данных, &gt;1 млн инструкций, 3 млн размеченных инвойсов; точность 93.56% (claim, single source) [19]</w:t>
            </w:r>
          </w:p>
        </w:tc>
        <w:tc>
          <w:tcPr>
            <w:tcW w:w="2340" w:type="dxa"/>
          </w:tcPr>
          <w:p>
            <w:pPr/>
            <w:r>
              <w:t xml:space="preserve">Agentic 2.0: мультиагентная сеть на A2A; слои «базовый учёт → комплаенс → управленческий учёт» [19]</w:t>
            </w:r>
          </w:p>
        </w:tc>
      </w:tr>
    </w:tbl>
    <w:p>
      <w:pPr>
        <w:pStyle w:val="Heading3"/>
      </w:pPr>
      <w:r>
        <w:t xml:space="preserve">1Б. ML-обвязка, инфраструктура, канал, бенчмарки, регистрация (1.4–1.8)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Игрок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1.4 Специализированные ML-модели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1.5 Инфраструктура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1.6 Канал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1.7 Бенчмарки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1.8 Регистрация / лицензии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WeBank</w:t>
            </w:r>
          </w:p>
        </w:tc>
        <w:tc>
          <w:tcPr>
            <w:tcW w:w="1560" w:type="dxa"/>
          </w:tcPr>
          <w:p>
            <w:pPr/>
            <w:r>
              <w:t xml:space="preserve">Дискриминативный и аналитический AI в идентификации, риск-контроле, маркетинге до эпохи LLM; алгоритмы н/р [8]. Federated learning: автор FATE; FATE-LLM — федеративный fine-tune LLM с LoRA, DP, MPC, защищённой агрегацией (открыт 04.2023, verified) [6]; применение FL в текущем SME-кредите — н/р</w:t>
            </w:r>
          </w:p>
        </w:tc>
        <w:tc>
          <w:tcPr>
            <w:tcW w:w="1560" w:type="dxa"/>
          </w:tcPr>
          <w:p>
            <w:pPr/>
            <w:r>
              <w:t xml:space="preserve">Гибридная архитектура вычислений; мощность ×3.5 за 2025, токены в день &gt;5 млрд (конец 2025) [9] и &gt;20 млрд (июль 2026) [8]; тип GPU — н/р</w:t>
            </w:r>
          </w:p>
        </w:tc>
        <w:tc>
          <w:tcPr>
            <w:tcW w:w="1560" w:type="dxa"/>
          </w:tcPr>
          <w:p>
            <w:pPr/>
            <w:r>
              <w:t xml:space="preserve">н/р в найденных источниках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Банковская лицензия; записи в реестре CAC — не найдены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MYbank / Ant</w:t>
            </w:r>
          </w:p>
        </w:tc>
        <w:tc>
          <w:tcPr>
            <w:tcW w:w="1560" w:type="dxa"/>
          </w:tcPr>
          <w:p>
            <w:pPr/>
            <w:r>
              <w:t xml:space="preserve">&gt;100 тыс. признаков, &gt;100 предиктивных моделей, &gt;3 000 стратегий; временные транзакционные сети против обналичивания (baseline 2018) [17]; «千里眼» — риск-анализ на уровне отдельного клиента (2026, claim) [16]; AI-андеррайтинг с человеком — ×7 (claim) [40]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Приложение MYbank и мини-программа [15]</w:t>
            </w:r>
          </w:p>
        </w:tc>
        <w:tc>
          <w:tcPr>
            <w:tcW w:w="1560" w:type="dxa"/>
          </w:tcPr>
          <w:p>
            <w:pPr/>
            <w:r>
              <w:t xml:space="preserve">Ling-3.0-flash-Fin: FinFIRST (открыт Ant), FinSearchComp, Finance Agent, τ³-Banking — цифры не опубликованы, только заявление о конкурентоспособности (claim) [3]</w:t>
            </w:r>
          </w:p>
        </w:tc>
        <w:tc>
          <w:tcPr>
            <w:tcW w:w="1560" w:type="dxa"/>
          </w:tcPr>
          <w:p>
            <w:pPr/>
            <w:r>
              <w:t xml:space="preserve">Банковская лицензия; запись агента в CAC — не найдена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JD Technology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Du Xiaoman</w:t>
            </w:r>
          </w:p>
        </w:tc>
        <w:tc>
          <w:tcPr>
            <w:tcW w:w="1560" w:type="dxa"/>
          </w:tcPr>
          <w:p>
            <w:pPr/>
            <w:r>
              <w:t xml:space="preserve">Анализ кредитных отчётов через LLM, &gt;400 тыс. переменных (baseline 2023) [49]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Интернет-кредит (детали н/р)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Kingdee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Расположение поверх облачного ERP; детали деплоя н/р [11]</w:t>
            </w:r>
          </w:p>
        </w:tc>
        <w:tc>
          <w:tcPr>
            <w:tcW w:w="1560" w:type="dxa"/>
          </w:tcPr>
          <w:p>
            <w:pPr/>
            <w:r>
              <w:t xml:space="preserve">ERP (AI 星辰 для малого бизнеса) [53]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н/р. AI-продукты — 296 млн RMB выручки за H1 2026 [12]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慧算账</w:t>
            </w:r>
          </w:p>
        </w:tc>
        <w:tc>
          <w:tcPr>
            <w:tcW w:w="1560" w:type="dxa"/>
          </w:tcPr>
          <w:p>
            <w:pPr/>
            <w:r>
              <w:t xml:space="preserve">RPA + агент; один бухгалтер ведёт 400–500 компаний вместо ~300 (claim) [20]</w:t>
            </w:r>
          </w:p>
        </w:tc>
        <w:tc>
          <w:tcPr>
            <w:tcW w:w="1560" w:type="dxa"/>
          </w:tcPr>
          <w:p>
            <w:pPr/>
            <w:r>
              <w:t xml:space="preserve">Tencent Cloud [20]</w:t>
            </w:r>
          </w:p>
        </w:tc>
        <w:tc>
          <w:tcPr>
            <w:tcW w:w="1560" w:type="dxa"/>
          </w:tcPr>
          <w:p>
            <w:pPr/>
            <w:r>
              <w:t xml:space="preserve">WeCom [20]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Servyou</w:t>
            </w:r>
          </w:p>
        </w:tc>
        <w:tc>
          <w:tcPr>
            <w:tcW w:w="1560" w:type="dxa"/>
          </w:tcPr>
          <w:p>
            <w:pPr/>
            <w:r>
              <w:t xml:space="preserve">Распознавание инвойсов (3 млн разметок), маршрутизация правил, трассировка [19]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Для бухгалтерских агентств: &gt;4 000 агентств, 467.5 тыс. МСП (claim) [19]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  <w:tc>
          <w:tcPr>
            <w:tcW w:w="1560" w:type="dxa"/>
          </w:tcPr>
          <w:p>
            <w:pPr/>
            <w:r>
              <w:t xml:space="preserve">н/р</w:t>
            </w:r>
          </w:p>
        </w:tc>
      </w:tr>
    </w:tbl>
    <w:p>
      <w:pPr/>
      <w:r>
        <w:rPr>
          <w:b/>
        </w:rPr>
        <w:t xml:space="preserve">Сквозные наблюдения.</w:t>
      </w:r>
      <w:r>
        <w:t xml:space="preserve"> К июню 2026 в CAC зарегистрировано 988 сервисов GenAI (备案) и 598 приложений, вызывающих уже зарегистрированные модели (登记); приложение обязано показывать, какую зарегистрированную модель и номер оно использует [24]. Реестр поименно я не проверял — статус конкретных конкурентов открыт (см. «Что осталось неизвестным»). Агентные фреймворки с открытым кодом из китайских компаний: JD JoyAgent [10] и Alibaba AgentScope 1.0 (ReAct, MCP, память, песочница, модуль оценки) [35].</w:t>
      </w:r>
    </w:p>
    <w:p>
      <w:pPr>
        <w:pStyle w:val="Heading2"/>
      </w:pPr>
      <w:r>
        <w:t xml:space="preserve">Блок 2. Reference data pipeline для SME finance copilot в КНР</w:t>
      </w:r>
    </w:p>
    <w:p>
      <w:pPr/>
      <w:r>
        <w:t xml:space="preserve">Узкое место копилота — не модель, а право на данные. Кредитную информацию о физлицах платформа не может передавать банку напрямую — только через лицензированное кредитное бюро («断直连») [22][21]. Поэтому копилот должен работать на стороне владельца или внутри банка, а не как посредник, перепродающий данные.</w:t>
      </w:r>
    </w:p>
    <w:p>
      <w:pPr/>
      <w:r>
        <w:drawing>
          <wp:inline distT="0" distB="0" distL="0" distR="0">
            <wp:extent cx="5486400" cy="4065814"/>
            <wp:docPr id="1" name="image1" descr="reference data pipeline · 5 слоёв + complian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ference data pipeline · 5 слоёв + complianc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reference data pipeline · 5 слоёв + compliance</w:t>
      </w:r>
    </w:p>
    <w:p>
      <w:pPr/>
      <w:r>
        <w:t xml:space="preserve">Стрелки — поток данных сверху вниз; пунктир — правила, которые действуют на каждом слое. Схема — наша сборка на основе источников ниже, а не описание чьего-то продакшна.</w:t>
      </w:r>
    </w:p>
    <w:p>
      <w:pPr>
        <w:pStyle w:val="Heading3"/>
      </w:pPr>
      <w:r>
        <w:t xml:space="preserve">2.1. Источники и форматы приёма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попадает к нам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 данных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Электронные инвойсы (数电票)</w:t>
            </w:r>
          </w:p>
        </w:tc>
        <w:tc>
          <w:tcPr>
            <w:tcW w:w="3120" w:type="dxa"/>
          </w:tcPr>
          <w:p>
            <w:pPr/>
            <w:r>
              <w:t xml:space="preserve">С 01.12.2024 по всей стране; существуют только в цифре, доставка через госплатформу, почту, QR или скачиванием [25]. Прямое подключение систем предприятия — платформа налоговой «乐企» в режимах «для себя» и «совместное использование» [26][27]</w:t>
            </w:r>
          </w:p>
        </w:tc>
        <w:tc>
          <w:tcPr>
            <w:tcW w:w="3120" w:type="dxa"/>
          </w:tcPr>
          <w:p>
            <w:pPr/>
            <w:r>
              <w:t xml:space="preserve">confirmed. Формат файла (XML/OFD) в найденных источниках не указан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Банковские выписки, эквайринг WeChat Pay / Alipay</w:t>
            </w:r>
          </w:p>
        </w:tc>
        <w:tc>
          <w:tcPr>
            <w:tcW w:w="3120" w:type="dxa"/>
          </w:tcPr>
          <w:p>
            <w:pPr/>
            <w:r>
              <w:t xml:space="preserve">Продовые данные MYbank — транзакции Alipay (baseline 2019) [17]. Для внешнего копилота — выгрузки счетов продавца с его согласия</w:t>
            </w:r>
          </w:p>
        </w:tc>
        <w:tc>
          <w:tcPr>
            <w:tcW w:w="3120" w:type="dxa"/>
          </w:tcPr>
          <w:p>
            <w:pPr/>
            <w:r>
              <w:t xml:space="preserve">гипотеза: форматы и сроки выгрузок датированными источниками не подтверждены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Бухгалтерия (Kingdee, Yonyou)</w:t>
            </w:r>
          </w:p>
        </w:tc>
        <w:tc>
          <w:tcPr>
            <w:tcW w:w="3120" w:type="dxa"/>
          </w:tcPr>
          <w:p>
            <w:pPr/>
            <w:r>
              <w:t xml:space="preserve">Нативные API ERP и открытые протоколы для внешних систем (Kingdee 灵基, 06.2026) [11]</w:t>
            </w:r>
          </w:p>
        </w:tc>
        <w:tc>
          <w:tcPr>
            <w:tcW w:w="3120" w:type="dxa"/>
          </w:tcPr>
          <w:p>
            <w:pPr/>
            <w:r>
              <w:t xml:space="preserve">confirmed на уровне архитектуры; спецификации — н/р. GB/T 24589 и XBRL не проверялись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Государственные реестры и 信易贷</w:t>
            </w:r>
          </w:p>
        </w:tc>
        <w:tc>
          <w:tcPr>
            <w:tcW w:w="3120" w:type="dxa"/>
          </w:tcPr>
          <w:p>
            <w:pPr/>
            <w:r>
              <w:t xml:space="preserve">74 вида данных о компаниях (налоги, соцвзносы, коммуналка) доступны банкам по согласию через сеть финансово-кредитных платформ (2025, из предыдущего ресёрча [56])</w:t>
            </w:r>
          </w:p>
        </w:tc>
        <w:tc>
          <w:tcPr>
            <w:tcW w:w="3120" w:type="dxa"/>
          </w:tcPr>
          <w:p>
            <w:pPr/>
            <w:r>
              <w:t xml:space="preserve">confirmed; доступ — у финансовых институтов, не у сторонних приложений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E-commerce, таможня (单一窗口), 企查查/天眼查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не проверялось в этом проходе</w:t>
            </w:r>
          </w:p>
        </w:tc>
      </w:tr>
    </w:tbl>
    <w:p>
      <w:pPr>
        <w:pStyle w:val="Heading3"/>
      </w:pPr>
      <w:r>
        <w:t xml:space="preserve">2.2–2.3. Хранение и обработка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Базы данных и фичесторы конкурентов</w:t>
      </w:r>
      <w:r>
        <w:t xml:space="preserve"> (OceanBase, TDSQL, Milvus и т. п.) — датированными источниками для SME-продуктов не подтверждены; вынесено в «Что осталось неизвестным».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База знаний как контекст агента.</w:t>
      </w:r>
      <w:r>
        <w:t xml:space="preserve"> MYbank сводит правила, документы и данные клиентов в единую базу «для AI» [16][14]; Kingdee — в слой «знание и онтология» [11]. Confirmed как принцип, реализация — н/р.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Приватные вычисления.</w:t>
      </w:r>
      <w:r>
        <w:t xml:space="preserve"> FATE-LLM от WeBank: федеративное дообучение с LoRA передаёт ~0.058% параметров полного fine-tune, есть дифференциальная приватность и MPC (2023, verified на ChatGLM-6B) [6]. Используется ли это в текущем SME-кредитовании WeBank — н/р.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Сетевые признаки.</w:t>
      </w:r>
      <w:r>
        <w:t xml:space="preserve"> Связи по владению и транзакциям улучшают скоринг МСП и показывают «заражение» дефолтами по цепочке поставок (GNN, 10.2025, данные неназванного банка) [36]; MYbank использует платёжные сети с 2018 [17].</w:t>
      </w:r>
    </w:p>
    <w:p>
      <w:pPr>
        <w:pStyle w:val="Heading3"/>
      </w:pPr>
      <w:r>
        <w:t xml:space="preserve">2.4. Compliance-слой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Правило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требует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Последствие для копилота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Положение о кредитной деятельности (征信业务管理办法), PBoC № 4/2021, действует с 01.01.2022</w:t>
            </w:r>
          </w:p>
        </w:tc>
        <w:tc>
          <w:tcPr>
            <w:tcW w:w="3120" w:type="dxa"/>
          </w:tcPr>
          <w:p>
            <w:pPr/>
            <w:r>
              <w:t xml:space="preserve">Сбор и предоставление кредитной информации — только с лицензией (физлица) или регистрацией в PBoC (компании); банки не покупают «кредитные услуги» у нелицензированных (ст. 3–5); переходный период 18 месяцев [21]</w:t>
            </w:r>
          </w:p>
        </w:tc>
        <w:tc>
          <w:tcPr>
            <w:tcW w:w="3120" w:type="dxa"/>
          </w:tcPr>
          <w:p>
            <w:pPr/>
            <w:r>
              <w:t xml:space="preserve">Скор копилота нельзя продавать банку как кредитную оценку; его место — анализ для самого владельца или инструмент внутри банка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«断直连»</w:t>
            </w:r>
          </w:p>
        </w:tc>
        <w:tc>
          <w:tcPr>
            <w:tcW w:w="3120" w:type="dxa"/>
          </w:tcPr>
          <w:p>
            <w:pPr/>
            <w:r>
              <w:t xml:space="preserve">Платформы не передают персональные данные банкам напрямую, включая скоринговые оценки; маршрут «платформа → бюро → банк» (2021, по требованию PBoC) [22]</w:t>
            </w:r>
          </w:p>
        </w:tc>
        <w:tc>
          <w:tcPr>
            <w:tcW w:w="3120" w:type="dxa"/>
          </w:tcPr>
          <w:p>
            <w:pPr/>
            <w:r>
              <w:t xml:space="preserve">Передача данных в банк делает сам владелец или банковский канал; в демо — явная граница между «помощником владельца» и «заявкой в банк»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JR/T 0197-2020 (классификация финансовых данных)</w:t>
            </w:r>
          </w:p>
        </w:tc>
        <w:tc>
          <w:tcPr>
            <w:tcW w:w="3120" w:type="dxa"/>
          </w:tcPr>
          <w:p>
            <w:pPr/>
            <w:r>
              <w:t xml:space="preserve">5 уровней; личная финансовая информация C3 — не ниже 4-го, история кредитов физлица — не ниже 3-го [29]</w:t>
            </w:r>
          </w:p>
        </w:tc>
        <w:tc>
          <w:tcPr>
            <w:tcW w:w="3120" w:type="dxa"/>
          </w:tcPr>
          <w:p>
            <w:pPr/>
            <w:r>
              <w:t xml:space="preserve">Каждое поле данных в копилоте помечено уровнем; от уровня зависят права агентов и маскирование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Руководство NFRA и AI в банках (金发〔2026〕8号), 18.06.2026</w:t>
            </w:r>
          </w:p>
        </w:tc>
        <w:tc>
          <w:tcPr>
            <w:tcW w:w="3120" w:type="dxa"/>
          </w:tcPr>
          <w:p>
            <w:pPr/>
            <w:r>
              <w:t xml:space="preserve">Внешние GenAI-модели — только зарегистрированные в CAC (ст. 5); высокорисковые применения — с одобрения комитета по рискам (ст. 16); человек в контуре и аварийная остановка (ст. 17); хранение пути рассуждения (ст. 22); личные данные не для обучения (ст. 24); защита от prompt injection (ст. 25) [38][39]</w:t>
            </w:r>
          </w:p>
        </w:tc>
        <w:tc>
          <w:tcPr>
            <w:tcW w:w="3120" w:type="dxa"/>
          </w:tcPr>
          <w:p>
            <w:pPr/>
            <w:r>
              <w:t xml:space="preserve">Прямой чек-лист для нашей security-части (см. Блок 4.4)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Регистрация GenAI в CAC (备案 / 登记)</w:t>
            </w:r>
          </w:p>
        </w:tc>
        <w:tc>
          <w:tcPr>
            <w:tcW w:w="3120" w:type="dxa"/>
          </w:tcPr>
          <w:p>
            <w:pPr/>
            <w:r>
              <w:t xml:space="preserve">Модель — 备案 на федеральном уровне; приложение на чужой зарегистрированной модели — 登记 в местном управлении; номер и имя модели показываются в продукте (на 30.06.2026: 988 и 598) [24]</w:t>
            </w:r>
          </w:p>
        </w:tc>
        <w:tc>
          <w:tcPr>
            <w:tcW w:w="3120" w:type="dxa"/>
          </w:tcPr>
          <w:p>
            <w:pPr/>
            <w:r>
              <w:t xml:space="preserve">Для прода достаточно 登记 поверх уже зарегистрированной модели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Маркировка AI-контента (CAC), с 01.09.2025</w:t>
            </w:r>
          </w:p>
        </w:tc>
        <w:tc>
          <w:tcPr>
            <w:tcW w:w="3120" w:type="dxa"/>
          </w:tcPr>
          <w:p>
            <w:pPr/>
            <w:r>
              <w:t xml:space="preserve">Явная и скрытая маркировка [44]</w:t>
            </w:r>
          </w:p>
        </w:tc>
        <w:tc>
          <w:tcPr>
            <w:tcW w:w="3120" w:type="dxa"/>
          </w:tcPr>
          <w:p>
            <w:pPr/>
            <w:r>
              <w:t xml:space="preserve">Пометка «сгенерировано AI» в интерфейсе и метаданных отчётов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Трансграничная передача данных (CAC, 22.03.2024)</w:t>
            </w:r>
          </w:p>
        </w:tc>
        <w:tc>
          <w:tcPr>
            <w:tcW w:w="3120" w:type="dxa"/>
          </w:tcPr>
          <w:p>
            <w:pPr/>
            <w:r>
              <w:t xml:space="preserve">Смягчения и исключения для вывоза данных; «важные данные» — по уведомлению регулятора, отраслевые каталоги готовятся [23]. Пороги по числу лиц первоисточником не проверены</w:t>
            </w:r>
          </w:p>
        </w:tc>
        <w:tc>
          <w:tcPr>
            <w:tcW w:w="3120" w:type="dxa"/>
          </w:tcPr>
          <w:p>
            <w:pPr/>
            <w:r>
              <w:t xml:space="preserve">Команда из зарубежных вузов: не вывозить данные МСП из КНР, демо — на синтетике, прод — в китайском облаке</w:t>
            </w:r>
          </w:p>
        </w:tc>
      </w:tr>
    </w:tbl>
    <w:p>
      <w:pPr/>
      <w:r>
        <w:rPr>
          <w:b/>
        </w:rPr>
        <w:t xml:space="preserve">Узкие места пайплайна (вывод).</w:t>
      </w:r>
      <w:r>
        <w:t xml:space="preserve"> (1) Права на кредитные данные — у лицензиатов [21][22]. (2) Инвойсы уже цифровые, но прямой канал 乐企 предназначен для систем самого предприятия или аккредитованных провайдеров, каждая функция проходит тесты налоговой [26][27]. (3) Данные микробизнеса разбросаны по бумажным книгам и таблицам [41] — OCR и ручная загрузка остаются обязательным каналом. Задержки по каждому каналу датированными источниками не подтверждены.</w:t>
      </w:r>
    </w:p>
    <w:p>
      <w:pPr>
        <w:pStyle w:val="Heading2"/>
      </w:pPr>
      <w:r>
        <w:t xml:space="preserve">Блок 3. Пустоты (gap-analysis)</w:t>
      </w:r>
    </w:p>
    <w:p>
      <w:pPr/>
      <w:r>
        <w:t xml:space="preserve">Самая сильная пустота — никто не связывает в один поток инвойсы, прогноз поступлений и выбор финансирования для самого владельца. Банки делают агентов под свои продукты, ERP — под учёт, налоговые сервисы — под отчётность. «Пустота» здесь означает отсутствие упоминаний в просмотренных источниках, а не доказанное отсутствие на рынке.</w:t>
      </w:r>
    </w:p>
    <w:p>
      <w:pPr>
        <w:pStyle w:val="Heading3"/>
      </w:pPr>
      <w:r>
        <w:t xml:space="preserve">Интеграционные и технологические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Нет связки «инвойс → прогноз cash-flow → матчинг финансирования» в одном флоу.</w:t>
      </w:r>
      <w:r>
        <w:t xml:space="preserve"> Агент MYbank покрывает кредит, векселя и налоги, но внутри своих продуктов [15]; агенты Kingdee — авансовые отчёты, сверка, закрытие месяца [11]; Servyou — учёт и налоговый комплаенс [19]. При этом инвойсы с декабря 2024 цифровые по всей стране [25] — сырьё для такого флоу есть.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Нет объяснения для владельца «почему отказ и что изменить» (counterfactual).</w:t>
      </w:r>
      <w:r>
        <w:t xml:space="preserve"> У MYbank и Du Xiaoman объяснение видит эксперт банка: в кейсе MYbank AI рекомендовал отказ, эксперт нашёл три упущенных факта и одобрил 1.8 млн RMB [16][5]. Клиентские counterfactual-объяснения в источниках не описаны, а NFRA требует стандартов прозрачности для высокорисковых сценариев (ст. 21–22) [38].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Дебиторка и сроки оплаты (账期) не покрыты AI-функциями.</w:t>
      </w:r>
      <w:r>
        <w:t xml:space="preserve"> Ни в одном из описаний агентов MYbank, WeBank, Kingdee, Servyou нет контроля сроков оплаты от покупателей [14][8][11][19], хотя крупные покупатели с июня 2025 обязаны платить МСП за 60 дней (см. предыдущий ресёрч [57]).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Приватность на стороне клиента.</w:t>
      </w:r>
      <w:r>
        <w:t xml:space="preserve"> Технология есть с 2023 года (FATE-LLM: федеративный LoRA, DP, MPC) [6], NFRA запрещает обучать модели на личных данных (ст. 24) [38], но ни один SME-копилот не заявляет локальную обработку или федеративное дообучение [8][14][11].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Дешёвый копилот на малой модели.</w:t>
      </w:r>
      <w:r>
        <w:t xml:space="preserve"> 58.5% владельцев отказывались от AI-инструментов из-за цены [41]; MYbank отвечает раздачей до 10 млн пробных токенов [42], а не дешёвой архитектурой. Открытые модели на 8B с tool calling доступны под Apache 2.0 [32].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Нет публичного бенчмарка SME-задач.</w:t>
      </w:r>
      <w:r>
        <w:t xml:space="preserve"> Существующие оценки — экзаменационные знания и прикладные NLP-задачи (CFLUE) [30] и инвестиционные исследования (FinFIRST) [3]. Задач типа «рассчитай кассовый разрыв и подбери финансирование» в них нет.</w:t>
      </w:r>
    </w:p>
    <w:p>
      <w:pPr>
        <w:pStyle w:val="Heading3"/>
      </w:pPr>
      <w:r>
        <w:t xml:space="preserve">Сегменты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B2B-поставщики и малое производство</w:t>
      </w:r>
      <w:r>
        <w:t xml:space="preserve"> (вывод). Агент MYbank ориентирован на продавцов и офлайн-точки [16][17]; сетевые риски цепочек поставок показаны в исследованиях [36], но не в клиентских продуктах.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Экспортёры — финансовая часть</w:t>
      </w:r>
      <w:r>
        <w:t xml:space="preserve"> (вывод). Инструмент Accio Work в AI-карте MYbank помогает искать клиентов [42], а не управлять валютной выручкой и таможенными данными. Проверено по одному источнику.</w:t>
      </w:r>
    </w:p>
    <w:p>
      <w:pPr>
        <w:pStyle w:val="ListParagraph"/>
        <w:numPr>
          <w:ilvl w:val="0"/>
          <w:numId w:val="4"/>
        </w:numPr>
      </w:pPr>
      <w:r>
        <w:t xml:space="preserve">Сельские и уездные бизнесы — </w:t>
      </w:r>
      <w:r>
        <w:rPr>
          <w:b/>
        </w:rPr>
        <w:t xml:space="preserve">не пустота</w:t>
      </w:r>
      <w:r>
        <w:t xml:space="preserve">: у MYbank есть агро-ассистент и проактивная реакция на погодные бедствия для десятков тысяч клиентов [16].</w:t>
      </w:r>
    </w:p>
    <w:p>
      <w:pPr>
        <w:pStyle w:val="Heading3"/>
      </w:pPr>
      <w:r>
        <w:t xml:space="preserve">UX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Копилот для владельца внутри WeCom (企业微信).</w:t>
      </w:r>
      <w:r>
        <w:t xml:space="preserve"> В WeCom уже работает агент 慧算账, но для бухгалтеров аутсорсинга [20]; агент MYbank — в своём приложении и мини-программе [15]. WeCom — экосистема Tencent, как и WeBank (гипотеза о синергии, не факт).</w:t>
      </w:r>
    </w:p>
    <w:p>
      <w:pPr>
        <w:pStyle w:val="ListParagraph"/>
        <w:numPr>
          <w:ilvl w:val="0"/>
          <w:numId w:val="5"/>
        </w:numPr>
      </w:pPr>
      <w:r>
        <w:t xml:space="preserve">Голос для владельцев 50+ и интеграция с Douyin Shop — данных не найдено ни в подтверждение, ни в опровержение; в список пустот не вносим.</w:t>
      </w:r>
    </w:p>
    <w:p>
      <w:pPr>
        <w:pStyle w:val="Heading2"/>
      </w:pPr>
      <w:r>
        <w:t xml:space="preserve">Блок 4. Рекомендации для MVP</w:t>
      </w:r>
    </w:p>
    <w:p>
      <w:pPr/>
      <w:r>
        <w:t xml:space="preserve">Рекомендуемая сборка: Qwen3 (8B–14B) + LoRA на открытых финансовых данных, оркестратор с тремя специалистами и детерминированным compliance-стражем, синтетические инвойсы и выписки. Демо — поток «инвойс → прогноз → алерт → выбор финансирования» с человеком на кредитном шаге.</w:t>
      </w:r>
    </w:p>
    <w:p>
      <w:pPr/>
      <w:r>
        <w:t xml:space="preserve">Маркировка: </w:t>
      </w:r>
      <w:r>
        <w:rPr>
          <w:b/>
        </w:rPr>
        <w:t xml:space="preserve">[ПОДТВЕРЖДЕНО]</w:t>
      </w:r>
      <w:r>
        <w:t xml:space="preserve"> — факт из источника; </w:t>
      </w:r>
      <w:r>
        <w:rPr>
          <w:b/>
        </w:rPr>
        <w:t xml:space="preserve">[ГИПОТЕЗА]</w:t>
      </w:r>
      <w:r>
        <w:t xml:space="preserve"> — наш вывод, основание указано.</w:t>
      </w:r>
    </w:p>
    <w:p>
      <w:pPr>
        <w:pStyle w:val="Heading3"/>
      </w:pPr>
      <w:r>
        <w:t xml:space="preserve">4.1. LLM-стек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Размер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Лицензия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Минусы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Qwen3-8B / 14B</w:t>
            </w:r>
            <w:r>
              <w:t xml:space="preserve"> (рекомендуем)</w:t>
            </w:r>
          </w:p>
        </w:tc>
        <w:tc>
          <w:tcPr>
            <w:tcW w:w="1872" w:type="dxa"/>
          </w:tcPr>
          <w:p>
            <w:pPr/>
            <w:r>
              <w:t xml:space="preserve">8.2B; контекст 32K, до 131K через YaRN [32]</w:t>
            </w:r>
          </w:p>
        </w:tc>
        <w:tc>
          <w:tcPr>
            <w:tcW w:w="1872" w:type="dxa"/>
          </w:tcPr>
          <w:p>
            <w:pPr/>
            <w:r>
              <w:t xml:space="preserve">Apache 2.0 [32]</w:t>
            </w:r>
          </w:p>
        </w:tc>
        <w:tc>
          <w:tcPr>
            <w:tcW w:w="1872" w:type="dxa"/>
          </w:tcPr>
          <w:p>
            <w:pPr/>
            <w:r>
              <w:t xml:space="preserve">Tool calling и режим рассуждения из коробки [32]; Qwen-72B сильнее других открытых моделей на прикладных задачах CFLUE (2024, verified) [30]</w:t>
            </w:r>
          </w:p>
        </w:tc>
        <w:tc>
          <w:tcPr>
            <w:tcW w:w="1872" w:type="dxa"/>
          </w:tcPr>
          <w:p>
            <w:pPr/>
            <w:r>
              <w:t xml:space="preserve">Результаты именно Qwen3 на финансовых бенчмарках не проверялись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DeepSeek-R1-Distill-Qwen-7B / 14B</w:t>
            </w:r>
          </w:p>
        </w:tc>
        <w:tc>
          <w:tcPr>
            <w:tcW w:w="1872" w:type="dxa"/>
          </w:tcPr>
          <w:p>
            <w:pPr/>
            <w:r>
              <w:t xml:space="preserve">7B / 14B [33]</w:t>
            </w:r>
          </w:p>
        </w:tc>
        <w:tc>
          <w:tcPr>
            <w:tcW w:w="1872" w:type="dxa"/>
          </w:tcPr>
          <w:p>
            <w:pPr/>
            <w:r>
              <w:t xml:space="preserve">MIT для R1; база Qwen2.5 — Apache 2.0 [33]</w:t>
            </w:r>
          </w:p>
        </w:tc>
        <w:tc>
          <w:tcPr>
            <w:tcW w:w="1872" w:type="dxa"/>
          </w:tcPr>
          <w:p>
            <w:pPr/>
            <w:r>
              <w:t xml:space="preserve">Сильное рассуждение, 800K обучающих примеров от R1 [33]</w:t>
            </w:r>
          </w:p>
        </w:tc>
        <w:tc>
          <w:tcPr>
            <w:tcW w:w="1872" w:type="dxa"/>
          </w:tcPr>
          <w:p>
            <w:pPr/>
            <w:r>
              <w:t xml:space="preserve">Длинные рассуждения дороже по латентности [ГИПОТЕЗА]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GLM-4.5-Air</w:t>
            </w:r>
          </w:p>
        </w:tc>
        <w:tc>
          <w:tcPr>
            <w:tcW w:w="1872" w:type="dxa"/>
          </w:tcPr>
          <w:p>
            <w:pPr/>
            <w:r>
              <w:t xml:space="preserve">106B всего / 12B активных [34]</w:t>
            </w:r>
          </w:p>
        </w:tc>
        <w:tc>
          <w:tcPr>
            <w:tcW w:w="1872" w:type="dxa"/>
          </w:tcPr>
          <w:p>
            <w:pPr/>
            <w:r>
              <w:t xml:space="preserve">MIT [34]</w:t>
            </w:r>
          </w:p>
        </w:tc>
        <w:tc>
          <w:tcPr>
            <w:tcW w:w="1872" w:type="dxa"/>
          </w:tcPr>
          <w:p>
            <w:pPr/>
            <w:r>
              <w:t xml:space="preserve">Спроектирована под агентов, tool calling в vLLM/SGLang [34]</w:t>
            </w:r>
          </w:p>
        </w:tc>
        <w:tc>
          <w:tcPr>
            <w:tcW w:w="1872" w:type="dxa"/>
          </w:tcPr>
          <w:p>
            <w:pPr/>
            <w:r>
              <w:t xml:space="preserve">Для хакатона тяжела для fine-tune [ГИПОТЕЗА]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Ling-3.0-flash-Fin (Ant)</w:t>
            </w:r>
          </w:p>
        </w:tc>
        <w:tc>
          <w:tcPr>
            <w:tcW w:w="1872" w:type="dxa"/>
          </w:tcPr>
          <w:p>
            <w:pPr/>
            <w:r>
              <w:t xml:space="preserve">124B / 5.1B активных, 256K [3]</w:t>
            </w:r>
          </w:p>
        </w:tc>
        <w:tc>
          <w:tcPr>
            <w:tcW w:w="1872" w:type="dxa"/>
          </w:tcPr>
          <w:p>
            <w:pPr/>
            <w:r>
              <w:t xml:space="preserve">не установлена</w:t>
            </w:r>
          </w:p>
        </w:tc>
        <w:tc>
          <w:tcPr>
            <w:tcW w:w="1872" w:type="dxa"/>
          </w:tcPr>
          <w:p>
            <w:pPr/>
            <w:r>
              <w:t xml:space="preserve">Единственная открытая «финансово усиленная» модель 2026 года из найденных [3]</w:t>
            </w:r>
          </w:p>
        </w:tc>
        <w:tc>
          <w:tcPr>
            <w:tcW w:w="1872" w:type="dxa"/>
          </w:tcPr>
          <w:p>
            <w:pPr/>
            <w:r>
              <w:t xml:space="preserve">Модель прямого конкурента организатора; лицензия не проверена [ГИПОТЕЗА]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Данные для LoRA [ПОДТВЕРЖДЕНО]:</w:t>
      </w:r>
      <w:r>
        <w:t xml:space="preserve"> CFLUE — 38 636 вопросов из 15 финансовых экзаменов с объяснениями, разбиение 8:1:1, и 16 522 прикладных задачи; дообучение лёгких моделей на нём заметно поднимает точность [30]. DISC-FIN-SFT — около 246 тыс. инструкций (консультации, задачи, вычисления, поиск) [31]; лицензия датасета не указана — проверить перед использованием.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Железо [ГИПОТЕЗА]:</w:t>
      </w:r>
      <w:r>
        <w:t xml:space="preserve"> LoRA для 8B–14B укладывается в одну арендную GPU уровня A100/H100; инференс 8B — на одной GPU среднего класса. Основание — размер модели [32]; замеры не проводились.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Для прода в КНР [ПОДТВЕРЖДЕНО]:</w:t>
      </w:r>
      <w:r>
        <w:t xml:space="preserve"> банк сможет взять внешнюю модель, только если она зарегистрирована в CAC (NFRA, ст. 5) [38]. В заявке стоит написать: модель заменяема, в проде — зарегистрированная модель банка или облака.</w:t>
      </w:r>
    </w:p>
    <w:p>
      <w:pPr>
        <w:pStyle w:val="Heading3"/>
      </w:pPr>
      <w:r>
        <w:t xml:space="preserve">4.2. Агентная архитектура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[ПОДТВЕРЖДЕНО] что делают лидеры:</w:t>
      </w:r>
      <w:r>
        <w:t xml:space="preserve"> MYbank — один клиентский агент, вызывающий атомарные экспертные навыки, система оценок, человек на решении по лимиту [14][16]; Servyou — мультиагентная сеть на A2A [19]; WeBank — переиспользуемые Skills на единой платформе [8].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[ГИПОТЕЗА] наша схема:</w:t>
      </w:r>
      <w:r>
        <w:t xml:space="preserve"> оркестратор + три специалиста (cash-flow, финансирование, аналитика) + compliance-страж как детерминированный слой правил, а не LLM. Основание: страж должен срабатывать предсказуемо — NFRA требует чётких границ прав и аварийной остановки [38]. Специалисты вызывают детерминированные инструменты (прогноз, расчёт полной стоимости кредита), а LLM только интерпретирует и объясняет.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Фреймворк [ПОДТВЕРЖДЕНО + ГИПОТЕЗА]:</w:t>
      </w:r>
      <w:r>
        <w:t xml:space="preserve"> AgentScope 1.0 (Alibaba) даёт ReAct, MCP-инструменты, память, песочницу и модуль оценки [35]; JD JoyAgent — открытый мультиагентный движок с DAG [10]. LangGraph, AutoGen, CrewAI в этом проходе не проверялись; выбирать по тому, в чём команда быстрее соберёт демо.</w:t>
      </w:r>
    </w:p>
    <w:p>
      <w:pPr>
        <w:pStyle w:val="Heading3"/>
      </w:pPr>
      <w:r>
        <w:t xml:space="preserve">4.3. Data pipeline MVP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[ПОДТВЕРЖДЕНО]</w:t>
      </w:r>
      <w:r>
        <w:t xml:space="preserve"> Продовые данные недоступны: прямой канал инвойсов требует договора с налоговой и тестирования каждой функции [27], кредитные данные — лицензии [21].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[ГИПОТЕЗА] Синтетика:</w:t>
      </w:r>
      <w:r>
        <w:t xml:space="preserve"> генератор 3–5 профилей компаний под персоны A–C из предыдущего ресёрча: 12 месяцев инвойсов по элементам 数电票 (номер, стороны, сумма, НДС, дата), банковские выписки с сезонностью, задержки оплат покупателей, каталог кредитных продуктов с полной стоимостью. Всё — без реальных личных данных.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[ГИПОТЕЗА] Публичные данные:</w:t>
      </w:r>
      <w:r>
        <w:t xml:space="preserve"> CFLUE и DISC-FIN-SFT — для дообучения [30][31]; макро-контекст (срок дебиторки, маржа) — из предыдущего ресёрча. CSMAR, Wind, Kaggle, World Bank Enterprise Surveys не проверялись — не обещать без проверки лицензий.</w:t>
      </w:r>
    </w:p>
    <w:p>
      <w:pPr>
        <w:pStyle w:val="Heading3"/>
      </w:pPr>
      <w:r>
        <w:t xml:space="preserve">4.4. Security &amp; compliance (30% оценки)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Фича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Опора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Уровни прав (permission tiers): «читать» → «рассчитать» → «предложить» → «действовать с подтверждением»; доступ к полю зависит от уровня данных 1–5</w:t>
            </w:r>
          </w:p>
        </w:tc>
        <w:tc>
          <w:tcPr>
            <w:tcW w:w="3120" w:type="dxa"/>
          </w:tcPr>
          <w:p>
            <w:pPr/>
            <w:r>
              <w:t xml:space="preserve">JR/T 0197 [29]; NFRA ст. 3, 16, 17 [38]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 требования; схема уровней — [ГИПОТЕЗА]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Кредитные и денежные действия — только с подтверждением человека; кнопка аварийной остановки агента</w:t>
            </w:r>
          </w:p>
        </w:tc>
        <w:tc>
          <w:tcPr>
            <w:tcW w:w="3120" w:type="dxa"/>
          </w:tcPr>
          <w:p>
            <w:pPr/>
            <w:r>
              <w:t xml:space="preserve">NFRA ст. 17, 22 [38]; практика MYbank [14]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Журнал рассуждений: исходные данные, вызовы инструментов, сработавшие пороги</w:t>
            </w:r>
          </w:p>
        </w:tc>
        <w:tc>
          <w:tcPr>
            <w:tcW w:w="3120" w:type="dxa"/>
          </w:tcPr>
          <w:p>
            <w:pPr/>
            <w:r>
              <w:t xml:space="preserve">NFRA ст. 22 [38]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Known-risk list: prompt injection, галлюцинация цифр, утечка ПД, оферта дороже 24%, обход «断直连»</w:t>
            </w:r>
          </w:p>
        </w:tc>
        <w:tc>
          <w:tcPr>
            <w:tcW w:w="3120" w:type="dxa"/>
          </w:tcPr>
          <w:p>
            <w:pPr/>
            <w:r>
              <w:t xml:space="preserve">NFRA ст. 14, 25 [38]; порог 24% [43]; [22]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 риски; формат списка — [ГИПОТЕЗА]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Red-teaming: 30–50 атакующих промптов и отчёт о проценте заблокированных</w:t>
            </w:r>
          </w:p>
        </w:tc>
        <w:tc>
          <w:tcPr>
            <w:tcW w:w="3120" w:type="dxa"/>
          </w:tcPr>
          <w:p>
            <w:pPr/>
            <w:r>
              <w:t xml:space="preserve">NFRA ст. 25 [38]</w:t>
            </w:r>
          </w:p>
        </w:tc>
        <w:tc>
          <w:tcPr>
            <w:tcW w:w="3120" w:type="dxa"/>
          </w:tcPr>
          <w:p>
            <w:pPr/>
            <w:r>
              <w:t xml:space="preserve">[ГИПОТЕЗА] объём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Пометка «сгенерировано AI» в интерфейсе и метаданных</w:t>
            </w:r>
          </w:p>
        </w:tc>
        <w:tc>
          <w:tcPr>
            <w:tcW w:w="3120" w:type="dxa"/>
          </w:tcPr>
          <w:p>
            <w:pPr/>
            <w:r>
              <w:t xml:space="preserve">Меры CAC о маркировке [44]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Раздел «Регистрация» в документации: в проде — 登记 поверх зарегистрированной модели, показ имени и номера модели</w:t>
            </w:r>
          </w:p>
        </w:tc>
        <w:tc>
          <w:tcPr>
            <w:tcW w:w="3120" w:type="dxa"/>
          </w:tcPr>
          <w:p>
            <w:pPr/>
            <w:r>
              <w:t xml:space="preserve">CAC [24]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[ПОДТВЕРЖДЕНО]; сама регистрация на хакатоне невозможна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Поток данных без передачи ПД в банк напрямую: заявку отправляет сам владелец через банковский канал</w:t>
            </w:r>
          </w:p>
        </w:tc>
        <w:tc>
          <w:tcPr>
            <w:tcW w:w="3120" w:type="dxa"/>
          </w:tcPr>
          <w:p>
            <w:pPr/>
            <w:r>
              <w:t xml:space="preserve">«断直连» [22]; [21]</w:t>
            </w:r>
          </w:p>
        </w:tc>
        <w:tc>
          <w:tcPr>
            <w:tcW w:w="3120" w:type="dxa"/>
          </w:tcPr>
          <w:p>
            <w:pPr/>
            <w:r>
              <w:t xml:space="preserve">[ПОДТВЕРЖДЕНО]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Мок федеративного дообучения на FATE — необязательно</w:t>
            </w:r>
          </w:p>
        </w:tc>
        <w:tc>
          <w:tcPr>
            <w:tcW w:w="3120" w:type="dxa"/>
          </w:tcPr>
          <w:p>
            <w:pPr/>
            <w:r>
              <w:t xml:space="preserve">FATE-LLM [6]</w:t>
            </w:r>
          </w:p>
        </w:tc>
        <w:tc>
          <w:tcPr>
            <w:tcW w:w="3120" w:type="dxa"/>
          </w:tcPr>
          <w:p>
            <w:pPr/>
            <w:r>
              <w:t xml:space="preserve">[ГИПОТЕЗА]: сильный сигнал для жюри WeBank, но дорог по времени; достаточно архитектурного слайда</w:t>
            </w:r>
          </w:p>
        </w:tc>
      </w:tr>
    </w:tbl>
    <w:p>
      <w:pPr>
        <w:pStyle w:val="Heading3"/>
      </w:pPr>
      <w:r>
        <w:t xml:space="preserve">4.5. Innovation hooks (30% оценки)</w:t>
      </w:r>
    </w:p>
    <w:p>
      <w:pPr/>
      <w:r>
        <w:t xml:space="preserve">Все три — </w:t>
      </w:r>
      <w:r>
        <w:rPr>
          <w:b/>
        </w:rPr>
        <w:t xml:space="preserve">[ГИПОТЕЗА]</w:t>
      </w:r>
      <w:r>
        <w:t xml:space="preserve">, выведены из пустот Блока 3; срок — до 20.10.2026.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Invoice-to-cash флоу (пустоты 1 и 3).</w:t>
      </w:r>
      <w:r>
        <w:t xml:space="preserve"> Инвойс → прогноз поступления → алерт по 60-дневному сроку → черновик напоминания покупателю → сравнение «ждать / факторинг / кредит» с полной стоимостью → заявка с подтверждением. Бьёт прямо в task completion (40%).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«Что изменить, чтобы банк сказал да» (пустота 2).</w:t>
      </w:r>
      <w:r>
        <w:t xml:space="preserve"> Counterfactual-объяснение на прозрачной правиловой модели готовности: «если сократить срок дебиторки с 75 до 60 дней…». Связь с требованием NFRA о прозрачности [38] даёт очки и в compliance. Важно: это оценка для самого владельца, а не кредитный скор [21].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Мини-бенчмарк SME-задач (пустота 6).</w:t>
      </w:r>
      <w:r>
        <w:t xml:space="preserve"> 30–50 сценариев с эталонным результатом и метрикой доли завершённых задач — измеримое доказательство task completion вместо демо «на слово». Пример подхода — открытый Ant бенчмарк FinFIRST для инвестиций [3].</w:t>
      </w:r>
    </w:p>
    <w:p>
      <w:pPr/>
      <w:r>
        <w:t xml:space="preserve">Канал доставки в демо — веб или макет мини-программы; WeCom как следующий шаг (пустота 10).</w:t>
      </w:r>
    </w:p>
    <w:p>
      <w:pPr>
        <w:pStyle w:val="Heading3"/>
      </w:pPr>
      <w:r>
        <w:t xml:space="preserve">4.6. Риски и то, что не стоит обещать жюри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Реальный кредитный скоринг и данные 征信</w:t>
      </w:r>
      <w:r>
        <w:t xml:space="preserve"> — нужна лицензия или регистрация в PBoC [21]. Писать: «оценка готовности для владельца, sandbox».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Подключение к 乐企 и налоговым данным</w:t>
      </w:r>
      <w:r>
        <w:t xml:space="preserve"> — договор и тесты налоговой [27]. Писать: «синтетические инвойсы в формате 数电票».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API продавца Alipay / WeChat Pay</w:t>
      </w:r>
      <w:r>
        <w:t xml:space="preserve"> — доступ владельца к своим счетам есть, но интеграция за две недели нереалистична [ГИПОТЕЗА]. Писать: «импорт выписки файлом».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Регистрация в CAC</w:t>
      </w:r>
      <w:r>
        <w:t xml:space="preserve"> — не заявлять как сделанную [24].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«Лучше MYbank»</w:t>
      </w:r>
      <w:r>
        <w:t xml:space="preserve"> — не сравнивать напрямую: у них 42 млн пользователей и боевые данные [15]. Результаты MYbank и Du Xiaoman (×7, −50% дефолтов) — claim, цитировать только с этой пометкой [40][5].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Вывоз данных из КНР</w:t>
      </w:r>
      <w:r>
        <w:t xml:space="preserve"> — не делать; правила 2024 года смягчили режим, но статус «важных данных» финсектора не определён [23].</w:t>
      </w:r>
    </w:p>
    <w:p>
      <w:pPr>
        <w:pStyle w:val="Heading2"/>
      </w:pPr>
      <w:r>
        <w:t xml:space="preserve">Библиография</w:t>
      </w:r>
    </w:p>
    <w:p>
      <w:pPr/>
      <w:r>
        <w:t xml:space="preserve">47 источников, отсечка 10.10.2026; все страницы открыты и прочитаны в этом проходе. Нумерация с пропусками: номера 4, 7, 13, 18, 28, 37, 46, 51, 54, 55 не используются. Источники до 2024 года помечены как baseline.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Издание / автор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Заголовок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Дата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Язык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Блок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同花顺 / IT之家</w:t>
            </w:r>
          </w:p>
        </w:tc>
        <w:tc>
          <w:tcPr>
            <w:tcW w:w="156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蚂蚁百灵发布 Ling-3.1-flash 模型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30.09.2026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80aj.com (блог, вторичный)</w:t>
            </w:r>
          </w:p>
        </w:tc>
        <w:tc>
          <w:tcPr>
            <w:tcW w:w="156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Ling-3.0-flash-Fin: финансовая модель Ant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28.08.2026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量子位 QbitAI</w:t>
            </w:r>
          </w:p>
        </w:tc>
        <w:tc>
          <w:tcPr>
            <w:tcW w:w="156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Ling-3.0-flash-Fin 开源 и бенчмарк FinFIRST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09.09.2026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第一财经</w:t>
            </w:r>
          </w:p>
        </w:tc>
        <w:tc>
          <w:tcPr>
            <w:tcW w:w="156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度小满与西安交大启动战略合作二期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25.03.2026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Fan T. et al. (WeBank, HKUST), arXiv</w:t>
            </w:r>
          </w:p>
        </w:tc>
        <w:tc>
          <w:tcPr>
            <w:tcW w:w="156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FATE-LLM: A Industrial Grade Federated Learning Framework for LLMs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2023 (baseline)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1, 2, 4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界面新闻</w:t>
            </w:r>
          </w:p>
        </w:tc>
        <w:tc>
          <w:tcPr>
            <w:tcW w:w="156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微众银行 AI 原生银行: 平台、数字员工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28.07.2026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每日经济新闻</w:t>
            </w:r>
          </w:p>
        </w:tc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微众银行2025年报出炉…AI算力规模提升3.5倍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01.05.2026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光明网</w:t>
            </w:r>
          </w:p>
        </w:tc>
        <w:tc>
          <w:tcPr>
            <w:tcW w:w="156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京东大模型品牌全新升级为JoyAI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30.07.2025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新华网</w:t>
            </w:r>
          </w:p>
        </w:tc>
        <w:tc>
          <w:tcPr>
            <w:tcW w:w="156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企业级AI迈向系统化落地 金蝶灵基…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01.06.2026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1, 2, 3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科技日报</w:t>
            </w:r>
          </w:p>
        </w:tc>
        <w:tc>
          <w:tcPr>
            <w:tcW w:w="156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金蝶AI原生产品收入同比增长约189%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12.08.2026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第一财经 (газета)</w:t>
            </w:r>
          </w:p>
        </w:tc>
        <w:tc>
          <w:tcPr>
            <w:tcW w:w="156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一句话调动一家银行: 智能体加速落地金融业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14.09.2026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1, 2, 3, 4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北京商报</w:t>
            </w:r>
          </w:p>
        </w:tc>
        <w:tc>
          <w:tcPr>
            <w:tcW w:w="156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Репортаж о запуске агента 百灵 2.0 на Inclusion·外滩大会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11.09.2026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量子位 QbitAI</w:t>
            </w:r>
          </w:p>
        </w:tc>
        <w:tc>
          <w:tcPr>
            <w:tcW w:w="156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银行Agent上岗: 4200万小微经营者可用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12.09.2026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1, 2, 3, 4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17</w:t>
            </w:r>
          </w:p>
        </w:tc>
        <w:tc>
          <w:tcPr>
            <w:tcW w:w="1560" w:type="dxa"/>
          </w:tcPr>
          <w:p>
            <w:pPr/>
            <w:r>
              <w:t xml:space="preserve">中国证券报</w:t>
            </w:r>
          </w:p>
        </w:tc>
        <w:tc>
          <w:tcPr>
            <w:tcW w:w="156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网商银行 “310” 模式 и риск-контроль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19.03.2019 (baseline)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界面新闻</w:t>
            </w:r>
          </w:p>
        </w:tc>
        <w:tc>
          <w:tcPr>
            <w:tcW w:w="156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Релиз Servyou: модель 犀友 и Agentic 2.0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11.06.2026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</w:t>
            </w:r>
          </w:p>
        </w:tc>
        <w:tc>
          <w:tcPr>
            <w:tcW w:w="1560" w:type="dxa"/>
          </w:tcPr>
          <w:p>
            <w:pPr/>
            <w:r>
              <w:t xml:space="preserve">扬子晚报网</w:t>
            </w:r>
          </w:p>
        </w:tc>
        <w:tc>
          <w:tcPr>
            <w:tcW w:w="156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慧算账 × 腾讯云 ClawPro: AI 助理 в WeCom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29.04.2026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21</w:t>
            </w:r>
          </w:p>
        </w:tc>
        <w:tc>
          <w:tcPr>
            <w:tcW w:w="1560" w:type="dxa"/>
          </w:tcPr>
          <w:p>
            <w:pPr/>
            <w:r>
              <w:t xml:space="preserve">国务院公报 / PBoC</w:t>
            </w:r>
          </w:p>
        </w:tc>
        <w:tc>
          <w:tcPr>
            <w:tcW w:w="156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征信业务管理办法 (人民银行令〔2021〕第4号)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27.09.2021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t xml:space="preserve">锦天城律师事务所</w:t>
            </w:r>
          </w:p>
        </w:tc>
        <w:tc>
          <w:tcPr>
            <w:tcW w:w="156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个人信息与金融机构“断直连”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13.07.2021 (baseline)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23</w:t>
            </w:r>
          </w:p>
        </w:tc>
        <w:tc>
          <w:tcPr>
            <w:tcW w:w="1560" w:type="dxa"/>
          </w:tcPr>
          <w:p>
            <w:pPr/>
            <w:r>
              <w:t xml:space="preserve">中伦律师事务所</w:t>
            </w:r>
          </w:p>
        </w:tc>
        <w:tc>
          <w:tcPr>
            <w:tcW w:w="156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解读《促进和规范数据跨境流动规定》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 (акт от 22.03.2024)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24</w:t>
            </w:r>
          </w:p>
        </w:tc>
        <w:tc>
          <w:tcPr>
            <w:tcW w:w="1560" w:type="dxa"/>
          </w:tcPr>
          <w:p>
            <w:pPr/>
            <w:r>
              <w:t xml:space="preserve">光明网 / 央视</w:t>
            </w:r>
          </w:p>
        </w:tc>
        <w:tc>
          <w:tcPr>
            <w:tcW w:w="1560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Итоги 备案 и 登记 GenAI-сервисов на 30.06.2026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10.07.2026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25</w:t>
            </w:r>
          </w:p>
        </w:tc>
        <w:tc>
          <w:tcPr>
            <w:tcW w:w="1560" w:type="dxa"/>
          </w:tcPr>
          <w:p>
            <w:pPr/>
            <w:r>
              <w:t xml:space="preserve">中国日报网</w:t>
            </w:r>
          </w:p>
        </w:tc>
        <w:tc>
          <w:tcPr>
            <w:tcW w:w="156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每日一词: 数电发票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27.11.2024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26</w:t>
            </w:r>
          </w:p>
        </w:tc>
        <w:tc>
          <w:tcPr>
            <w:tcW w:w="1560" w:type="dxa"/>
          </w:tcPr>
          <w:p>
            <w:pPr/>
            <w:r>
              <w:t xml:space="preserve">国家税务总局 江苏省税务局</w:t>
            </w:r>
          </w:p>
        </w:tc>
        <w:tc>
          <w:tcPr>
            <w:tcW w:w="1560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Уведомление о 乐企 для АЗС (自用 / 联用)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08.06.2026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27</w:t>
            </w:r>
          </w:p>
        </w:tc>
        <w:tc>
          <w:tcPr>
            <w:tcW w:w="1560" w:type="dxa"/>
          </w:tcPr>
          <w:p>
            <w:pPr/>
            <w:r>
              <w:t xml:space="preserve">锦天城律师事务所</w:t>
            </w:r>
          </w:p>
        </w:tc>
        <w:tc>
          <w:tcPr>
            <w:tcW w:w="156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乐企平台: доступ и обязанности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19.07.2023 (baseline)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29</w:t>
            </w:r>
          </w:p>
        </w:tc>
        <w:tc>
          <w:tcPr>
            <w:tcW w:w="1560" w:type="dxa"/>
          </w:tcPr>
          <w:p>
            <w:pPr/>
            <w:r>
              <w:t xml:space="preserve">PBoC (копия на сайте aibank)</w:t>
            </w:r>
          </w:p>
        </w:tc>
        <w:tc>
          <w:tcPr>
            <w:tcW w:w="1560" w:type="dxa"/>
          </w:tcPr>
          <w:p>
            <w:pPr/>
            <w:hyperlink r:id="rId27" w:history="1">
              <w:r>
                <w:rPr>
                  <w:rStyle w:val="Hyperlink"/>
                </w:rPr>
                <w:t xml:space="preserve">JR/T 0197-2020 金融数据安全 数据安全分级指南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23.09.2020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30</w:t>
            </w:r>
          </w:p>
        </w:tc>
        <w:tc>
          <w:tcPr>
            <w:tcW w:w="1560" w:type="dxa"/>
          </w:tcPr>
          <w:p>
            <w:pPr/>
            <w:r>
              <w:t xml:space="preserve">Zhu J. et al. (Alibaba, Soochow Univ.), arXiv</w:t>
            </w:r>
          </w:p>
        </w:tc>
        <w:tc>
          <w:tcPr>
            <w:tcW w:w="156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CFLUE: Chinese Financial Language Understanding Evaluation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1, 3, 4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31</w:t>
            </w:r>
          </w:p>
        </w:tc>
        <w:tc>
          <w:tcPr>
            <w:tcW w:w="1560" w:type="dxa"/>
          </w:tcPr>
          <w:p>
            <w:pPr/>
            <w:r>
              <w:t xml:space="preserve">Chen W. et al. (Fudan), arXiv</w:t>
            </w:r>
          </w:p>
        </w:tc>
        <w:tc>
          <w:tcPr>
            <w:tcW w:w="1560" w:type="dxa"/>
          </w:tcPr>
          <w:p>
            <w:pPr/>
            <w:hyperlink r:id="rId29" w:history="1">
              <w:r>
                <w:rPr>
                  <w:rStyle w:val="Hyperlink"/>
                </w:rPr>
                <w:t xml:space="preserve">DISC-FinLLM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2023 (baseline)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32</w:t>
            </w:r>
          </w:p>
        </w:tc>
        <w:tc>
          <w:tcPr>
            <w:tcW w:w="1560" w:type="dxa"/>
          </w:tcPr>
          <w:p>
            <w:pPr/>
            <w:r>
              <w:t xml:space="preserve">Qwen / Hugging Face</w:t>
            </w:r>
          </w:p>
        </w:tc>
        <w:tc>
          <w:tcPr>
            <w:tcW w:w="156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Qwen3-8B, карточка модели (техотчёт от 14.05.2025)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14.05.2025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33</w:t>
            </w:r>
          </w:p>
        </w:tc>
        <w:tc>
          <w:tcPr>
            <w:tcW w:w="1560" w:type="dxa"/>
          </w:tcPr>
          <w:p>
            <w:pPr/>
            <w:r>
              <w:t xml:space="preserve">DeepSeek / Hugging Face</w:t>
            </w:r>
          </w:p>
        </w:tc>
        <w:tc>
          <w:tcPr>
            <w:tcW w:w="156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DeepSeek-R1, карточка модели (статья от 22.01.2025)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22.01.2025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34</w:t>
            </w:r>
          </w:p>
        </w:tc>
        <w:tc>
          <w:tcPr>
            <w:tcW w:w="1560" w:type="dxa"/>
          </w:tcPr>
          <w:p>
            <w:pPr/>
            <w:r>
              <w:t xml:space="preserve">Z.ai / Hugging Face</w:t>
            </w:r>
          </w:p>
        </w:tc>
        <w:tc>
          <w:tcPr>
            <w:tcW w:w="156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GLM-4.5, карточка модели (статья от 08.08.2025)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08.08.2025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35</w:t>
            </w:r>
          </w:p>
        </w:tc>
        <w:tc>
          <w:tcPr>
            <w:tcW w:w="1560" w:type="dxa"/>
          </w:tcPr>
          <w:p>
            <w:pPr/>
            <w:r>
              <w:t xml:space="preserve">Gao D. et al. (Alibaba), arXiv</w:t>
            </w:r>
          </w:p>
        </w:tc>
        <w:tc>
          <w:tcPr>
            <w:tcW w:w="1560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AgentScope 1.0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08.2025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36</w:t>
            </w:r>
          </w:p>
        </w:tc>
        <w:tc>
          <w:tcPr>
            <w:tcW w:w="1560" w:type="dxa"/>
          </w:tcPr>
          <w:p>
            <w:pPr/>
            <w:r>
              <w:t xml:space="preserve">Zandi S. et al., arXiv</w:t>
            </w:r>
          </w:p>
        </w:tc>
        <w:tc>
          <w:tcPr>
            <w:tcW w:w="156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A Multimodal Approach to SME Credit Scoring Integrating Transaction and Ownership Networks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10.10.2025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38</w:t>
            </w:r>
          </w:p>
        </w:tc>
        <w:tc>
          <w:tcPr>
            <w:tcW w:w="1560" w:type="dxa"/>
          </w:tcPr>
          <w:p>
            <w:pPr/>
            <w:r>
              <w:t xml:space="preserve">财联社 via 腾讯新闻</w:t>
            </w:r>
          </w:p>
        </w:tc>
        <w:tc>
          <w:tcPr>
            <w:tcW w:w="1560" w:type="dxa"/>
          </w:tcPr>
          <w:p>
            <w:pPr/>
            <w:hyperlink r:id="rId35" w:history="1">
              <w:r>
                <w:rPr>
                  <w:rStyle w:val="Hyperlink"/>
                </w:rPr>
                <w:t xml:space="preserve">Руководство NFRA по AI (金发〔2026〕8号), полный текст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18.06.2026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2, 3, 4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39</w:t>
            </w:r>
          </w:p>
        </w:tc>
        <w:tc>
          <w:tcPr>
            <w:tcW w:w="1560" w:type="dxa"/>
          </w:tcPr>
          <w:p>
            <w:pPr/>
            <w:r>
              <w:t xml:space="preserve">澎湃新闻</w:t>
            </w:r>
          </w:p>
        </w:tc>
        <w:tc>
          <w:tcPr>
            <w:tcW w:w="156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金融监管总局: 鼓励…输出算力服务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18.06.2026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40</w:t>
            </w:r>
          </w:p>
        </w:tc>
        <w:tc>
          <w:tcPr>
            <w:tcW w:w="1560" w:type="dxa"/>
          </w:tcPr>
          <w:p>
            <w:pPr/>
            <w:r>
              <w:t xml:space="preserve">新华网</w:t>
            </w:r>
          </w:p>
        </w:tc>
        <w:tc>
          <w:tcPr>
            <w:tcW w:w="1560" w:type="dxa"/>
          </w:tcPr>
          <w:p>
            <w:pPr/>
            <w:hyperlink r:id="rId37" w:history="1">
              <w:r>
                <w:rPr>
                  <w:rStyle w:val="Hyperlink"/>
                </w:rPr>
                <w:t xml:space="preserve">网商银行亮相2026中国国际金融展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17.06.2026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41</w:t>
            </w:r>
          </w:p>
        </w:tc>
        <w:tc>
          <w:tcPr>
            <w:tcW w:w="1560" w:type="dxa"/>
          </w:tcPr>
          <w:p>
            <w:pPr/>
            <w:r>
              <w:t xml:space="preserve">中国经营报 via 东方财富</w:t>
            </w:r>
          </w:p>
        </w:tc>
        <w:tc>
          <w:tcPr>
            <w:tcW w:w="1560" w:type="dxa"/>
          </w:tcPr>
          <w:p>
            <w:pPr/>
            <w:hyperlink r:id="rId38" w:history="1">
              <w:r>
                <w:rPr>
                  <w:rStyle w:val="Hyperlink"/>
                </w:rPr>
                <w:t xml:space="preserve">近七成小微经营者无法持续使用AI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29.06.2026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42</w:t>
            </w:r>
          </w:p>
        </w:tc>
        <w:tc>
          <w:tcPr>
            <w:tcW w:w="1560" w:type="dxa"/>
          </w:tcPr>
          <w:p>
            <w:pPr/>
            <w:r>
              <w:t xml:space="preserve">北京商报</w:t>
            </w:r>
          </w:p>
        </w:tc>
        <w:tc>
          <w:tcPr>
            <w:tcW w:w="1560" w:type="dxa"/>
          </w:tcPr>
          <w:p>
            <w:pPr/>
            <w:hyperlink r:id="rId39" w:history="1">
              <w:r>
                <w:rPr>
                  <w:rStyle w:val="Hyperlink"/>
                </w:rPr>
                <w:t xml:space="preserve">网商银行推出首张小微AI权益卡,提供最高1000万Token试用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25.06.2026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43</w:t>
            </w:r>
          </w:p>
        </w:tc>
        <w:tc>
          <w:tcPr>
            <w:tcW w:w="1560" w:type="dxa"/>
          </w:tcPr>
          <w:p>
            <w:pPr/>
            <w:r>
              <w:t xml:space="preserve">中国证券报 (газета, A03)</w:t>
            </w:r>
          </w:p>
        </w:tc>
        <w:tc>
          <w:tcPr>
            <w:tcW w:w="1560" w:type="dxa"/>
          </w:tcPr>
          <w:p>
            <w:pPr/>
            <w:hyperlink r:id="rId40" w:history="1">
              <w:r>
                <w:rPr>
                  <w:rStyle w:val="Hyperlink"/>
                </w:rPr>
                <w:t xml:space="preserve">Правила 助贷: порог 24% на практике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21.10.2025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44</w:t>
            </w:r>
          </w:p>
        </w:tc>
        <w:tc>
          <w:tcPr>
            <w:tcW w:w="1560" w:type="dxa"/>
          </w:tcPr>
          <w:p>
            <w:pPr/>
            <w:r>
              <w:t xml:space="preserve">网信办 (CAC)</w:t>
            </w:r>
          </w:p>
        </w:tc>
        <w:tc>
          <w:tcPr>
            <w:tcW w:w="1560" w:type="dxa"/>
          </w:tcPr>
          <w:p>
            <w:pPr/>
            <w:hyperlink r:id="rId41" w:history="1">
              <w:r>
                <w:rPr>
                  <w:rStyle w:val="Hyperlink"/>
                </w:rPr>
                <w:t xml:space="preserve">《人工智能生成合成内容标识办法》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14.03.2025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45</w:t>
            </w:r>
          </w:p>
        </w:tc>
        <w:tc>
          <w:tcPr>
            <w:tcW w:w="1560" w:type="dxa"/>
          </w:tcPr>
          <w:p>
            <w:pPr/>
            <w:r>
              <w:t xml:space="preserve">WeBank / PRNewswire via Webull</w:t>
            </w:r>
          </w:p>
        </w:tc>
        <w:tc>
          <w:tcPr>
            <w:tcW w:w="1560" w:type="dxa"/>
          </w:tcPr>
          <w:p>
            <w:pPr/>
            <w:hyperlink r:id="rId42" w:history="1">
              <w:r>
                <w:rPr>
                  <w:rStyle w:val="Hyperlink"/>
                </w:rPr>
                <w:t xml:space="preserve">WeBank Wins Best AI-Driven Bank of the Year in APAC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21.07.2026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47</w:t>
            </w:r>
          </w:p>
        </w:tc>
        <w:tc>
          <w:tcPr>
            <w:tcW w:w="1560" w:type="dxa"/>
          </w:tcPr>
          <w:p>
            <w:pPr/>
            <w:r>
              <w:t xml:space="preserve">The Asian Banker</w:t>
            </w:r>
          </w:p>
        </w:tc>
        <w:tc>
          <w:tcPr>
            <w:tcW w:w="1560" w:type="dxa"/>
          </w:tcPr>
          <w:p>
            <w:pPr/>
            <w:hyperlink r:id="rId43" w:history="1">
              <w:r>
                <w:rPr>
                  <w:rStyle w:val="Hyperlink"/>
                </w:rPr>
                <w:t xml:space="preserve">AI/Gen AI Application in SME Marketing Initiative in APAC is WeBank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</w:t>
            </w:r>
          </w:p>
        </w:tc>
        <w:tc>
          <w:tcPr>
            <w:tcW w:w="1560" w:type="dxa"/>
          </w:tcPr>
          <w:p>
            <w:pPr/>
            <w:r>
              <w:t xml:space="preserve">en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48</w:t>
            </w:r>
          </w:p>
        </w:tc>
        <w:tc>
          <w:tcPr>
            <w:tcW w:w="1560" w:type="dxa"/>
          </w:tcPr>
          <w:p>
            <w:pPr/>
            <w:r>
              <w:t xml:space="preserve">财讯网</w:t>
            </w:r>
          </w:p>
        </w:tc>
        <w:tc>
          <w:tcPr>
            <w:tcW w:w="1560" w:type="dxa"/>
          </w:tcPr>
          <w:p>
            <w:pPr/>
            <w:hyperlink r:id="rId44" w:history="1">
              <w:r>
                <w:rPr>
                  <w:rStyle w:val="Hyperlink"/>
                </w:rPr>
                <w:t xml:space="preserve">度小满张文斌: Agent Infra驱动金融智能体…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13.05.2026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49</w:t>
            </w:r>
          </w:p>
        </w:tc>
        <w:tc>
          <w:tcPr>
            <w:tcW w:w="1560" w:type="dxa"/>
          </w:tcPr>
          <w:p>
            <w:pPr/>
            <w:r>
              <w:t xml:space="preserve">中证网</w:t>
            </w:r>
          </w:p>
        </w:tc>
        <w:tc>
          <w:tcPr>
            <w:tcW w:w="1560" w:type="dxa"/>
          </w:tcPr>
          <w:p>
            <w:pPr/>
            <w:hyperlink r:id="rId45" w:history="1">
              <w:r>
                <w:rPr>
                  <w:rStyle w:val="Hyperlink"/>
                </w:rPr>
                <w:t xml:space="preserve">Доклад Du Xiaoman о LLM в риск-менеджменте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01.09.2023 (baseline)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50</w:t>
            </w:r>
          </w:p>
        </w:tc>
        <w:tc>
          <w:tcPr>
            <w:tcW w:w="1560" w:type="dxa"/>
          </w:tcPr>
          <w:p>
            <w:pPr/>
            <w:r>
              <w:t xml:space="preserve">Tiger Brokers</w:t>
            </w:r>
          </w:p>
        </w:tc>
        <w:tc>
          <w:tcPr>
            <w:tcW w:w="1560" w:type="dxa"/>
          </w:tcPr>
          <w:p>
            <w:pPr/>
            <w:hyperlink r:id="rId46" w:history="1">
              <w:r>
                <w:rPr>
                  <w:rStyle w:val="Hyperlink"/>
                </w:rPr>
                <w:t xml:space="preserve">陆金所Q3经营数据不及预期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28.10.2025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52</w:t>
            </w:r>
          </w:p>
        </w:tc>
        <w:tc>
          <w:tcPr>
            <w:tcW w:w="1560" w:type="dxa"/>
          </w:tcPr>
          <w:p>
            <w:pPr/>
            <w:r>
              <w:t xml:space="preserve">21世纪经济报道</w:t>
            </w:r>
          </w:p>
        </w:tc>
        <w:tc>
          <w:tcPr>
            <w:tcW w:w="1560" w:type="dxa"/>
          </w:tcPr>
          <w:p>
            <w:pPr/>
            <w:hyperlink r:id="rId47" w:history="1">
              <w:r>
                <w:rPr>
                  <w:rStyle w:val="Hyperlink"/>
                </w:rPr>
                <w:t xml:space="preserve">金蝶、用友,30年后再度交锋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12.06.2026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53</w:t>
            </w:r>
          </w:p>
        </w:tc>
        <w:tc>
          <w:tcPr>
            <w:tcW w:w="1560" w:type="dxa"/>
          </w:tcPr>
          <w:p>
            <w:pPr/>
            <w:r>
              <w:t xml:space="preserve">投资界</w:t>
            </w:r>
          </w:p>
        </w:tc>
        <w:tc>
          <w:tcPr>
            <w:tcW w:w="1560" w:type="dxa"/>
          </w:tcPr>
          <w:p>
            <w:pPr/>
            <w:hyperlink r:id="rId48" w:history="1">
              <w:r>
                <w:rPr>
                  <w:rStyle w:val="Hyperlink"/>
                </w:rPr>
                <w:t xml:space="preserve">2026金蝶生态伙伴大会…金蝶小微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16.03.2026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</w:t>
            </w:r>
          </w:p>
        </w:tc>
        <w:tc>
          <w:tcPr>
            <w:tcW w:w="1560" w:type="dxa"/>
          </w:tcPr>
          <w:p>
            <w:pPr/>
            <w:r>
              <w:t xml:space="preserve">NDRC (发改委)</w:t>
            </w:r>
          </w:p>
        </w:tc>
        <w:tc>
          <w:tcPr>
            <w:tcW w:w="1560" w:type="dxa"/>
          </w:tcPr>
          <w:p>
            <w:pPr/>
            <w:hyperlink r:id="rId49" w:history="1">
              <w:r>
                <w:rPr>
                  <w:rStyle w:val="Hyperlink"/>
                </w:rPr>
                <w:t xml:space="preserve">Ответ на предложение ВКНПК по 信易贷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20.11.2025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57</w:t>
            </w:r>
          </w:p>
        </w:tc>
        <w:tc>
          <w:tcPr>
            <w:tcW w:w="1560" w:type="dxa"/>
          </w:tcPr>
          <w:p>
            <w:pPr/>
            <w:r>
              <w:t xml:space="preserve">第一财经 / 新华社</w:t>
            </w:r>
          </w:p>
        </w:tc>
        <w:tc>
          <w:tcPr>
            <w:tcW w:w="1560" w:type="dxa"/>
          </w:tcPr>
          <w:p>
            <w:pPr/>
            <w:hyperlink r:id="rId50" w:history="1">
              <w:r>
                <w:rPr>
                  <w:rStyle w:val="Hyperlink"/>
                </w:rPr>
                <w:t xml:space="preserve">公布修订后的《保障中小企业款项支付条例》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24.03.2025</w:t>
            </w:r>
          </w:p>
        </w:tc>
        <w:tc>
          <w:tcPr>
            <w:tcW w:w="1560" w:type="dxa"/>
          </w:tcPr>
          <w:p>
            <w:pPr/>
            <w:r>
              <w:t xml:space="preserve">zh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</w:tr>
    </w:tbl>
    <w:p>
      <w:pPr>
        <w:pStyle w:val="Heading2"/>
      </w:pPr>
      <w:r>
        <w:t xml:space="preserve">Что осталось неизвестным</w:t>
      </w:r>
    </w:p>
    <w:p>
      <w:pPr/>
      <w:r>
        <w:t xml:space="preserve">Большая часть инженерных деталей конкурентов не публикуется; ниже — что именно и что известно косвенно.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Косвенные признаки или что делать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Модель под агентами MYbank и WeBank</w:t>
            </w:r>
          </w:p>
        </w:tc>
        <w:tc>
          <w:tcPr>
            <w:tcW w:w="3120" w:type="dxa"/>
          </w:tcPr>
          <w:p>
            <w:pPr/>
            <w:r>
              <w:t xml:space="preserve">Не раскрывается</w:t>
            </w:r>
          </w:p>
        </w:tc>
        <w:tc>
          <w:tcPr>
            <w:tcW w:w="3120" w:type="dxa"/>
          </w:tcPr>
          <w:p>
            <w:pPr/>
            <w:r>
              <w:t xml:space="preserve">WeBank — мультимодельный слой [8]; MYbank — в группе Ant есть семейство Ling [1][3], связь не подтверждена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Алгоритмы кредитного скоринга (бустинг, GNN, наборы признаков)</w:t>
            </w:r>
          </w:p>
        </w:tc>
        <w:tc>
          <w:tcPr>
            <w:tcW w:w="3120" w:type="dxa"/>
          </w:tcPr>
          <w:p>
            <w:pPr/>
            <w:r>
              <w:t xml:space="preserve">Не раскрывается, как и ожидалось</w:t>
            </w:r>
          </w:p>
        </w:tc>
        <w:tc>
          <w:tcPr>
            <w:tcW w:w="3120" w:type="dxa"/>
          </w:tcPr>
          <w:p>
            <w:pPr/>
            <w:r>
              <w:t xml:space="preserve">Масштаб MYbank на 2018 год — &gt;100 тыс. признаков, &gt;100 моделей [17]; сетевые методы — в академических работах [36]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GPU и вычислительная инфраструктура (H20, Ascend, облако или свои ЦОД)</w:t>
            </w:r>
          </w:p>
        </w:tc>
        <w:tc>
          <w:tcPr>
            <w:tcW w:w="3120" w:type="dxa"/>
          </w:tcPr>
          <w:p>
            <w:pPr/>
            <w:r>
              <w:t xml:space="preserve">Не раскрывается</w:t>
            </w:r>
          </w:p>
        </w:tc>
        <w:tc>
          <w:tcPr>
            <w:tcW w:w="3120" w:type="dxa"/>
          </w:tcPr>
          <w:p>
            <w:pPr/>
            <w:r>
              <w:t xml:space="preserve">WeBank — только «гибридная архитектура» и рост ×3.5 [8][9]; NFRA поощряет крупные банки делиться вычислениями с малыми [39]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Базы данных, векторные хранилища, пайплайны Flink/Spark для SME-продуктов</w:t>
            </w:r>
          </w:p>
        </w:tc>
        <w:tc>
          <w:tcPr>
            <w:tcW w:w="3120" w:type="dxa"/>
          </w:tcPr>
          <w:p>
            <w:pPr/>
            <w:r>
              <w:t xml:space="preserve">Датированных источников не найдено</w:t>
            </w:r>
          </w:p>
        </w:tc>
        <w:tc>
          <w:tcPr>
            <w:tcW w:w="3120" w:type="dxa"/>
          </w:tcPr>
          <w:p>
            <w:pPr/>
            <w:r>
              <w:t xml:space="preserve">OceanBase/TDSQL у групп Ant и Tencent — общеизвестный факт, но привязка к SME-агентам не подтверждена — в заявке не утверждать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Использование FATE / SecretFlow в текущем проде SME-кредита</w:t>
            </w:r>
          </w:p>
        </w:tc>
        <w:tc>
          <w:tcPr>
            <w:tcW w:w="3120" w:type="dxa"/>
          </w:tcPr>
          <w:p>
            <w:pPr/>
            <w:r>
              <w:t xml:space="preserve">Не подтверждено</w:t>
            </w:r>
          </w:p>
        </w:tc>
        <w:tc>
          <w:tcPr>
            <w:tcW w:w="3120" w:type="dxa"/>
          </w:tcPr>
          <w:p>
            <w:pPr/>
            <w:r>
              <w:t xml:space="preserve">FATE-LLM открыт в 2023 [6]; датированных релизов SecretFlow в этом проходе не найдено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Записи конкурентов в реестре CAC (备案 / 登记) и в реестре алгоритмов</w:t>
            </w:r>
          </w:p>
        </w:tc>
        <w:tc>
          <w:tcPr>
            <w:tcW w:w="3120" w:type="dxa"/>
          </w:tcPr>
          <w:p>
            <w:pPr/>
            <w:r>
              <w:t xml:space="preserve">Не проверено поименно</w:t>
            </w:r>
          </w:p>
        </w:tc>
        <w:tc>
          <w:tcPr>
            <w:tcW w:w="3120" w:type="dxa"/>
          </w:tcPr>
          <w:p>
            <w:pPr/>
            <w:r>
              <w:t xml:space="preserve">Известны только итоги на 30.06.2026 (988 и 598) [24]; нужен ручной поиск по опубликованным спискам CAC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Размер и лицензия XuanYuan FinX1, лицензия Ling-3.0-flash-Fin</w:t>
            </w:r>
          </w:p>
        </w:tc>
        <w:tc>
          <w:tcPr>
            <w:tcW w:w="3120" w:type="dxa"/>
          </w:tcPr>
          <w:p>
            <w:pPr/>
            <w:r>
              <w:t xml:space="preserve">Не найдено</w:t>
            </w:r>
          </w:p>
        </w:tc>
        <w:tc>
          <w:tcPr>
            <w:tcW w:w="3120" w:type="dxa"/>
          </w:tcPr>
          <w:p>
            <w:pPr/>
            <w:r>
              <w:t xml:space="preserve">Проверить на Hugging Face / ModelScope перед использованием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Результаты конкурентов на FinEval / CFLUE</w:t>
            </w:r>
          </w:p>
        </w:tc>
        <w:tc>
          <w:tcPr>
            <w:tcW w:w="3120" w:type="dxa"/>
          </w:tcPr>
          <w:p>
            <w:pPr/>
            <w:r>
              <w:t xml:space="preserve">Не найдено</w:t>
            </w:r>
          </w:p>
        </w:tc>
        <w:tc>
          <w:tcPr>
            <w:tcW w:w="3120" w:type="dxa"/>
          </w:tcPr>
          <w:p>
            <w:pPr/>
            <w:r>
              <w:t xml:space="preserve">CFLUE публикует общие результаты (2024) без банковских моделей [30]; Ant — свои бенчмарки без цифр [3]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JD Technology, Lufax, OneConnect — SME AI-фичи 2025–2026</w:t>
            </w:r>
          </w:p>
        </w:tc>
        <w:tc>
          <w:tcPr>
            <w:tcW w:w="3120" w:type="dxa"/>
          </w:tcPr>
          <w:p>
            <w:pPr/>
            <w:r>
              <w:t xml:space="preserve">Не найдено</w:t>
            </w:r>
          </w:p>
        </w:tc>
        <w:tc>
          <w:tcPr>
            <w:tcW w:w="3120" w:type="dxa"/>
          </w:tcPr>
          <w:p>
            <w:pPr/>
            <w:r>
              <w:t xml:space="preserve">У JD — только общий стек JoyAI [10]; у Lufax — только кредитные метрики [50]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Патенты CNIPA и вакансии (BOSS直聘, LinkedIn)</w:t>
            </w:r>
          </w:p>
        </w:tc>
        <w:tc>
          <w:tcPr>
            <w:tcW w:w="3120" w:type="dxa"/>
          </w:tcPr>
          <w:p>
            <w:pPr/>
            <w:r>
              <w:t xml:space="preserve">Не исследовались</w:t>
            </w:r>
          </w:p>
        </w:tc>
        <w:tc>
          <w:tcPr>
            <w:tcW w:w="3120" w:type="dxa"/>
          </w:tcPr>
          <w:p>
            <w:pPr/>
            <w:r>
              <w:t xml:space="preserve">Веб-поиск не даёт доступа к базам CNIPA и карточкам вакансий с датами; нужен отдельный ручной поиск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Форматы и сроки выгрузок WeChat Pay / Alipay, формат файла 数电票, GB/T 24589, XBRL</w:t>
            </w:r>
          </w:p>
        </w:tc>
        <w:tc>
          <w:tcPr>
            <w:tcW w:w="3120" w:type="dxa"/>
          </w:tcPr>
          <w:p>
            <w:pPr/>
            <w:r>
              <w:t xml:space="preserve">Не подтверждено датированными источниками</w:t>
            </w:r>
          </w:p>
        </w:tc>
        <w:tc>
          <w:tcPr>
            <w:tcW w:w="3120" w:type="dxa"/>
          </w:tcPr>
          <w:p>
            <w:pPr/>
            <w:r>
              <w:t xml:space="preserve">Техдокументация платёжных систем без даты публикации — по правилам ресёрча не использована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Отчёты iResearch / CAICT по финансовым LLM 2025–2026</w:t>
            </w:r>
          </w:p>
        </w:tc>
        <w:tc>
          <w:tcPr>
            <w:tcW w:w="3120" w:type="dxa"/>
          </w:tcPr>
          <w:p>
            <w:pPr/>
            <w:r>
              <w:t xml:space="preserve">Не получены</w:t>
            </w:r>
          </w:p>
        </w:tc>
        <w:tc>
          <w:tcPr>
            <w:tcW w:w="3120" w:type="dxa"/>
          </w:tcPr>
          <w:p>
            <w:pPr/>
            <w:r>
              <w:t xml:space="preserve">Известна лишь цитата iResearch: около 80% финансовых организаций развернули агентов (single source) [14]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7"/>
    </w:lvlOverride>
  </w:num>
  <w:num w:numId="5">
    <w:abstractNumId w:val="1"/>
    <w:lvlOverride w:ilvl="0">
      <w:startOverride w:val="10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news.10jqka.com.cn/20260930/c680423346.shtml" TargetMode="External"/><Relationship Id="rId5" Type="http://schemas.openxmlformats.org/officeDocument/2006/relationships/hyperlink" Target="https://www.80aj.com/2026/08/28/ling-3-0-finance-model/" TargetMode="External"/><Relationship Id="rId6" Type="http://schemas.openxmlformats.org/officeDocument/2006/relationships/hyperlink" Target="https://www.qbitai.com/2026/09/486288.html" TargetMode="External"/><Relationship Id="rId7" Type="http://schemas.openxmlformats.org/officeDocument/2006/relationships/hyperlink" Target="https://www.yicai.com/news/103104465.html" TargetMode="External"/><Relationship Id="rId8" Type="http://schemas.openxmlformats.org/officeDocument/2006/relationships/hyperlink" Target="https://arxiv.org/abs/2310.10049" TargetMode="External"/><Relationship Id="rId9" Type="http://schemas.openxmlformats.org/officeDocument/2006/relationships/hyperlink" Target="https://www.jiemian.com/article/14835776.html" TargetMode="External"/><Relationship Id="rId10" Type="http://schemas.openxmlformats.org/officeDocument/2006/relationships/hyperlink" Target="https://www.mrjjxw.com/articles/2026-05-01/4377479.html" TargetMode="External"/><Relationship Id="rId11" Type="http://schemas.openxmlformats.org/officeDocument/2006/relationships/hyperlink" Target="https://m.gmw.cn/2025-07/30/content_38185615.htm" TargetMode="External"/><Relationship Id="rId12" Type="http://schemas.openxmlformats.org/officeDocument/2006/relationships/hyperlink" Target="https://www.news.cn/finance/20260601/59130dacab9c4a55bb5c11d20a84207d/c.html" TargetMode="External"/><Relationship Id="rId13" Type="http://schemas.openxmlformats.org/officeDocument/2006/relationships/hyperlink" Target="https://www.stdaily.com/web/gdxw/2026-08/12/content_562866.html" TargetMode="External"/><Relationship Id="rId14" Type="http://schemas.openxmlformats.org/officeDocument/2006/relationships/hyperlink" Target="https://www.yicai.com/epaper/pc/202609/14/content_54121.html" TargetMode="External"/><Relationship Id="rId15" Type="http://schemas.openxmlformats.org/officeDocument/2006/relationships/hyperlink" Target="https://www.bbtnews.com.cn/2026/0911/605648.shtml" TargetMode="External"/><Relationship Id="rId16" Type="http://schemas.openxmlformats.org/officeDocument/2006/relationships/hyperlink" Target="https://www.qbitai.com/2026/09/487631.html" TargetMode="External"/><Relationship Id="rId17" Type="http://schemas.openxmlformats.org/officeDocument/2006/relationships/hyperlink" Target="https://www.cs.com.cn/yh/04/201903/t20190319_5931813.html" TargetMode="External"/><Relationship Id="rId18" Type="http://schemas.openxmlformats.org/officeDocument/2006/relationships/hyperlink" Target="https://m.jiemian.com/article/14572859.html" TargetMode="External"/><Relationship Id="rId19" Type="http://schemas.openxmlformats.org/officeDocument/2006/relationships/hyperlink" Target="https://www.yzwb.net/news/ch/202604/t20260429_347586.html" TargetMode="External"/><Relationship Id="rId20" Type="http://schemas.openxmlformats.org/officeDocument/2006/relationships/hyperlink" Target="https://www.gov.cn/gongbao/content/2021/content_5654782.htm" TargetMode="External"/><Relationship Id="rId21" Type="http://schemas.openxmlformats.org/officeDocument/2006/relationships/hyperlink" Target="https://www.allbrightlaw.com/CN/10475/46c5e7067a551d4b.aspx" TargetMode="External"/><Relationship Id="rId22" Type="http://schemas.openxmlformats.org/officeDocument/2006/relationships/hyperlink" Target="https://www.zhonglun.com/research/articles/52828.html" TargetMode="External"/><Relationship Id="rId23" Type="http://schemas.openxmlformats.org/officeDocument/2006/relationships/hyperlink" Target="https://m.gmw.cn/2026-07/10/content_1304528476.htm" TargetMode="External"/><Relationship Id="rId24" Type="http://schemas.openxmlformats.org/officeDocument/2006/relationships/hyperlink" Target="https://cn.chinadaily.com.cn/a/202411/27/WS6746d909a310b59111da5d3a.html" TargetMode="External"/><Relationship Id="rId25" Type="http://schemas.openxmlformats.org/officeDocument/2006/relationships/hyperlink" Target="https://jiangsu.chinatax.gov.cn/art/2026/6/8/art_23638_8741.html" TargetMode="External"/><Relationship Id="rId26" Type="http://schemas.openxmlformats.org/officeDocument/2006/relationships/hyperlink" Target="https://www.allbrightlaw.com/CN/10475/b6398b0ba64d4221.aspx" TargetMode="External"/><Relationship Id="rId27" Type="http://schemas.openxmlformats.org/officeDocument/2006/relationships/hyperlink" Target="https://www.aibank.com/upload/attachs/2022/12/8-%E9%87%91%E8%9E%8D%E6%95%B0%E6%8D%AE%E5%AE%89%E5%85%A8%20%E6%95%B0%E6%8D%AE%E5%AE%89%E5%85%A8%E5%88%86%E7%BA%A7%E6%8C%87%E5%8D%97.pdf" TargetMode="External"/><Relationship Id="rId28" Type="http://schemas.openxmlformats.org/officeDocument/2006/relationships/hyperlink" Target="https://arxiv.org/abs/2405.10542" TargetMode="External"/><Relationship Id="rId29" Type="http://schemas.openxmlformats.org/officeDocument/2006/relationships/hyperlink" Target="https://arxiv.org/abs/2310.15205" TargetMode="External"/><Relationship Id="rId30" Type="http://schemas.openxmlformats.org/officeDocument/2006/relationships/hyperlink" Target="https://huggingface.co/Qwen/Qwen3-8B" TargetMode="External"/><Relationship Id="rId31" Type="http://schemas.openxmlformats.org/officeDocument/2006/relationships/hyperlink" Target="https://huggingface.co/deepseek-ai/DeepSeek-R1" TargetMode="External"/><Relationship Id="rId32" Type="http://schemas.openxmlformats.org/officeDocument/2006/relationships/hyperlink" Target="https://huggingface.co/zai-org/GLM-4.5" TargetMode="External"/><Relationship Id="rId33" Type="http://schemas.openxmlformats.org/officeDocument/2006/relationships/hyperlink" Target="https://arxiv.org/abs/2508.16279" TargetMode="External"/><Relationship Id="rId34" Type="http://schemas.openxmlformats.org/officeDocument/2006/relationships/hyperlink" Target="https://arxiv.org/abs/2510.09407v1" TargetMode="External"/><Relationship Id="rId35" Type="http://schemas.openxmlformats.org/officeDocument/2006/relationships/hyperlink" Target="https://news.qq.com/rain/a/20260618A0979C00" TargetMode="External"/><Relationship Id="rId36" Type="http://schemas.openxmlformats.org/officeDocument/2006/relationships/hyperlink" Target="https://www.thepaper.cn/newsDetail_forward_33409946" TargetMode="External"/><Relationship Id="rId37" Type="http://schemas.openxmlformats.org/officeDocument/2006/relationships/hyperlink" Target="https://www.news.cn/tech/20260617/89dfdc17bc704515a8b06e432b10b51c/c.html" TargetMode="External"/><Relationship Id="rId38" Type="http://schemas.openxmlformats.org/officeDocument/2006/relationships/hyperlink" Target="https://finance.eastmoney.com/a/202606293786910569.html" TargetMode="External"/><Relationship Id="rId39" Type="http://schemas.openxmlformats.org/officeDocument/2006/relationships/hyperlink" Target="https://www.bbtnews.com.cn/2026/0625/597318.shtml" TargetMode="External"/><Relationship Id="rId40" Type="http://schemas.openxmlformats.org/officeDocument/2006/relationships/hyperlink" Target="https://epaper.cs.com.cn/zgzqb/images/2025-10/21/A03/zqDB0321.pdf" TargetMode="External"/><Relationship Id="rId41" Type="http://schemas.openxmlformats.org/officeDocument/2006/relationships/hyperlink" Target="https://www.cac.gov.cn/2025-03/14/c_1743654685899683.htm" TargetMode="External"/><Relationship Id="rId42" Type="http://schemas.openxmlformats.org/officeDocument/2006/relationships/hyperlink" Target="https://www.webull.com/news/15264219198792704" TargetMode="External"/><Relationship Id="rId43" Type="http://schemas.openxmlformats.org/officeDocument/2006/relationships/hyperlink" Target="https://theasianbanker.com/updates-and-articles/ai-gen-ai-application-in-sme-marketing-initiative-in-asia-pacific-is-webank-2025" TargetMode="External"/><Relationship Id="rId44" Type="http://schemas.openxmlformats.org/officeDocument/2006/relationships/hyperlink" Target="https://mtz.china.com/touzi/2026/0513/233490.html" TargetMode="External"/><Relationship Id="rId45" Type="http://schemas.openxmlformats.org/officeDocument/2006/relationships/hyperlink" Target="https://cs.com.cn/5g/202309/t20230901_6364821.html" TargetMode="External"/><Relationship Id="rId46" Type="http://schemas.openxmlformats.org/officeDocument/2006/relationships/hyperlink" Target="https://www.itiger.com/news/1107267213" TargetMode="External"/><Relationship Id="rId47" Type="http://schemas.openxmlformats.org/officeDocument/2006/relationships/hyperlink" Target="https://m.sfccn.com/2026/6-12/yMMDE0NDlfMjE1OTMyMA.html" TargetMode="External"/><Relationship Id="rId48" Type="http://schemas.openxmlformats.org/officeDocument/2006/relationships/hyperlink" Target="https://news.pedaily.cn/20260316/125522.shtml" TargetMode="External"/><Relationship Id="rId49" Type="http://schemas.openxmlformats.org/officeDocument/2006/relationships/hyperlink" Target="https://www.ndrc.gov.cn/xxgk/jianyitianfuwen/qgzxwytafwgk/202511/t20251120_1401757.html" TargetMode="External"/><Relationship Id="rId50" Type="http://schemas.openxmlformats.org/officeDocument/2006/relationships/hyperlink" Target="https://www.yicai.com/news/102531619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SME Finance Copilot — технический ресёрч стеки конкурентов, data pipeline, пусто</dc:title>
  <dc:description>Claude Docs node/3a9b5ccf-c77e@7 docx-w6</dc:description>
  <cp:revision>7</cp:revision>
</cp:coreProperties>
</file>