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cover_filled.png"/>
                    <pic:cNvPicPr/>
                  </pic:nvPicPr>
                  <pic:blipFill>
                    <a:blip r:embed="rId10"/>
                    <a:stretch>
                      <a:fillRect/>
                    </a:stretch>
                  </pic:blipFill>
                  <pic:spPr>
                    <a:xfrm>
                      <a:off x="0" y="0"/>
                      <a:ext cx="7772400" cy="10058400"/>
                    </a:xfrm>
                    <a:prstGeom prst="rect"/>
                  </pic:spPr>
                </pic:pic>
              </a:graphicData>
            </a:graphic>
          </wp:inline>
        </w:drawing>
      </w:r>
    </w:p>
    <w:p>
      <w:pPr>
        <w:sectPr>
          <w:footerReference w:type="default" r:id="rId9"/>
          <w:pgSz w:w="12240" w:h="15840"/>
          <w:pgMar w:top="0" w:right="0" w:bottom="0" w:left="0" w:header="720" w:footer="720" w:gutter="0"/>
          <w:cols w:space="720"/>
          <w:docGrid w:linePitch="360"/>
        </w:sectPr>
      </w:pPr>
    </w:p>
    <w:p>
      <w:pPr>
        <w:jc w:val="center"/>
      </w:pPr>
      <w:r>
        <w:rPr>
          <w:b/>
          <w:color w:val="0B2545"/>
          <w:sz w:val="40"/>
        </w:rPr>
        <w:t>Development of an Ensemble Learning Model for Pathogenicity Prediction of Genetic Variants</w:t>
      </w:r>
    </w:p>
    <w:p>
      <w:pPr>
        <w:jc w:val="center"/>
      </w:pPr>
      <w:r>
        <w:rPr>
          <w:color w:val="2E74B5"/>
          <w:sz w:val="28"/>
        </w:rPr>
        <w:t>Final Project Design Report</w:t>
      </w:r>
    </w:p>
    <w:p>
      <w:pPr>
        <w:jc w:val="center"/>
      </w:pPr>
      <w:r>
        <w:rPr>
          <w:sz w:val="22"/>
        </w:rPr>
        <w:t>Team RUVEGO | ID 995380 / 5293783 | ITMO University</w:t>
      </w:r>
    </w:p>
    <w:p/>
    <w:tbl>
      <w:tblPr>
        <w:tblStyle w:val="TableGrid"/>
        <w:tblW w:type="auto" w:w="0"/>
        <w:jc w:val="center"/>
        <w:tblLayout w:type="fixed"/>
        <w:tblLook w:firstColumn="1" w:firstRow="1" w:lastColumn="0" w:lastRow="0" w:noHBand="0" w:noVBand="1" w:val="04A0"/>
      </w:tblPr>
      <w:tblGrid>
        <w:gridCol w:w="4896"/>
        <w:gridCol w:w="4896"/>
      </w:tblGrid>
      <w:tr>
        <w:tc>
          <w:tcPr>
            <w:tcW w:type="dxa" w:w="2880"/>
            <w:vAlign w:val="center"/>
            <w:shd w:fill="E8EEF5"/>
          </w:tcPr>
          <w:p>
            <w:pPr>
              <w:jc w:val="left"/>
            </w:pPr>
            <w:r/>
            <w:r>
              <w:rPr>
                <w:b/>
                <w:color w:val="0B2545"/>
                <w:sz w:val="18"/>
              </w:rPr>
              <w:t>Team member</w:t>
            </w:r>
          </w:p>
        </w:tc>
        <w:tc>
          <w:tcPr>
            <w:tcW w:type="dxa" w:w="6048"/>
            <w:vAlign w:val="center"/>
            <w:shd w:fill="E8EEF5"/>
          </w:tcPr>
          <w:p>
            <w:pPr>
              <w:jc w:val="left"/>
            </w:pPr>
            <w:r/>
            <w:r>
              <w:rPr>
                <w:b/>
                <w:color w:val="0B2545"/>
                <w:sz w:val="18"/>
              </w:rPr>
              <w:t>Primary responsibility</w:t>
            </w:r>
          </w:p>
        </w:tc>
      </w:tr>
      <w:tr>
        <w:tc>
          <w:tcPr>
            <w:tcW w:type="dxa" w:w="4896"/>
            <w:vAlign w:val="center"/>
          </w:tcPr>
          <w:p>
            <w:pPr>
              <w:jc w:val="left"/>
            </w:pPr>
            <w:r/>
            <w:r>
              <w:rPr>
                <w:b w:val="0"/>
                <w:sz w:val="18"/>
              </w:rPr>
              <w:t>Igor Kartashov</w:t>
            </w:r>
          </w:p>
        </w:tc>
        <w:tc>
          <w:tcPr>
            <w:tcW w:type="dxa" w:w="4896"/>
            <w:vAlign w:val="center"/>
          </w:tcPr>
          <w:p>
            <w:pPr>
              <w:jc w:val="left"/>
            </w:pPr>
            <w:r/>
            <w:r>
              <w:rPr>
                <w:b w:val="0"/>
                <w:sz w:val="18"/>
              </w:rPr>
              <w:t>Team coordination, ML pipeline architecture, reproducibility, repository integration</w:t>
            </w:r>
          </w:p>
        </w:tc>
      </w:tr>
      <w:tr>
        <w:tc>
          <w:tcPr>
            <w:tcW w:type="dxa" w:w="4896"/>
            <w:vAlign w:val="center"/>
          </w:tcPr>
          <w:p>
            <w:pPr>
              <w:jc w:val="left"/>
            </w:pPr>
            <w:r/>
            <w:r>
              <w:rPr>
                <w:b w:val="0"/>
                <w:sz w:val="18"/>
              </w:rPr>
              <w:t>Matvey Murtazaliev</w:t>
            </w:r>
          </w:p>
        </w:tc>
        <w:tc>
          <w:tcPr>
            <w:tcW w:type="dxa" w:w="4896"/>
            <w:vAlign w:val="center"/>
          </w:tcPr>
          <w:p>
            <w:pPr>
              <w:jc w:val="left"/>
            </w:pPr>
            <w:r/>
            <w:r>
              <w:rPr>
                <w:b w:val="0"/>
                <w:sz w:val="18"/>
              </w:rPr>
              <w:t>Software engineering, model implementation, optimization, debugging</w:t>
            </w:r>
          </w:p>
        </w:tc>
      </w:tr>
      <w:tr>
        <w:tc>
          <w:tcPr>
            <w:tcW w:type="dxa" w:w="4896"/>
            <w:vAlign w:val="center"/>
          </w:tcPr>
          <w:p>
            <w:pPr>
              <w:jc w:val="left"/>
            </w:pPr>
            <w:r/>
            <w:r>
              <w:rPr>
                <w:b w:val="0"/>
                <w:sz w:val="18"/>
              </w:rPr>
              <w:t>Ruslan Zhemlikhanov</w:t>
            </w:r>
          </w:p>
        </w:tc>
        <w:tc>
          <w:tcPr>
            <w:tcW w:type="dxa" w:w="4896"/>
            <w:vAlign w:val="center"/>
          </w:tcPr>
          <w:p>
            <w:pPr>
              <w:jc w:val="left"/>
            </w:pPr>
            <w:r/>
            <w:r>
              <w:rPr>
                <w:b w:val="0"/>
                <w:sz w:val="18"/>
              </w:rPr>
              <w:t>Bioinformatics review, statistical analysis, experiment design, scientific validation</w:t>
            </w:r>
          </w:p>
        </w:tc>
      </w:tr>
    </w:tbl>
    <w:p/>
    <w:p>
      <w:pPr>
        <w:jc w:val="center"/>
      </w:pPr>
      <w:r>
        <w:rPr>
          <w:i/>
          <w:sz w:val="18"/>
        </w:rPr>
        <w:t>This report follows the requested PDR template: Introduction, Methodology, Findings, Conclusion, and Bibliography.</w:t>
      </w:r>
    </w:p>
    <w:p>
      <w:pPr>
        <w:pStyle w:val="Heading1"/>
      </w:pPr>
      <w:r>
        <w:t>1. Introduction</w:t>
      </w:r>
    </w:p>
    <w:p>
      <w:r>
        <w:t>Clinical interpretation of missense genetic variants is a high-impact binary classification problem: a model must separate variants with pathogenic evidence from variants that are likely benign. In a diagnostic workflow, false negatives are particularly costly because a pathogenic variant classified as benign may delay diagnosis or risk assessment, while false positives may create avoidable follow-up work and anxiety. The competition setting adds two realistic constraints: feature names and genomic coordinates are anonymized, and the disease-specific panels are much smaller than the general training cohort.</w:t>
      </w:r>
    </w:p>
    <w:p>
      <w:r>
        <w:t>Our solution implements the approach proposed in the PDR as a reproducible ensemble-learning pipeline. The final system combines robust tabular preprocessing, gradient-boosted decision-tree models, sklearn tree ensembles, transfer-style panel adaptation through a global foundation probability, threshold tuning, and post-hoc explainability with SHAP. The main objective is not only to maximize Macro F1, but also to report clinically relevant precision-recall behavior and subgroup performance for MASTER, KANSER, PAH, and CFTR.</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E8EEF5"/>
          </w:tcPr>
          <w:p>
            <w:pPr>
              <w:jc w:val="left"/>
            </w:pPr>
            <w:r/>
            <w:r>
              <w:rPr>
                <w:b/>
                <w:color w:val="0B2545"/>
                <w:sz w:val="18"/>
              </w:rPr>
              <w:t>Dataset</w:t>
            </w:r>
          </w:p>
        </w:tc>
        <w:tc>
          <w:tcPr>
            <w:tcW w:type="dxa" w:w="936"/>
            <w:vAlign w:val="center"/>
            <w:shd w:fill="E8EEF5"/>
          </w:tcPr>
          <w:p>
            <w:pPr>
              <w:jc w:val="left"/>
            </w:pPr>
            <w:r/>
            <w:r>
              <w:rPr>
                <w:b/>
                <w:color w:val="0B2545"/>
                <w:sz w:val="18"/>
              </w:rPr>
              <w:t>Rows</w:t>
            </w:r>
          </w:p>
        </w:tc>
        <w:tc>
          <w:tcPr>
            <w:tcW w:type="dxa" w:w="1080"/>
            <w:vAlign w:val="center"/>
            <w:shd w:fill="E8EEF5"/>
          </w:tcPr>
          <w:p>
            <w:pPr>
              <w:jc w:val="left"/>
            </w:pPr>
            <w:r/>
            <w:r>
              <w:rPr>
                <w:b/>
                <w:color w:val="0B2545"/>
                <w:sz w:val="18"/>
              </w:rPr>
              <w:t>Feat.</w:t>
            </w:r>
          </w:p>
        </w:tc>
        <w:tc>
          <w:tcPr>
            <w:tcW w:type="dxa" w:w="1224"/>
            <w:vAlign w:val="center"/>
            <w:shd w:fill="E8EEF5"/>
          </w:tcPr>
          <w:p>
            <w:pPr>
              <w:jc w:val="left"/>
            </w:pPr>
            <w:r/>
            <w:r>
              <w:rPr>
                <w:b/>
                <w:color w:val="0B2545"/>
                <w:sz w:val="18"/>
              </w:rPr>
              <w:t>Path.</w:t>
            </w:r>
          </w:p>
        </w:tc>
        <w:tc>
          <w:tcPr>
            <w:tcW w:type="dxa" w:w="936"/>
            <w:vAlign w:val="center"/>
            <w:shd w:fill="E8EEF5"/>
          </w:tcPr>
          <w:p>
            <w:pPr>
              <w:jc w:val="left"/>
            </w:pPr>
            <w:r/>
            <w:r>
              <w:rPr>
                <w:b/>
                <w:color w:val="0B2545"/>
                <w:sz w:val="18"/>
              </w:rPr>
              <w:t>Benign</w:t>
            </w:r>
          </w:p>
        </w:tc>
        <w:tc>
          <w:tcPr>
            <w:tcW w:type="dxa" w:w="1224"/>
            <w:vAlign w:val="center"/>
            <w:shd w:fill="E8EEF5"/>
          </w:tcPr>
          <w:p>
            <w:pPr>
              <w:jc w:val="left"/>
            </w:pPr>
            <w:r/>
            <w:r>
              <w:rPr>
                <w:b/>
                <w:color w:val="0B2545"/>
                <w:sz w:val="18"/>
              </w:rPr>
              <w:t>Miss.</w:t>
            </w:r>
          </w:p>
        </w:tc>
        <w:tc>
          <w:tcPr>
            <w:tcW w:type="dxa" w:w="1152"/>
            <w:vAlign w:val="center"/>
            <w:shd w:fill="E8EEF5"/>
          </w:tcPr>
          <w:p>
            <w:pPr>
              <w:jc w:val="left"/>
            </w:pPr>
            <w:r/>
            <w:r>
              <w:rPr>
                <w:b/>
                <w:color w:val="0B2545"/>
                <w:sz w:val="18"/>
              </w:rPr>
              <w:t>Cat.</w:t>
            </w:r>
          </w:p>
        </w:tc>
        <w:tc>
          <w:tcPr>
            <w:tcW w:type="dxa" w:w="1008"/>
            <w:vAlign w:val="center"/>
            <w:shd w:fill="E8EEF5"/>
          </w:tcPr>
          <w:p>
            <w:pPr>
              <w:jc w:val="left"/>
            </w:pPr>
            <w:r/>
            <w:r>
              <w:rPr>
                <w:b/>
                <w:color w:val="0B2545"/>
                <w:sz w:val="18"/>
              </w:rPr>
              <w:t>Num.</w:t>
            </w:r>
          </w:p>
        </w:tc>
      </w:tr>
      <w:tr>
        <w:tc>
          <w:tcPr>
            <w:tcW w:type="dxa" w:w="1224"/>
            <w:vAlign w:val="center"/>
          </w:tcPr>
          <w:p>
            <w:pPr>
              <w:jc w:val="left"/>
            </w:pPr>
            <w:r/>
            <w:r>
              <w:rPr>
                <w:b w:val="0"/>
                <w:sz w:val="18"/>
              </w:rPr>
              <w:t>MASTER</w:t>
            </w:r>
          </w:p>
        </w:tc>
        <w:tc>
          <w:tcPr>
            <w:tcW w:type="dxa" w:w="1224"/>
            <w:vAlign w:val="center"/>
          </w:tcPr>
          <w:p>
            <w:pPr>
              <w:jc w:val="left"/>
            </w:pPr>
            <w:r/>
            <w:r>
              <w:rPr>
                <w:b w:val="0"/>
                <w:sz w:val="18"/>
              </w:rPr>
              <w:t>2931</w:t>
            </w:r>
          </w:p>
        </w:tc>
        <w:tc>
          <w:tcPr>
            <w:tcW w:type="dxa" w:w="1224"/>
            <w:vAlign w:val="center"/>
          </w:tcPr>
          <w:p>
            <w:pPr>
              <w:jc w:val="left"/>
            </w:pPr>
            <w:r/>
            <w:r>
              <w:rPr>
                <w:b w:val="0"/>
                <w:sz w:val="18"/>
              </w:rPr>
              <w:t>351</w:t>
            </w:r>
          </w:p>
        </w:tc>
        <w:tc>
          <w:tcPr>
            <w:tcW w:type="dxa" w:w="1224"/>
            <w:vAlign w:val="center"/>
          </w:tcPr>
          <w:p>
            <w:pPr>
              <w:jc w:val="left"/>
            </w:pPr>
            <w:r/>
            <w:r>
              <w:rPr>
                <w:b w:val="0"/>
                <w:sz w:val="18"/>
              </w:rPr>
              <w:t>2149</w:t>
            </w:r>
          </w:p>
        </w:tc>
        <w:tc>
          <w:tcPr>
            <w:tcW w:type="dxa" w:w="1224"/>
            <w:vAlign w:val="center"/>
          </w:tcPr>
          <w:p>
            <w:pPr>
              <w:jc w:val="left"/>
            </w:pPr>
            <w:r/>
            <w:r>
              <w:rPr>
                <w:b w:val="0"/>
                <w:sz w:val="18"/>
              </w:rPr>
              <w:t>782</w:t>
            </w:r>
          </w:p>
        </w:tc>
        <w:tc>
          <w:tcPr>
            <w:tcW w:type="dxa" w:w="1224"/>
            <w:vAlign w:val="center"/>
          </w:tcPr>
          <w:p>
            <w:pPr>
              <w:jc w:val="left"/>
            </w:pPr>
            <w:r/>
            <w:r>
              <w:rPr>
                <w:b w:val="0"/>
                <w:sz w:val="18"/>
              </w:rPr>
              <w:t>54.9%</w:t>
            </w:r>
          </w:p>
        </w:tc>
        <w:tc>
          <w:tcPr>
            <w:tcW w:type="dxa" w:w="1224"/>
            <w:vAlign w:val="center"/>
          </w:tcPr>
          <w:p>
            <w:pPr>
              <w:jc w:val="left"/>
            </w:pPr>
            <w:r/>
            <w:r>
              <w:rPr>
                <w:b w:val="0"/>
                <w:sz w:val="18"/>
              </w:rPr>
              <w:t>8</w:t>
            </w:r>
          </w:p>
        </w:tc>
        <w:tc>
          <w:tcPr>
            <w:tcW w:type="dxa" w:w="1224"/>
            <w:vAlign w:val="center"/>
          </w:tcPr>
          <w:p>
            <w:pPr>
              <w:jc w:val="left"/>
            </w:pPr>
            <w:r/>
            <w:r>
              <w:rPr>
                <w:b w:val="0"/>
                <w:sz w:val="18"/>
              </w:rPr>
              <w:t>343</w:t>
            </w:r>
          </w:p>
        </w:tc>
      </w:tr>
      <w:tr>
        <w:tc>
          <w:tcPr>
            <w:tcW w:type="dxa" w:w="1224"/>
            <w:vAlign w:val="center"/>
          </w:tcPr>
          <w:p>
            <w:pPr>
              <w:jc w:val="left"/>
            </w:pPr>
            <w:r/>
            <w:r>
              <w:rPr>
                <w:b w:val="0"/>
                <w:sz w:val="18"/>
              </w:rPr>
              <w:t>KANSER</w:t>
            </w:r>
          </w:p>
        </w:tc>
        <w:tc>
          <w:tcPr>
            <w:tcW w:type="dxa" w:w="1224"/>
            <w:vAlign w:val="center"/>
          </w:tcPr>
          <w:p>
            <w:pPr>
              <w:jc w:val="left"/>
            </w:pPr>
            <w:r/>
            <w:r>
              <w:rPr>
                <w:b w:val="0"/>
                <w:sz w:val="18"/>
              </w:rPr>
              <w:t>388</w:t>
            </w:r>
          </w:p>
        </w:tc>
        <w:tc>
          <w:tcPr>
            <w:tcW w:type="dxa" w:w="1224"/>
            <w:vAlign w:val="center"/>
          </w:tcPr>
          <w:p>
            <w:pPr>
              <w:jc w:val="left"/>
            </w:pPr>
            <w:r/>
            <w:r>
              <w:rPr>
                <w:b w:val="0"/>
                <w:sz w:val="18"/>
              </w:rPr>
              <w:t>351</w:t>
            </w:r>
          </w:p>
        </w:tc>
        <w:tc>
          <w:tcPr>
            <w:tcW w:type="dxa" w:w="1224"/>
            <w:vAlign w:val="center"/>
          </w:tcPr>
          <w:p>
            <w:pPr>
              <w:jc w:val="left"/>
            </w:pPr>
            <w:r/>
            <w:r>
              <w:rPr>
                <w:b w:val="0"/>
                <w:sz w:val="18"/>
              </w:rPr>
              <w:t>268</w:t>
            </w:r>
          </w:p>
        </w:tc>
        <w:tc>
          <w:tcPr>
            <w:tcW w:type="dxa" w:w="1224"/>
            <w:vAlign w:val="center"/>
          </w:tcPr>
          <w:p>
            <w:pPr>
              <w:jc w:val="left"/>
            </w:pPr>
            <w:r/>
            <w:r>
              <w:rPr>
                <w:b w:val="0"/>
                <w:sz w:val="18"/>
              </w:rPr>
              <w:t>120</w:t>
            </w:r>
          </w:p>
        </w:tc>
        <w:tc>
          <w:tcPr>
            <w:tcW w:type="dxa" w:w="1224"/>
            <w:vAlign w:val="center"/>
          </w:tcPr>
          <w:p>
            <w:pPr>
              <w:jc w:val="left"/>
            </w:pPr>
            <w:r/>
            <w:r>
              <w:rPr>
                <w:b w:val="0"/>
                <w:sz w:val="18"/>
              </w:rPr>
              <w:t>57.2%</w:t>
            </w:r>
          </w:p>
        </w:tc>
        <w:tc>
          <w:tcPr>
            <w:tcW w:type="dxa" w:w="1224"/>
            <w:vAlign w:val="center"/>
          </w:tcPr>
          <w:p>
            <w:pPr>
              <w:jc w:val="left"/>
            </w:pPr>
            <w:r/>
            <w:r>
              <w:rPr>
                <w:b w:val="0"/>
                <w:sz w:val="18"/>
              </w:rPr>
              <w:t>8</w:t>
            </w:r>
          </w:p>
        </w:tc>
        <w:tc>
          <w:tcPr>
            <w:tcW w:type="dxa" w:w="1224"/>
            <w:vAlign w:val="center"/>
          </w:tcPr>
          <w:p>
            <w:pPr>
              <w:jc w:val="left"/>
            </w:pPr>
            <w:r/>
            <w:r>
              <w:rPr>
                <w:b w:val="0"/>
                <w:sz w:val="18"/>
              </w:rPr>
              <w:t>343</w:t>
            </w:r>
          </w:p>
        </w:tc>
      </w:tr>
      <w:tr>
        <w:tc>
          <w:tcPr>
            <w:tcW w:type="dxa" w:w="1224"/>
            <w:vAlign w:val="center"/>
          </w:tcPr>
          <w:p>
            <w:pPr>
              <w:jc w:val="left"/>
            </w:pPr>
            <w:r/>
            <w:r>
              <w:rPr>
                <w:b w:val="0"/>
                <w:sz w:val="18"/>
              </w:rPr>
              <w:t>PAH</w:t>
            </w:r>
          </w:p>
        </w:tc>
        <w:tc>
          <w:tcPr>
            <w:tcW w:type="dxa" w:w="1224"/>
            <w:vAlign w:val="center"/>
          </w:tcPr>
          <w:p>
            <w:pPr>
              <w:jc w:val="left"/>
            </w:pPr>
            <w:r/>
            <w:r>
              <w:rPr>
                <w:b w:val="0"/>
                <w:sz w:val="18"/>
              </w:rPr>
              <w:t>372</w:t>
            </w:r>
          </w:p>
        </w:tc>
        <w:tc>
          <w:tcPr>
            <w:tcW w:type="dxa" w:w="1224"/>
            <w:vAlign w:val="center"/>
          </w:tcPr>
          <w:p>
            <w:pPr>
              <w:jc w:val="left"/>
            </w:pPr>
            <w:r/>
            <w:r>
              <w:rPr>
                <w:b w:val="0"/>
                <w:sz w:val="18"/>
              </w:rPr>
              <w:t>351</w:t>
            </w:r>
          </w:p>
        </w:tc>
        <w:tc>
          <w:tcPr>
            <w:tcW w:type="dxa" w:w="1224"/>
            <w:vAlign w:val="center"/>
          </w:tcPr>
          <w:p>
            <w:pPr>
              <w:jc w:val="left"/>
            </w:pPr>
            <w:r/>
            <w:r>
              <w:rPr>
                <w:b w:val="0"/>
                <w:sz w:val="18"/>
              </w:rPr>
              <w:t>310</w:t>
            </w:r>
          </w:p>
        </w:tc>
        <w:tc>
          <w:tcPr>
            <w:tcW w:type="dxa" w:w="1224"/>
            <w:vAlign w:val="center"/>
          </w:tcPr>
          <w:p>
            <w:pPr>
              <w:jc w:val="left"/>
            </w:pPr>
            <w:r/>
            <w:r>
              <w:rPr>
                <w:b w:val="0"/>
                <w:sz w:val="18"/>
              </w:rPr>
              <w:t>62</w:t>
            </w:r>
          </w:p>
        </w:tc>
        <w:tc>
          <w:tcPr>
            <w:tcW w:type="dxa" w:w="1224"/>
            <w:vAlign w:val="center"/>
          </w:tcPr>
          <w:p>
            <w:pPr>
              <w:jc w:val="left"/>
            </w:pPr>
            <w:r/>
            <w:r>
              <w:rPr>
                <w:b w:val="0"/>
                <w:sz w:val="18"/>
              </w:rPr>
              <w:t>54.3%</w:t>
            </w:r>
          </w:p>
        </w:tc>
        <w:tc>
          <w:tcPr>
            <w:tcW w:type="dxa" w:w="1224"/>
            <w:vAlign w:val="center"/>
          </w:tcPr>
          <w:p>
            <w:pPr>
              <w:jc w:val="left"/>
            </w:pPr>
            <w:r/>
            <w:r>
              <w:rPr>
                <w:b w:val="0"/>
                <w:sz w:val="18"/>
              </w:rPr>
              <w:t>7</w:t>
            </w:r>
          </w:p>
        </w:tc>
        <w:tc>
          <w:tcPr>
            <w:tcW w:type="dxa" w:w="1224"/>
            <w:vAlign w:val="center"/>
          </w:tcPr>
          <w:p>
            <w:pPr>
              <w:jc w:val="left"/>
            </w:pPr>
            <w:r/>
            <w:r>
              <w:rPr>
                <w:b w:val="0"/>
                <w:sz w:val="18"/>
              </w:rPr>
              <w:t>344</w:t>
            </w:r>
          </w:p>
        </w:tc>
      </w:tr>
      <w:tr>
        <w:tc>
          <w:tcPr>
            <w:tcW w:type="dxa" w:w="1224"/>
            <w:vAlign w:val="center"/>
          </w:tcPr>
          <w:p>
            <w:pPr>
              <w:jc w:val="left"/>
            </w:pPr>
            <w:r/>
            <w:r>
              <w:rPr>
                <w:b w:val="0"/>
                <w:sz w:val="18"/>
              </w:rPr>
              <w:t>CFTR</w:t>
            </w:r>
          </w:p>
        </w:tc>
        <w:tc>
          <w:tcPr>
            <w:tcW w:type="dxa" w:w="1224"/>
            <w:vAlign w:val="center"/>
          </w:tcPr>
          <w:p>
            <w:pPr>
              <w:jc w:val="left"/>
            </w:pPr>
            <w:r/>
            <w:r>
              <w:rPr>
                <w:b w:val="0"/>
                <w:sz w:val="18"/>
              </w:rPr>
              <w:t>111</w:t>
            </w:r>
          </w:p>
        </w:tc>
        <w:tc>
          <w:tcPr>
            <w:tcW w:type="dxa" w:w="1224"/>
            <w:vAlign w:val="center"/>
          </w:tcPr>
          <w:p>
            <w:pPr>
              <w:jc w:val="left"/>
            </w:pPr>
            <w:r/>
            <w:r>
              <w:rPr>
                <w:b w:val="0"/>
                <w:sz w:val="18"/>
              </w:rPr>
              <w:t>351</w:t>
            </w:r>
          </w:p>
        </w:tc>
        <w:tc>
          <w:tcPr>
            <w:tcW w:type="dxa" w:w="1224"/>
            <w:vAlign w:val="center"/>
          </w:tcPr>
          <w:p>
            <w:pPr>
              <w:jc w:val="left"/>
            </w:pPr>
            <w:r/>
            <w:r>
              <w:rPr>
                <w:b w:val="0"/>
                <w:sz w:val="18"/>
              </w:rPr>
              <w:t>90</w:t>
            </w:r>
          </w:p>
        </w:tc>
        <w:tc>
          <w:tcPr>
            <w:tcW w:type="dxa" w:w="1224"/>
            <w:vAlign w:val="center"/>
          </w:tcPr>
          <w:p>
            <w:pPr>
              <w:jc w:val="left"/>
            </w:pPr>
            <w:r/>
            <w:r>
              <w:rPr>
                <w:b w:val="0"/>
                <w:sz w:val="18"/>
              </w:rPr>
              <w:t>21</w:t>
            </w:r>
          </w:p>
        </w:tc>
        <w:tc>
          <w:tcPr>
            <w:tcW w:type="dxa" w:w="1224"/>
            <w:vAlign w:val="center"/>
          </w:tcPr>
          <w:p>
            <w:pPr>
              <w:jc w:val="left"/>
            </w:pPr>
            <w:r/>
            <w:r>
              <w:rPr>
                <w:b w:val="0"/>
                <w:sz w:val="18"/>
              </w:rPr>
              <w:t>30.3%</w:t>
            </w:r>
          </w:p>
        </w:tc>
        <w:tc>
          <w:tcPr>
            <w:tcW w:type="dxa" w:w="1224"/>
            <w:vAlign w:val="center"/>
          </w:tcPr>
          <w:p>
            <w:pPr>
              <w:jc w:val="left"/>
            </w:pPr>
            <w:r/>
            <w:r>
              <w:rPr>
                <w:b w:val="0"/>
                <w:sz w:val="18"/>
              </w:rPr>
              <w:t>8</w:t>
            </w:r>
          </w:p>
        </w:tc>
        <w:tc>
          <w:tcPr>
            <w:tcW w:type="dxa" w:w="1224"/>
            <w:vAlign w:val="center"/>
          </w:tcPr>
          <w:p>
            <w:pPr>
              <w:jc w:val="left"/>
            </w:pPr>
            <w:r/>
            <w:r>
              <w:rPr>
                <w:b w:val="0"/>
                <w:sz w:val="18"/>
              </w:rPr>
              <w:t>343</w:t>
            </w:r>
          </w:p>
        </w:tc>
      </w:tr>
    </w:tbl>
    <w:p/>
    <w:p>
      <w:pPr>
        <w:pStyle w:val="Heading1"/>
      </w:pPr>
      <w:r>
        <w:t>2. Methodology</w:t>
      </w:r>
    </w:p>
    <w:p>
      <w:pPr>
        <w:pStyle w:val="Heading2"/>
      </w:pPr>
      <w:r>
        <w:t>2.1 Data Processing and Leakage Controls</w:t>
      </w:r>
    </w:p>
    <w:p>
      <w:r>
        <w:t>The raw tables contain an anonymized Variant_ID, a binary Label, and 351 encrypted or anonymized biological features. Variant_ID and Label are never passed into model features. Numeric columns are imputed by training-fold medians, augmented with missingness indicators, and scaled using RobustScaler to limit the influence of outliers. Categorical columns are imputed with a constant category and one-hot encoded with rare-category handling.</w:t>
      </w:r>
    </w:p>
    <w:p>
      <w:r>
        <w:t>The preprocessing design intentionally treats the dataset as a heterogeneous tabular biomedical dataset rather than a sequence dataset. Because genomic coordinates and exact feature semantics are hidden, the pipeline avoids any external lookup, annotation service, or gene-coordinate reconstruction. Every transformation is local to the provided matrices and is executed inside cross-validation folds.</w:t>
      </w:r>
    </w:p>
    <w:p>
      <w:pPr>
        <w:pStyle w:val="ListNumber"/>
        <w:spacing w:after="60"/>
      </w:pPr>
      <w:r>
        <w:t>All preprocessing is fitted only on the training fold inside a sklearn Pipeline/ColumnTransformer.</w:t>
      </w:r>
    </w:p>
    <w:p>
      <w:pPr>
        <w:pStyle w:val="ListNumber"/>
        <w:spacing w:after="60"/>
      </w:pPr>
      <w:r>
        <w:t>Variant_ID and Label are removed before model fitting.</w:t>
      </w:r>
    </w:p>
    <w:p>
      <w:pPr>
        <w:pStyle w:val="ListNumber"/>
        <w:spacing w:after="60"/>
      </w:pPr>
      <w:r>
        <w:t>For panel adaptation, MASTER rows overlapping with the target panel by Variant_ID are removed before the foundation model is trained.</w:t>
      </w:r>
    </w:p>
    <w:p>
      <w:pPr>
        <w:pStyle w:val="ListNumber"/>
        <w:spacing w:after="60"/>
      </w:pPr>
      <w:r>
        <w:t>Near-duplicate scans and adversarial validation are exported as quality-control reports.</w:t>
      </w:r>
    </w:p>
    <w:p>
      <w:r>
        <w:t>Feature engineering consists of three controlled additions. First, missingness indicators are added for numeric features because the pattern of missing values may itself encode measurement availability or biological assay coverage. Second, categorical anonymized features are converted to sparse indicator features through one-hot encoding with rare-category handling. Third, for disease-specific panels only, a global transfer feature named GLOBAL_FOUNDATION_PROBA is added as described below.</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736"/>
            <w:vAlign w:val="center"/>
            <w:shd w:fill="E8EEF5"/>
          </w:tcPr>
          <w:p>
            <w:pPr>
              <w:jc w:val="left"/>
            </w:pPr>
            <w:r/>
            <w:r>
              <w:rPr>
                <w:b/>
                <w:color w:val="0B2545"/>
                <w:sz w:val="18"/>
              </w:rPr>
              <w:t>Pair</w:t>
            </w:r>
          </w:p>
        </w:tc>
        <w:tc>
          <w:tcPr>
            <w:tcW w:type="dxa" w:w="1152"/>
            <w:vAlign w:val="center"/>
            <w:shd w:fill="E8EEF5"/>
          </w:tcPr>
          <w:p>
            <w:pPr>
              <w:jc w:val="left"/>
            </w:pPr>
            <w:r/>
            <w:r>
              <w:rPr>
                <w:b/>
                <w:color w:val="0B2545"/>
                <w:sz w:val="18"/>
              </w:rPr>
              <w:t>Overlap</w:t>
            </w:r>
          </w:p>
        </w:tc>
        <w:tc>
          <w:tcPr>
            <w:tcW w:type="dxa" w:w="5040"/>
            <w:vAlign w:val="center"/>
            <w:shd w:fill="E8EEF5"/>
          </w:tcPr>
          <w:p>
            <w:pPr>
              <w:jc w:val="left"/>
            </w:pPr>
            <w:r/>
            <w:r>
              <w:rPr>
                <w:b/>
                <w:color w:val="0B2545"/>
                <w:sz w:val="18"/>
              </w:rPr>
              <w:t>Interpretation</w:t>
            </w:r>
          </w:p>
        </w:tc>
      </w:tr>
      <w:tr>
        <w:tc>
          <w:tcPr>
            <w:tcW w:type="dxa" w:w="3264"/>
            <w:vAlign w:val="center"/>
          </w:tcPr>
          <w:p>
            <w:pPr>
              <w:jc w:val="left"/>
            </w:pPr>
            <w:r/>
            <w:r>
              <w:rPr>
                <w:b w:val="0"/>
                <w:sz w:val="18"/>
              </w:rPr>
              <w:t>MASTER vs KANSER</w:t>
            </w:r>
          </w:p>
        </w:tc>
        <w:tc>
          <w:tcPr>
            <w:tcW w:type="dxa" w:w="3264"/>
            <w:vAlign w:val="center"/>
          </w:tcPr>
          <w:p>
            <w:pPr>
              <w:jc w:val="left"/>
            </w:pPr>
            <w:r/>
            <w:r>
              <w:rPr>
                <w:b w:val="0"/>
                <w:sz w:val="18"/>
              </w:rPr>
              <w:t>246</w:t>
            </w:r>
          </w:p>
        </w:tc>
        <w:tc>
          <w:tcPr>
            <w:tcW w:type="dxa" w:w="3264"/>
            <w:vAlign w:val="center"/>
          </w:tcPr>
          <w:p>
            <w:pPr>
              <w:jc w:val="left"/>
            </w:pPr>
            <w:r/>
            <w:r>
              <w:rPr>
                <w:b w:val="0"/>
                <w:sz w:val="18"/>
              </w:rPr>
              <w:t>Removed from MASTER before panel foundation training</w:t>
            </w:r>
          </w:p>
        </w:tc>
      </w:tr>
      <w:tr>
        <w:tc>
          <w:tcPr>
            <w:tcW w:type="dxa" w:w="3264"/>
            <w:vAlign w:val="center"/>
          </w:tcPr>
          <w:p>
            <w:pPr>
              <w:jc w:val="left"/>
            </w:pPr>
            <w:r/>
            <w:r>
              <w:rPr>
                <w:b w:val="0"/>
                <w:sz w:val="18"/>
              </w:rPr>
              <w:t>MASTER vs PAH</w:t>
            </w:r>
          </w:p>
        </w:tc>
        <w:tc>
          <w:tcPr>
            <w:tcW w:type="dxa" w:w="3264"/>
            <w:vAlign w:val="center"/>
          </w:tcPr>
          <w:p>
            <w:pPr>
              <w:jc w:val="left"/>
            </w:pPr>
            <w:r/>
            <w:r>
              <w:rPr>
                <w:b w:val="0"/>
                <w:sz w:val="18"/>
              </w:rPr>
              <w:t>255</w:t>
            </w:r>
          </w:p>
        </w:tc>
        <w:tc>
          <w:tcPr>
            <w:tcW w:type="dxa" w:w="3264"/>
            <w:vAlign w:val="center"/>
          </w:tcPr>
          <w:p>
            <w:pPr>
              <w:jc w:val="left"/>
            </w:pPr>
            <w:r/>
            <w:r>
              <w:rPr>
                <w:b w:val="0"/>
                <w:sz w:val="18"/>
              </w:rPr>
              <w:t>Removed from MASTER before panel foundation training</w:t>
            </w:r>
          </w:p>
        </w:tc>
      </w:tr>
      <w:tr>
        <w:tc>
          <w:tcPr>
            <w:tcW w:type="dxa" w:w="3264"/>
            <w:vAlign w:val="center"/>
          </w:tcPr>
          <w:p>
            <w:pPr>
              <w:jc w:val="left"/>
            </w:pPr>
            <w:r/>
            <w:r>
              <w:rPr>
                <w:b w:val="0"/>
                <w:sz w:val="18"/>
              </w:rPr>
              <w:t>MASTER vs CFTR</w:t>
            </w:r>
          </w:p>
        </w:tc>
        <w:tc>
          <w:tcPr>
            <w:tcW w:type="dxa" w:w="3264"/>
            <w:vAlign w:val="center"/>
          </w:tcPr>
          <w:p>
            <w:pPr>
              <w:jc w:val="left"/>
            </w:pPr>
            <w:r/>
            <w:r>
              <w:rPr>
                <w:b w:val="0"/>
                <w:sz w:val="18"/>
              </w:rPr>
              <w:t>77</w:t>
            </w:r>
          </w:p>
        </w:tc>
        <w:tc>
          <w:tcPr>
            <w:tcW w:type="dxa" w:w="3264"/>
            <w:vAlign w:val="center"/>
          </w:tcPr>
          <w:p>
            <w:pPr>
              <w:jc w:val="left"/>
            </w:pPr>
            <w:r/>
            <w:r>
              <w:rPr>
                <w:b w:val="0"/>
                <w:sz w:val="18"/>
              </w:rPr>
              <w:t>Removed from MASTER before panel foundation training</w:t>
            </w:r>
          </w:p>
        </w:tc>
      </w:tr>
      <w:tr>
        <w:tc>
          <w:tcPr>
            <w:tcW w:type="dxa" w:w="3264"/>
            <w:vAlign w:val="center"/>
          </w:tcPr>
          <w:p>
            <w:pPr>
              <w:jc w:val="left"/>
            </w:pPr>
            <w:r/>
            <w:r>
              <w:rPr>
                <w:b w:val="0"/>
                <w:sz w:val="18"/>
              </w:rPr>
              <w:t>KANSER vs PAH</w:t>
            </w:r>
          </w:p>
        </w:tc>
        <w:tc>
          <w:tcPr>
            <w:tcW w:type="dxa" w:w="3264"/>
            <w:vAlign w:val="center"/>
          </w:tcPr>
          <w:p>
            <w:pPr>
              <w:jc w:val="left"/>
            </w:pPr>
            <w:r/>
            <w:r>
              <w:rPr>
                <w:b w:val="0"/>
                <w:sz w:val="18"/>
              </w:rPr>
              <w:t>0</w:t>
            </w:r>
          </w:p>
        </w:tc>
        <w:tc>
          <w:tcPr>
            <w:tcW w:type="dxa" w:w="3264"/>
            <w:vAlign w:val="center"/>
          </w:tcPr>
          <w:p>
            <w:pPr>
              <w:jc w:val="left"/>
            </w:pPr>
            <w:r/>
            <w:r>
              <w:rPr>
                <w:b w:val="0"/>
                <w:sz w:val="18"/>
              </w:rPr>
              <w:t>No cross-panel overlap detected</w:t>
            </w:r>
          </w:p>
        </w:tc>
      </w:tr>
      <w:tr>
        <w:tc>
          <w:tcPr>
            <w:tcW w:type="dxa" w:w="3264"/>
            <w:vAlign w:val="center"/>
          </w:tcPr>
          <w:p>
            <w:pPr>
              <w:jc w:val="left"/>
            </w:pPr>
            <w:r/>
            <w:r>
              <w:rPr>
                <w:b w:val="0"/>
                <w:sz w:val="18"/>
              </w:rPr>
              <w:t>KANSER vs CFTR</w:t>
            </w:r>
          </w:p>
        </w:tc>
        <w:tc>
          <w:tcPr>
            <w:tcW w:type="dxa" w:w="3264"/>
            <w:vAlign w:val="center"/>
          </w:tcPr>
          <w:p>
            <w:pPr>
              <w:jc w:val="left"/>
            </w:pPr>
            <w:r/>
            <w:r>
              <w:rPr>
                <w:b w:val="0"/>
                <w:sz w:val="18"/>
              </w:rPr>
              <w:t>0</w:t>
            </w:r>
          </w:p>
        </w:tc>
        <w:tc>
          <w:tcPr>
            <w:tcW w:type="dxa" w:w="3264"/>
            <w:vAlign w:val="center"/>
          </w:tcPr>
          <w:p>
            <w:pPr>
              <w:jc w:val="left"/>
            </w:pPr>
            <w:r/>
            <w:r>
              <w:rPr>
                <w:b w:val="0"/>
                <w:sz w:val="18"/>
              </w:rPr>
              <w:t>No cross-panel overlap detected</w:t>
            </w:r>
          </w:p>
        </w:tc>
      </w:tr>
      <w:tr>
        <w:tc>
          <w:tcPr>
            <w:tcW w:type="dxa" w:w="3264"/>
            <w:vAlign w:val="center"/>
          </w:tcPr>
          <w:p>
            <w:pPr>
              <w:jc w:val="left"/>
            </w:pPr>
            <w:r/>
            <w:r>
              <w:rPr>
                <w:b w:val="0"/>
                <w:sz w:val="18"/>
              </w:rPr>
              <w:t>PAH vs CFTR</w:t>
            </w:r>
          </w:p>
        </w:tc>
        <w:tc>
          <w:tcPr>
            <w:tcW w:type="dxa" w:w="3264"/>
            <w:vAlign w:val="center"/>
          </w:tcPr>
          <w:p>
            <w:pPr>
              <w:jc w:val="left"/>
            </w:pPr>
            <w:r/>
            <w:r>
              <w:rPr>
                <w:b w:val="0"/>
                <w:sz w:val="18"/>
              </w:rPr>
              <w:t>0</w:t>
            </w:r>
          </w:p>
        </w:tc>
        <w:tc>
          <w:tcPr>
            <w:tcW w:type="dxa" w:w="3264"/>
            <w:vAlign w:val="center"/>
          </w:tcPr>
          <w:p>
            <w:pPr>
              <w:jc w:val="left"/>
            </w:pPr>
            <w:r/>
            <w:r>
              <w:rPr>
                <w:b w:val="0"/>
                <w:sz w:val="18"/>
              </w:rPr>
              <w:t>No cross-panel overlap detected</w:t>
            </w:r>
          </w:p>
        </w:tc>
      </w:tr>
    </w:tbl>
    <w:p/>
    <w:p>
      <w:pPr>
        <w:pStyle w:val="Heading2"/>
      </w:pPr>
      <w:r>
        <w:t>2.2 Model Architecture</w:t>
      </w:r>
    </w:p>
    <w:p>
      <w:r>
        <w:t>The final architecture is a soft-voting ensemble. When optional libraries are available, LightGBM and CatBoost are included because they are strong choices for heterogeneous tabular data with missingness, non-linear feature interactions, and small-to-medium sample sizes. The ensemble also includes HistGradientBoosting, ExtraTrees, and RandomForest as stable sklearn components.</w:t>
      </w:r>
    </w:p>
    <w:p>
      <w:r>
        <w:t>GLOBAL_FOUNDATION_PROBA is the key panel-adaptation feature. For each panel, a separate foundation model is trained on MASTER after removing all MASTER rows whose Variant_ID appears in that panel. The trained foundation model then predicts a pathogenicity probability for each panel row. This probability is appended as a single meta-feature and gives the small panel model a global pathogenicity prior learned from the larger dataset. Because overlapping IDs are removed before the foundation model is fitted, this feature is not a direct label lookup for panel rows.</w:t>
      </w:r>
    </w:p>
    <w:tbl>
      <w:tblPr>
        <w:tblStyle w:val="TableGrid"/>
        <w:tblW w:type="auto" w:w="0"/>
        <w:jc w:val="center"/>
        <w:tblLayout w:type="fixed"/>
        <w:tblLook w:firstColumn="1" w:firstRow="1" w:lastColumn="0" w:lastRow="0" w:noHBand="0" w:noVBand="1" w:val="04A0"/>
      </w:tblPr>
      <w:tblGrid>
        <w:gridCol w:w="4896"/>
        <w:gridCol w:w="4896"/>
      </w:tblGrid>
      <w:tr>
        <w:tc>
          <w:tcPr>
            <w:tcW w:type="dxa" w:w="2592"/>
            <w:vAlign w:val="center"/>
            <w:shd w:fill="E8EEF5"/>
          </w:tcPr>
          <w:p>
            <w:pPr>
              <w:jc w:val="left"/>
            </w:pPr>
            <w:r/>
            <w:r>
              <w:rPr>
                <w:b/>
                <w:color w:val="0B2545"/>
                <w:sz w:val="18"/>
              </w:rPr>
              <w:t>Component</w:t>
            </w:r>
          </w:p>
        </w:tc>
        <w:tc>
          <w:tcPr>
            <w:tcW w:type="dxa" w:w="6336"/>
            <w:vAlign w:val="center"/>
            <w:shd w:fill="E8EEF5"/>
          </w:tcPr>
          <w:p>
            <w:pPr>
              <w:jc w:val="left"/>
            </w:pPr>
            <w:r/>
            <w:r>
              <w:rPr>
                <w:b/>
                <w:color w:val="0B2545"/>
                <w:sz w:val="18"/>
              </w:rPr>
              <w:t>Role in the ensemble</w:t>
            </w:r>
          </w:p>
        </w:tc>
      </w:tr>
      <w:tr>
        <w:tc>
          <w:tcPr>
            <w:tcW w:type="dxa" w:w="4896"/>
            <w:vAlign w:val="center"/>
          </w:tcPr>
          <w:p>
            <w:pPr>
              <w:jc w:val="left"/>
            </w:pPr>
            <w:r/>
            <w:r>
              <w:rPr>
                <w:b w:val="0"/>
                <w:sz w:val="18"/>
              </w:rPr>
              <w:t>LightGBM</w:t>
            </w:r>
          </w:p>
        </w:tc>
        <w:tc>
          <w:tcPr>
            <w:tcW w:type="dxa" w:w="4896"/>
            <w:vAlign w:val="center"/>
          </w:tcPr>
          <w:p>
            <w:pPr>
              <w:jc w:val="left"/>
            </w:pPr>
            <w:r/>
            <w:r>
              <w:rPr>
                <w:b w:val="0"/>
                <w:sz w:val="18"/>
              </w:rPr>
              <w:t>High-capacity gradient boosting for sparse/encoded tabular features.</w:t>
            </w:r>
          </w:p>
        </w:tc>
      </w:tr>
      <w:tr>
        <w:tc>
          <w:tcPr>
            <w:tcW w:type="dxa" w:w="4896"/>
            <w:vAlign w:val="center"/>
          </w:tcPr>
          <w:p>
            <w:pPr>
              <w:jc w:val="left"/>
            </w:pPr>
            <w:r/>
            <w:r>
              <w:rPr>
                <w:b w:val="0"/>
                <w:sz w:val="18"/>
              </w:rPr>
              <w:t>CatBoost</w:t>
            </w:r>
          </w:p>
        </w:tc>
        <w:tc>
          <w:tcPr>
            <w:tcW w:type="dxa" w:w="4896"/>
            <w:vAlign w:val="center"/>
          </w:tcPr>
          <w:p>
            <w:pPr>
              <w:jc w:val="left"/>
            </w:pPr>
            <w:r/>
            <w:r>
              <w:rPr>
                <w:b w:val="0"/>
                <w:sz w:val="18"/>
              </w:rPr>
              <w:t>Robust boosted trees with strong regularization behavior on small panels.</w:t>
            </w:r>
          </w:p>
        </w:tc>
      </w:tr>
      <w:tr>
        <w:tc>
          <w:tcPr>
            <w:tcW w:type="dxa" w:w="4896"/>
            <w:vAlign w:val="center"/>
          </w:tcPr>
          <w:p>
            <w:pPr>
              <w:jc w:val="left"/>
            </w:pPr>
            <w:r/>
            <w:r>
              <w:rPr>
                <w:b w:val="0"/>
                <w:sz w:val="18"/>
              </w:rPr>
              <w:t>HistGradientBoosting</w:t>
            </w:r>
          </w:p>
        </w:tc>
        <w:tc>
          <w:tcPr>
            <w:tcW w:type="dxa" w:w="4896"/>
            <w:vAlign w:val="center"/>
          </w:tcPr>
          <w:p>
            <w:pPr>
              <w:jc w:val="left"/>
            </w:pPr>
            <w:r/>
            <w:r>
              <w:rPr>
                <w:b w:val="0"/>
                <w:sz w:val="18"/>
              </w:rPr>
              <w:t>Native sklearn gradient boosting baseline and diversity source.</w:t>
            </w:r>
          </w:p>
        </w:tc>
      </w:tr>
      <w:tr>
        <w:tc>
          <w:tcPr>
            <w:tcW w:type="dxa" w:w="4896"/>
            <w:vAlign w:val="center"/>
          </w:tcPr>
          <w:p>
            <w:pPr>
              <w:jc w:val="left"/>
            </w:pPr>
            <w:r/>
            <w:r>
              <w:rPr>
                <w:b w:val="0"/>
                <w:sz w:val="18"/>
              </w:rPr>
              <w:t>ExtraTrees</w:t>
            </w:r>
          </w:p>
        </w:tc>
        <w:tc>
          <w:tcPr>
            <w:tcW w:type="dxa" w:w="4896"/>
            <w:vAlign w:val="center"/>
          </w:tcPr>
          <w:p>
            <w:pPr>
              <w:jc w:val="left"/>
            </w:pPr>
            <w:r/>
            <w:r>
              <w:rPr>
                <w:b w:val="0"/>
                <w:sz w:val="18"/>
              </w:rPr>
              <w:t>High-variance randomized trees that improve ensemble diversity.</w:t>
            </w:r>
          </w:p>
        </w:tc>
      </w:tr>
      <w:tr>
        <w:tc>
          <w:tcPr>
            <w:tcW w:type="dxa" w:w="4896"/>
            <w:vAlign w:val="center"/>
          </w:tcPr>
          <w:p>
            <w:pPr>
              <w:jc w:val="left"/>
            </w:pPr>
            <w:r/>
            <w:r>
              <w:rPr>
                <w:b w:val="0"/>
                <w:sz w:val="18"/>
              </w:rPr>
              <w:t>RandomForest</w:t>
            </w:r>
          </w:p>
        </w:tc>
        <w:tc>
          <w:tcPr>
            <w:tcW w:type="dxa" w:w="4896"/>
            <w:vAlign w:val="center"/>
          </w:tcPr>
          <w:p>
            <w:pPr>
              <w:jc w:val="left"/>
            </w:pPr>
            <w:r/>
            <w:r>
              <w:rPr>
                <w:b w:val="0"/>
                <w:sz w:val="18"/>
              </w:rPr>
              <w:t>Stable bagged-tree component for variance reduction.</w:t>
            </w:r>
          </w:p>
        </w:tc>
      </w:tr>
      <w:tr>
        <w:tc>
          <w:tcPr>
            <w:tcW w:type="dxa" w:w="4896"/>
            <w:vAlign w:val="center"/>
          </w:tcPr>
          <w:p>
            <w:pPr>
              <w:jc w:val="left"/>
            </w:pPr>
            <w:r/>
            <w:r>
              <w:rPr>
                <w:b w:val="0"/>
                <w:sz w:val="18"/>
              </w:rPr>
              <w:t>GLOBAL_FOUNDATION_PROBA</w:t>
            </w:r>
          </w:p>
        </w:tc>
        <w:tc>
          <w:tcPr>
            <w:tcW w:type="dxa" w:w="4896"/>
            <w:vAlign w:val="center"/>
          </w:tcPr>
          <w:p>
            <w:pPr>
              <w:jc w:val="left"/>
            </w:pPr>
            <w:r/>
            <w:r>
              <w:rPr>
                <w:b w:val="0"/>
                <w:sz w:val="18"/>
              </w:rPr>
              <w:t>Panel-only meta-feature produced by a MASTER model trained after removing overlapping panel Variant_IDs.</w:t>
            </w:r>
          </w:p>
        </w:tc>
      </w:tr>
    </w:tbl>
    <w:p/>
    <w:p>
      <w:pPr>
        <w:pStyle w:val="Heading2"/>
      </w:pPr>
      <w:r>
        <w:t>2.3 Validation, Thresholding, and Hyperparameter Search</w:t>
      </w:r>
    </w:p>
    <w:p>
      <w:r>
        <w:t>The main reported experiment uses repeated stratified cross-validation. MASTER, KANSER, and PAH use 5 folds and 3 repeats; CFTR uses 5 folds and 5 repeats because the cohort has only 111 rows. The operating threshold is selected on out-of-fold probabilities by maximizing Macro F1 over a threshold grid. This is more appropriate than a fixed 0.5 threshold because panels are class-imbalanced and clinical risks differ by error type.</w:t>
      </w:r>
    </w:p>
    <w:p>
      <w:r>
        <w:t>A second experiment performs Optuna TPE search with 20 trials per dataset on fixed CV splits. The search optimizes LightGBM parameters, CatBoost parameters, and the soft-voting weights of all five ensemble members. After the best trial, CV is rerun for the best configuration and final tuned models are trained. SHAP reports are then generated for the tuned LightGBM and CatBoost components.</w:t>
      </w:r>
    </w:p>
    <w:p>
      <w:pPr>
        <w:pStyle w:val="Heading2"/>
      </w:pPr>
      <w:r>
        <w:t>2.4 Explainability</w:t>
      </w:r>
    </w:p>
    <w:p>
      <w:r>
        <w:t>Explainability is implemented at two levels. First, tree feature-importance summaries are produced for the final full-CV models. Second, SHAP TreeExplainer is applied to the tuned LightGBM and CatBoost components. SHAP is used as a leakage sanity check and as an interpretability tool: dominant features should be biological/anonymized feature groups or the explicitly generated foundation probability, not labels, identifiers, or dataset markers.</w:t>
      </w:r>
    </w:p>
    <w:p>
      <w:pPr>
        <w:pStyle w:val="Heading1"/>
      </w:pPr>
      <w:r>
        <w:t>3. Findings</w:t>
      </w:r>
    </w:p>
    <w:p>
      <w:pPr>
        <w:pStyle w:val="Heading2"/>
      </w:pPr>
      <w:r>
        <w:t>3.1 Main Full-CV Results</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1080"/>
            <w:vAlign w:val="center"/>
            <w:shd w:fill="E8EEF5"/>
          </w:tcPr>
          <w:p>
            <w:pPr>
              <w:jc w:val="left"/>
            </w:pPr>
            <w:r/>
            <w:r>
              <w:rPr>
                <w:b/>
                <w:color w:val="0B2545"/>
                <w:sz w:val="18"/>
              </w:rPr>
              <w:t>Dataset</w:t>
            </w:r>
          </w:p>
        </w:tc>
        <w:tc>
          <w:tcPr>
            <w:tcW w:type="dxa" w:w="792"/>
            <w:vAlign w:val="center"/>
            <w:shd w:fill="E8EEF5"/>
          </w:tcPr>
          <w:p>
            <w:pPr>
              <w:jc w:val="left"/>
            </w:pPr>
            <w:r/>
            <w:r>
              <w:rPr>
                <w:b/>
                <w:color w:val="0B2545"/>
                <w:sz w:val="18"/>
              </w:rPr>
              <w:t>Rows</w:t>
            </w:r>
          </w:p>
        </w:tc>
        <w:tc>
          <w:tcPr>
            <w:tcW w:type="dxa" w:w="792"/>
            <w:vAlign w:val="center"/>
            <w:shd w:fill="E8EEF5"/>
          </w:tcPr>
          <w:p>
            <w:pPr>
              <w:jc w:val="left"/>
            </w:pPr>
            <w:r/>
            <w:r>
              <w:rPr>
                <w:b/>
                <w:color w:val="0B2545"/>
                <w:sz w:val="18"/>
              </w:rPr>
              <w:t>CV</w:t>
            </w:r>
          </w:p>
        </w:tc>
        <w:tc>
          <w:tcPr>
            <w:tcW w:type="dxa" w:w="936"/>
            <w:vAlign w:val="center"/>
            <w:shd w:fill="E8EEF5"/>
          </w:tcPr>
          <w:p>
            <w:pPr>
              <w:jc w:val="left"/>
            </w:pPr>
            <w:r/>
            <w:r>
              <w:rPr>
                <w:b/>
                <w:color w:val="0B2545"/>
                <w:sz w:val="18"/>
              </w:rPr>
              <w:t>Threshold</w:t>
            </w:r>
          </w:p>
        </w:tc>
        <w:tc>
          <w:tcPr>
            <w:tcW w:type="dxa" w:w="936"/>
            <w:vAlign w:val="center"/>
            <w:shd w:fill="E8EEF5"/>
          </w:tcPr>
          <w:p>
            <w:pPr>
              <w:jc w:val="left"/>
            </w:pPr>
            <w:r/>
            <w:r>
              <w:rPr>
                <w:b/>
                <w:color w:val="0B2545"/>
                <w:sz w:val="18"/>
              </w:rPr>
              <w:t>Macro F1</w:t>
            </w:r>
          </w:p>
        </w:tc>
        <w:tc>
          <w:tcPr>
            <w:tcW w:type="dxa" w:w="864"/>
            <w:vAlign w:val="center"/>
            <w:shd w:fill="E8EEF5"/>
          </w:tcPr>
          <w:p>
            <w:pPr>
              <w:jc w:val="left"/>
            </w:pPr>
            <w:r/>
            <w:r>
              <w:rPr>
                <w:b/>
                <w:color w:val="0B2545"/>
                <w:sz w:val="18"/>
              </w:rPr>
              <w:t>MCC</w:t>
            </w:r>
          </w:p>
        </w:tc>
        <w:tc>
          <w:tcPr>
            <w:tcW w:type="dxa" w:w="864"/>
            <w:vAlign w:val="center"/>
            <w:shd w:fill="E8EEF5"/>
          </w:tcPr>
          <w:p>
            <w:pPr>
              <w:jc w:val="left"/>
            </w:pPr>
            <w:r/>
            <w:r>
              <w:rPr>
                <w:b/>
                <w:color w:val="0B2545"/>
                <w:sz w:val="18"/>
              </w:rPr>
              <w:t>AUPRC</w:t>
            </w:r>
          </w:p>
        </w:tc>
        <w:tc>
          <w:tcPr>
            <w:tcW w:type="dxa" w:w="864"/>
            <w:vAlign w:val="center"/>
            <w:shd w:fill="E8EEF5"/>
          </w:tcPr>
          <w:p>
            <w:pPr>
              <w:jc w:val="left"/>
            </w:pPr>
            <w:r/>
            <w:r>
              <w:rPr>
                <w:b/>
                <w:color w:val="0B2545"/>
                <w:sz w:val="18"/>
              </w:rPr>
              <w:t>ROC-AUC</w:t>
            </w:r>
          </w:p>
        </w:tc>
        <w:tc>
          <w:tcPr>
            <w:tcW w:type="dxa" w:w="1080"/>
            <w:vAlign w:val="center"/>
            <w:shd w:fill="E8EEF5"/>
          </w:tcPr>
          <w:p>
            <w:pPr>
              <w:jc w:val="left"/>
            </w:pPr>
            <w:r/>
            <w:r>
              <w:rPr>
                <w:b/>
                <w:color w:val="0B2545"/>
                <w:sz w:val="18"/>
              </w:rPr>
              <w:t>Path. Prec.</w:t>
            </w:r>
          </w:p>
        </w:tc>
        <w:tc>
          <w:tcPr>
            <w:tcW w:type="dxa" w:w="1080"/>
            <w:vAlign w:val="center"/>
            <w:shd w:fill="E8EEF5"/>
          </w:tcPr>
          <w:p>
            <w:pPr>
              <w:jc w:val="left"/>
            </w:pPr>
            <w:r/>
            <w:r>
              <w:rPr>
                <w:b/>
                <w:color w:val="0B2545"/>
                <w:sz w:val="18"/>
              </w:rPr>
              <w:t>Path. Rec.</w:t>
            </w:r>
          </w:p>
        </w:tc>
      </w:tr>
      <w:tr>
        <w:tc>
          <w:tcPr>
            <w:tcW w:type="dxa" w:w="979"/>
            <w:vAlign w:val="center"/>
          </w:tcPr>
          <w:p>
            <w:pPr>
              <w:jc w:val="left"/>
            </w:pPr>
            <w:r/>
            <w:r>
              <w:rPr>
                <w:b w:val="0"/>
                <w:sz w:val="18"/>
              </w:rPr>
              <w:t>MASTER</w:t>
            </w:r>
          </w:p>
        </w:tc>
        <w:tc>
          <w:tcPr>
            <w:tcW w:type="dxa" w:w="979"/>
            <w:vAlign w:val="center"/>
          </w:tcPr>
          <w:p>
            <w:pPr>
              <w:jc w:val="left"/>
            </w:pPr>
            <w:r/>
            <w:r>
              <w:rPr>
                <w:b w:val="0"/>
                <w:sz w:val="18"/>
              </w:rPr>
              <w:t>2931</w:t>
            </w:r>
          </w:p>
        </w:tc>
        <w:tc>
          <w:tcPr>
            <w:tcW w:type="dxa" w:w="979"/>
            <w:vAlign w:val="center"/>
          </w:tcPr>
          <w:p>
            <w:pPr>
              <w:jc w:val="left"/>
            </w:pPr>
            <w:r/>
            <w:r>
              <w:rPr>
                <w:b w:val="0"/>
                <w:sz w:val="18"/>
              </w:rPr>
              <w:t>5x3</w:t>
            </w:r>
          </w:p>
        </w:tc>
        <w:tc>
          <w:tcPr>
            <w:tcW w:type="dxa" w:w="979"/>
            <w:vAlign w:val="center"/>
          </w:tcPr>
          <w:p>
            <w:pPr>
              <w:jc w:val="left"/>
            </w:pPr>
            <w:r/>
            <w:r>
              <w:rPr>
                <w:b w:val="0"/>
                <w:sz w:val="18"/>
              </w:rPr>
              <w:t>0.57</w:t>
            </w:r>
          </w:p>
        </w:tc>
        <w:tc>
          <w:tcPr>
            <w:tcW w:type="dxa" w:w="979"/>
            <w:vAlign w:val="center"/>
          </w:tcPr>
          <w:p>
            <w:pPr>
              <w:jc w:val="left"/>
            </w:pPr>
            <w:r/>
            <w:r>
              <w:rPr>
                <w:b w:val="0"/>
                <w:sz w:val="18"/>
              </w:rPr>
              <w:t>0.772</w:t>
            </w:r>
          </w:p>
        </w:tc>
        <w:tc>
          <w:tcPr>
            <w:tcW w:type="dxa" w:w="979"/>
            <w:vAlign w:val="center"/>
          </w:tcPr>
          <w:p>
            <w:pPr>
              <w:jc w:val="left"/>
            </w:pPr>
            <w:r/>
            <w:r>
              <w:rPr>
                <w:b w:val="0"/>
                <w:sz w:val="18"/>
              </w:rPr>
              <w:t>0.546</w:t>
            </w:r>
          </w:p>
        </w:tc>
        <w:tc>
          <w:tcPr>
            <w:tcW w:type="dxa" w:w="979"/>
            <w:vAlign w:val="center"/>
          </w:tcPr>
          <w:p>
            <w:pPr>
              <w:jc w:val="left"/>
            </w:pPr>
            <w:r/>
            <w:r>
              <w:rPr>
                <w:b w:val="0"/>
                <w:sz w:val="18"/>
              </w:rPr>
              <w:t>0.929</w:t>
            </w:r>
          </w:p>
        </w:tc>
        <w:tc>
          <w:tcPr>
            <w:tcW w:type="dxa" w:w="979"/>
            <w:vAlign w:val="center"/>
          </w:tcPr>
          <w:p>
            <w:pPr>
              <w:jc w:val="left"/>
            </w:pPr>
            <w:r/>
            <w:r>
              <w:rPr>
                <w:b w:val="0"/>
                <w:sz w:val="18"/>
              </w:rPr>
              <w:t>0.853</w:t>
            </w:r>
          </w:p>
        </w:tc>
        <w:tc>
          <w:tcPr>
            <w:tcW w:type="dxa" w:w="979"/>
            <w:vAlign w:val="center"/>
          </w:tcPr>
          <w:p>
            <w:pPr>
              <w:jc w:val="left"/>
            </w:pPr>
            <w:r/>
            <w:r>
              <w:rPr>
                <w:b w:val="0"/>
                <w:sz w:val="18"/>
              </w:rPr>
              <w:t>0.885</w:t>
            </w:r>
          </w:p>
        </w:tc>
        <w:tc>
          <w:tcPr>
            <w:tcW w:type="dxa" w:w="979"/>
            <w:vAlign w:val="center"/>
          </w:tcPr>
          <w:p>
            <w:pPr>
              <w:jc w:val="left"/>
            </w:pPr>
            <w:r/>
            <w:r>
              <w:rPr>
                <w:b w:val="0"/>
                <w:sz w:val="18"/>
              </w:rPr>
              <w:t>0.864</w:t>
            </w:r>
          </w:p>
        </w:tc>
      </w:tr>
      <w:tr>
        <w:tc>
          <w:tcPr>
            <w:tcW w:type="dxa" w:w="979"/>
            <w:vAlign w:val="center"/>
          </w:tcPr>
          <w:p>
            <w:pPr>
              <w:jc w:val="left"/>
            </w:pPr>
            <w:r/>
            <w:r>
              <w:rPr>
                <w:b w:val="0"/>
                <w:sz w:val="18"/>
              </w:rPr>
              <w:t>KANSER</w:t>
            </w:r>
          </w:p>
        </w:tc>
        <w:tc>
          <w:tcPr>
            <w:tcW w:type="dxa" w:w="979"/>
            <w:vAlign w:val="center"/>
          </w:tcPr>
          <w:p>
            <w:pPr>
              <w:jc w:val="left"/>
            </w:pPr>
            <w:r/>
            <w:r>
              <w:rPr>
                <w:b w:val="0"/>
                <w:sz w:val="18"/>
              </w:rPr>
              <w:t>388</w:t>
            </w:r>
          </w:p>
        </w:tc>
        <w:tc>
          <w:tcPr>
            <w:tcW w:type="dxa" w:w="979"/>
            <w:vAlign w:val="center"/>
          </w:tcPr>
          <w:p>
            <w:pPr>
              <w:jc w:val="left"/>
            </w:pPr>
            <w:r/>
            <w:r>
              <w:rPr>
                <w:b w:val="0"/>
                <w:sz w:val="18"/>
              </w:rPr>
              <w:t>5x3</w:t>
            </w:r>
          </w:p>
        </w:tc>
        <w:tc>
          <w:tcPr>
            <w:tcW w:type="dxa" w:w="979"/>
            <w:vAlign w:val="center"/>
          </w:tcPr>
          <w:p>
            <w:pPr>
              <w:jc w:val="left"/>
            </w:pPr>
            <w:r/>
            <w:r>
              <w:rPr>
                <w:b w:val="0"/>
                <w:sz w:val="18"/>
              </w:rPr>
              <w:t>0.47</w:t>
            </w:r>
          </w:p>
        </w:tc>
        <w:tc>
          <w:tcPr>
            <w:tcW w:type="dxa" w:w="979"/>
            <w:vAlign w:val="center"/>
          </w:tcPr>
          <w:p>
            <w:pPr>
              <w:jc w:val="left"/>
            </w:pPr>
            <w:r/>
            <w:r>
              <w:rPr>
                <w:b w:val="0"/>
                <w:sz w:val="18"/>
              </w:rPr>
              <w:t>0.872</w:t>
            </w:r>
          </w:p>
        </w:tc>
        <w:tc>
          <w:tcPr>
            <w:tcW w:type="dxa" w:w="979"/>
            <w:vAlign w:val="center"/>
          </w:tcPr>
          <w:p>
            <w:pPr>
              <w:jc w:val="left"/>
            </w:pPr>
            <w:r/>
            <w:r>
              <w:rPr>
                <w:b w:val="0"/>
                <w:sz w:val="18"/>
              </w:rPr>
              <w:t>0.747</w:t>
            </w:r>
          </w:p>
        </w:tc>
        <w:tc>
          <w:tcPr>
            <w:tcW w:type="dxa" w:w="979"/>
            <w:vAlign w:val="center"/>
          </w:tcPr>
          <w:p>
            <w:pPr>
              <w:jc w:val="left"/>
            </w:pPr>
            <w:r/>
            <w:r>
              <w:rPr>
                <w:b w:val="0"/>
                <w:sz w:val="18"/>
              </w:rPr>
              <w:t>0.936</w:t>
            </w:r>
          </w:p>
        </w:tc>
        <w:tc>
          <w:tcPr>
            <w:tcW w:type="dxa" w:w="979"/>
            <w:vAlign w:val="center"/>
          </w:tcPr>
          <w:p>
            <w:pPr>
              <w:jc w:val="left"/>
            </w:pPr>
            <w:r/>
            <w:r>
              <w:rPr>
                <w:b w:val="0"/>
                <w:sz w:val="18"/>
              </w:rPr>
              <w:t>0.905</w:t>
            </w:r>
          </w:p>
        </w:tc>
        <w:tc>
          <w:tcPr>
            <w:tcW w:type="dxa" w:w="979"/>
            <w:vAlign w:val="center"/>
          </w:tcPr>
          <w:p>
            <w:pPr>
              <w:jc w:val="left"/>
            </w:pPr>
            <w:r/>
            <w:r>
              <w:rPr>
                <w:b w:val="0"/>
                <w:sz w:val="18"/>
              </w:rPr>
              <w:t>0.901</w:t>
            </w:r>
          </w:p>
        </w:tc>
        <w:tc>
          <w:tcPr>
            <w:tcW w:type="dxa" w:w="979"/>
            <w:vAlign w:val="center"/>
          </w:tcPr>
          <w:p>
            <w:pPr>
              <w:jc w:val="left"/>
            </w:pPr>
            <w:r/>
            <w:r>
              <w:rPr>
                <w:b w:val="0"/>
                <w:sz w:val="18"/>
              </w:rPr>
              <w:t>0.951</w:t>
            </w:r>
          </w:p>
        </w:tc>
      </w:tr>
      <w:tr>
        <w:tc>
          <w:tcPr>
            <w:tcW w:type="dxa" w:w="979"/>
            <w:vAlign w:val="center"/>
          </w:tcPr>
          <w:p>
            <w:pPr>
              <w:jc w:val="left"/>
            </w:pPr>
            <w:r/>
            <w:r>
              <w:rPr>
                <w:b w:val="0"/>
                <w:sz w:val="18"/>
              </w:rPr>
              <w:t>PAH</w:t>
            </w:r>
          </w:p>
        </w:tc>
        <w:tc>
          <w:tcPr>
            <w:tcW w:type="dxa" w:w="979"/>
            <w:vAlign w:val="center"/>
          </w:tcPr>
          <w:p>
            <w:pPr>
              <w:jc w:val="left"/>
            </w:pPr>
            <w:r/>
            <w:r>
              <w:rPr>
                <w:b w:val="0"/>
                <w:sz w:val="18"/>
              </w:rPr>
              <w:t>372</w:t>
            </w:r>
          </w:p>
        </w:tc>
        <w:tc>
          <w:tcPr>
            <w:tcW w:type="dxa" w:w="979"/>
            <w:vAlign w:val="center"/>
          </w:tcPr>
          <w:p>
            <w:pPr>
              <w:jc w:val="left"/>
            </w:pPr>
            <w:r/>
            <w:r>
              <w:rPr>
                <w:b w:val="0"/>
                <w:sz w:val="18"/>
              </w:rPr>
              <w:t>5x3</w:t>
            </w:r>
          </w:p>
        </w:tc>
        <w:tc>
          <w:tcPr>
            <w:tcW w:type="dxa" w:w="979"/>
            <w:vAlign w:val="center"/>
          </w:tcPr>
          <w:p>
            <w:pPr>
              <w:jc w:val="left"/>
            </w:pPr>
            <w:r/>
            <w:r>
              <w:rPr>
                <w:b w:val="0"/>
                <w:sz w:val="18"/>
              </w:rPr>
              <w:t>0.54</w:t>
            </w:r>
          </w:p>
        </w:tc>
        <w:tc>
          <w:tcPr>
            <w:tcW w:type="dxa" w:w="979"/>
            <w:vAlign w:val="center"/>
          </w:tcPr>
          <w:p>
            <w:pPr>
              <w:jc w:val="left"/>
            </w:pPr>
            <w:r/>
            <w:r>
              <w:rPr>
                <w:b w:val="0"/>
                <w:sz w:val="18"/>
              </w:rPr>
              <w:t>0.731</w:t>
            </w:r>
          </w:p>
        </w:tc>
        <w:tc>
          <w:tcPr>
            <w:tcW w:type="dxa" w:w="979"/>
            <w:vAlign w:val="center"/>
          </w:tcPr>
          <w:p>
            <w:pPr>
              <w:jc w:val="left"/>
            </w:pPr>
            <w:r/>
            <w:r>
              <w:rPr>
                <w:b w:val="0"/>
                <w:sz w:val="18"/>
              </w:rPr>
              <w:t>0.483</w:t>
            </w:r>
          </w:p>
        </w:tc>
        <w:tc>
          <w:tcPr>
            <w:tcW w:type="dxa" w:w="979"/>
            <w:vAlign w:val="center"/>
          </w:tcPr>
          <w:p>
            <w:pPr>
              <w:jc w:val="left"/>
            </w:pPr>
            <w:r/>
            <w:r>
              <w:rPr>
                <w:b w:val="0"/>
                <w:sz w:val="18"/>
              </w:rPr>
              <w:t>0.944</w:t>
            </w:r>
          </w:p>
        </w:tc>
        <w:tc>
          <w:tcPr>
            <w:tcW w:type="dxa" w:w="979"/>
            <w:vAlign w:val="center"/>
          </w:tcPr>
          <w:p>
            <w:pPr>
              <w:jc w:val="left"/>
            </w:pPr>
            <w:r/>
            <w:r>
              <w:rPr>
                <w:b w:val="0"/>
                <w:sz w:val="18"/>
              </w:rPr>
              <w:t>0.806</w:t>
            </w:r>
          </w:p>
        </w:tc>
        <w:tc>
          <w:tcPr>
            <w:tcW w:type="dxa" w:w="979"/>
            <w:vAlign w:val="center"/>
          </w:tcPr>
          <w:p>
            <w:pPr>
              <w:jc w:val="left"/>
            </w:pPr>
            <w:r/>
            <w:r>
              <w:rPr>
                <w:b w:val="0"/>
                <w:sz w:val="18"/>
              </w:rPr>
              <w:t>0.895</w:t>
            </w:r>
          </w:p>
        </w:tc>
        <w:tc>
          <w:tcPr>
            <w:tcW w:type="dxa" w:w="979"/>
            <w:vAlign w:val="center"/>
          </w:tcPr>
          <w:p>
            <w:pPr>
              <w:jc w:val="left"/>
            </w:pPr>
            <w:r/>
            <w:r>
              <w:rPr>
                <w:b w:val="0"/>
                <w:sz w:val="18"/>
              </w:rPr>
              <w:t>0.961</w:t>
            </w:r>
          </w:p>
        </w:tc>
      </w:tr>
      <w:tr>
        <w:tc>
          <w:tcPr>
            <w:tcW w:type="dxa" w:w="979"/>
            <w:vAlign w:val="center"/>
          </w:tcPr>
          <w:p>
            <w:pPr>
              <w:jc w:val="left"/>
            </w:pPr>
            <w:r/>
            <w:r>
              <w:rPr>
                <w:b w:val="0"/>
                <w:sz w:val="18"/>
              </w:rPr>
              <w:t>CFTR</w:t>
            </w:r>
          </w:p>
        </w:tc>
        <w:tc>
          <w:tcPr>
            <w:tcW w:type="dxa" w:w="979"/>
            <w:vAlign w:val="center"/>
          </w:tcPr>
          <w:p>
            <w:pPr>
              <w:jc w:val="left"/>
            </w:pPr>
            <w:r/>
            <w:r>
              <w:rPr>
                <w:b w:val="0"/>
                <w:sz w:val="18"/>
              </w:rPr>
              <w:t>111</w:t>
            </w:r>
          </w:p>
        </w:tc>
        <w:tc>
          <w:tcPr>
            <w:tcW w:type="dxa" w:w="979"/>
            <w:vAlign w:val="center"/>
          </w:tcPr>
          <w:p>
            <w:pPr>
              <w:jc w:val="left"/>
            </w:pPr>
            <w:r/>
            <w:r>
              <w:rPr>
                <w:b w:val="0"/>
                <w:sz w:val="18"/>
              </w:rPr>
              <w:t>5x5</w:t>
            </w:r>
          </w:p>
        </w:tc>
        <w:tc>
          <w:tcPr>
            <w:tcW w:type="dxa" w:w="979"/>
            <w:vAlign w:val="center"/>
          </w:tcPr>
          <w:p>
            <w:pPr>
              <w:jc w:val="left"/>
            </w:pPr>
            <w:r/>
            <w:r>
              <w:rPr>
                <w:b w:val="0"/>
                <w:sz w:val="18"/>
              </w:rPr>
              <w:t>0.48</w:t>
            </w:r>
          </w:p>
        </w:tc>
        <w:tc>
          <w:tcPr>
            <w:tcW w:type="dxa" w:w="979"/>
            <w:vAlign w:val="center"/>
          </w:tcPr>
          <w:p>
            <w:pPr>
              <w:jc w:val="left"/>
            </w:pPr>
            <w:r/>
            <w:r>
              <w:rPr>
                <w:b w:val="0"/>
                <w:sz w:val="18"/>
              </w:rPr>
              <w:t>0.878</w:t>
            </w:r>
          </w:p>
        </w:tc>
        <w:tc>
          <w:tcPr>
            <w:tcW w:type="dxa" w:w="979"/>
            <w:vAlign w:val="center"/>
          </w:tcPr>
          <w:p>
            <w:pPr>
              <w:jc w:val="left"/>
            </w:pPr>
            <w:r/>
            <w:r>
              <w:rPr>
                <w:b w:val="0"/>
                <w:sz w:val="18"/>
              </w:rPr>
              <w:t>0.758</w:t>
            </w:r>
          </w:p>
        </w:tc>
        <w:tc>
          <w:tcPr>
            <w:tcW w:type="dxa" w:w="979"/>
            <w:vAlign w:val="center"/>
          </w:tcPr>
          <w:p>
            <w:pPr>
              <w:jc w:val="left"/>
            </w:pPr>
            <w:r/>
            <w:r>
              <w:rPr>
                <w:b w:val="0"/>
                <w:sz w:val="18"/>
              </w:rPr>
              <w:t>0.976</w:t>
            </w:r>
          </w:p>
        </w:tc>
        <w:tc>
          <w:tcPr>
            <w:tcW w:type="dxa" w:w="979"/>
            <w:vAlign w:val="center"/>
          </w:tcPr>
          <w:p>
            <w:pPr>
              <w:jc w:val="left"/>
            </w:pPr>
            <w:r/>
            <w:r>
              <w:rPr>
                <w:b w:val="0"/>
                <w:sz w:val="18"/>
              </w:rPr>
              <w:t>0.913</w:t>
            </w:r>
          </w:p>
        </w:tc>
        <w:tc>
          <w:tcPr>
            <w:tcW w:type="dxa" w:w="979"/>
            <w:vAlign w:val="center"/>
          </w:tcPr>
          <w:p>
            <w:pPr>
              <w:jc w:val="left"/>
            </w:pPr>
            <w:r/>
            <w:r>
              <w:rPr>
                <w:b w:val="0"/>
                <w:sz w:val="18"/>
              </w:rPr>
              <w:t>0.946</w:t>
            </w:r>
          </w:p>
        </w:tc>
        <w:tc>
          <w:tcPr>
            <w:tcW w:type="dxa" w:w="979"/>
            <w:vAlign w:val="center"/>
          </w:tcPr>
          <w:p>
            <w:pPr>
              <w:jc w:val="left"/>
            </w:pPr>
            <w:r/>
            <w:r>
              <w:rPr>
                <w:b w:val="0"/>
                <w:sz w:val="18"/>
              </w:rPr>
              <w:t>0.967</w:t>
            </w:r>
          </w:p>
        </w:tc>
      </w:tr>
    </w:tbl>
    <w:p/>
    <w:p>
      <w:pPr>
        <w:jc w:val="center"/>
      </w:pPr>
      <w:r>
        <w:drawing>
          <wp:inline xmlns:a="http://schemas.openxmlformats.org/drawingml/2006/main" xmlns:pic="http://schemas.openxmlformats.org/drawingml/2006/picture">
            <wp:extent cx="4709160" cy="2711553"/>
            <wp:docPr id="2" name="Picture 2"/>
            <wp:cNvGraphicFramePr>
              <a:graphicFrameLocks noChangeAspect="1"/>
            </wp:cNvGraphicFramePr>
            <a:graphic>
              <a:graphicData uri="http://schemas.openxmlformats.org/drawingml/2006/picture">
                <pic:pic>
                  <pic:nvPicPr>
                    <pic:cNvPr id="0" name="01_full_metric_overview.png"/>
                    <pic:cNvPicPr/>
                  </pic:nvPicPr>
                  <pic:blipFill>
                    <a:blip r:embed="rId11"/>
                    <a:stretch>
                      <a:fillRect/>
                    </a:stretch>
                  </pic:blipFill>
                  <pic:spPr>
                    <a:xfrm>
                      <a:off x="0" y="0"/>
                      <a:ext cx="4709160" cy="2711553"/>
                    </a:xfrm>
                    <a:prstGeom prst="rect"/>
                  </pic:spPr>
                </pic:pic>
              </a:graphicData>
            </a:graphic>
          </wp:inline>
        </w:drawing>
      </w:r>
    </w:p>
    <w:p>
      <w:pPr>
        <w:jc w:val="center"/>
      </w:pPr>
      <w:r>
        <w:rPr>
          <w:i/>
          <w:color w:val="555555"/>
          <w:sz w:val="18"/>
        </w:rPr>
        <w:t>Figure 1. Main full-CV performance overview.</w:t>
      </w:r>
    </w:p>
    <w:p>
      <w:pPr>
        <w:spacing w:before="0" w:after="120"/>
      </w:pPr>
      <w:r>
        <w:rPr>
          <w:color w:val="464646"/>
          <w:sz w:val="18"/>
        </w:rPr>
        <w:t>Interpretation: the full repeated-CV protocol shows stable performance across all four subsets. CFTR and KANSER are strongest by Macro F1, while PAH remains harder because the benign class is small.</w:t>
      </w:r>
    </w:p>
    <w:p>
      <w:pPr>
        <w:jc w:val="center"/>
      </w:pPr>
      <w:r>
        <w:drawing>
          <wp:inline xmlns:a="http://schemas.openxmlformats.org/drawingml/2006/main" xmlns:pic="http://schemas.openxmlformats.org/drawingml/2006/picture">
            <wp:extent cx="4709160" cy="2847706"/>
            <wp:docPr id="3" name="Picture 3"/>
            <wp:cNvGraphicFramePr>
              <a:graphicFrameLocks noChangeAspect="1"/>
            </wp:cNvGraphicFramePr>
            <a:graphic>
              <a:graphicData uri="http://schemas.openxmlformats.org/drawingml/2006/picture">
                <pic:pic>
                  <pic:nvPicPr>
                    <pic:cNvPr id="0" name="03_pathogenic_precision_recall.png"/>
                    <pic:cNvPicPr/>
                  </pic:nvPicPr>
                  <pic:blipFill>
                    <a:blip r:embed="rId12"/>
                    <a:stretch>
                      <a:fillRect/>
                    </a:stretch>
                  </pic:blipFill>
                  <pic:spPr>
                    <a:xfrm>
                      <a:off x="0" y="0"/>
                      <a:ext cx="4709160" cy="2847706"/>
                    </a:xfrm>
                    <a:prstGeom prst="rect"/>
                  </pic:spPr>
                </pic:pic>
              </a:graphicData>
            </a:graphic>
          </wp:inline>
        </w:drawing>
      </w:r>
    </w:p>
    <w:p>
      <w:pPr>
        <w:jc w:val="center"/>
      </w:pPr>
      <w:r>
        <w:rPr>
          <w:i/>
          <w:color w:val="555555"/>
          <w:sz w:val="18"/>
        </w:rPr>
        <w:t>Figure 2. Pathogenic-class precision and recall by dataset.</w:t>
      </w:r>
    </w:p>
    <w:p>
      <w:pPr>
        <w:spacing w:before="0" w:after="120"/>
      </w:pPr>
      <w:r>
        <w:rPr>
          <w:color w:val="464646"/>
          <w:sz w:val="18"/>
        </w:rPr>
        <w:t>Interpretation: the selected thresholds keep pathogenic recall high, which is clinically important because false negatives represent missed pathogenic variants.</w:t>
      </w:r>
    </w:p>
    <w:p>
      <w:pPr>
        <w:pStyle w:val="Heading2"/>
      </w:pPr>
      <w:r>
        <w:t>3.2 Confusion Matrices and Threshold Selection</w:t>
      </w:r>
    </w:p>
    <w:tbl>
      <w:tblPr>
        <w:tblStyle w:val="TableGrid"/>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c>
          <w:tcPr>
            <w:tcW w:type="dxa" w:w="1296"/>
            <w:vAlign w:val="center"/>
            <w:shd w:fill="E8EEF5"/>
          </w:tcPr>
          <w:p>
            <w:pPr>
              <w:jc w:val="left"/>
            </w:pPr>
            <w:r/>
            <w:r>
              <w:rPr>
                <w:b/>
                <w:color w:val="0B2545"/>
                <w:sz w:val="18"/>
              </w:rPr>
              <w:t>Dataset</w:t>
            </w:r>
          </w:p>
        </w:tc>
        <w:tc>
          <w:tcPr>
            <w:tcW w:type="dxa" w:w="648"/>
            <w:vAlign w:val="center"/>
            <w:shd w:fill="E8EEF5"/>
          </w:tcPr>
          <w:p>
            <w:pPr>
              <w:jc w:val="left"/>
            </w:pPr>
            <w:r/>
            <w:r>
              <w:rPr>
                <w:b/>
                <w:color w:val="0B2545"/>
                <w:sz w:val="18"/>
              </w:rPr>
              <w:t>TN</w:t>
            </w:r>
          </w:p>
        </w:tc>
        <w:tc>
          <w:tcPr>
            <w:tcW w:type="dxa" w:w="648"/>
            <w:vAlign w:val="center"/>
            <w:shd w:fill="E8EEF5"/>
          </w:tcPr>
          <w:p>
            <w:pPr>
              <w:jc w:val="left"/>
            </w:pPr>
            <w:r/>
            <w:r>
              <w:rPr>
                <w:b/>
                <w:color w:val="0B2545"/>
                <w:sz w:val="18"/>
              </w:rPr>
              <w:t>FP</w:t>
            </w:r>
          </w:p>
        </w:tc>
        <w:tc>
          <w:tcPr>
            <w:tcW w:type="dxa" w:w="648"/>
            <w:vAlign w:val="center"/>
            <w:shd w:fill="E8EEF5"/>
          </w:tcPr>
          <w:p>
            <w:pPr>
              <w:jc w:val="left"/>
            </w:pPr>
            <w:r/>
            <w:r>
              <w:rPr>
                <w:b/>
                <w:color w:val="0B2545"/>
                <w:sz w:val="18"/>
              </w:rPr>
              <w:t>FN</w:t>
            </w:r>
          </w:p>
        </w:tc>
        <w:tc>
          <w:tcPr>
            <w:tcW w:type="dxa" w:w="648"/>
            <w:vAlign w:val="center"/>
            <w:shd w:fill="E8EEF5"/>
          </w:tcPr>
          <w:p>
            <w:pPr>
              <w:jc w:val="left"/>
            </w:pPr>
            <w:r/>
            <w:r>
              <w:rPr>
                <w:b/>
                <w:color w:val="0B2545"/>
                <w:sz w:val="18"/>
              </w:rPr>
              <w:t>TP</w:t>
            </w:r>
          </w:p>
        </w:tc>
        <w:tc>
          <w:tcPr>
            <w:tcW w:type="dxa" w:w="2088"/>
            <w:vAlign w:val="center"/>
            <w:shd w:fill="E8EEF5"/>
          </w:tcPr>
          <w:p>
            <w:pPr>
              <w:jc w:val="left"/>
            </w:pPr>
            <w:r/>
            <w:r>
              <w:rPr>
                <w:b/>
                <w:color w:val="0B2545"/>
                <w:sz w:val="18"/>
              </w:rPr>
              <w:t>Uncertain 0.40-0.60</w:t>
            </w:r>
          </w:p>
        </w:tc>
        <w:tc>
          <w:tcPr>
            <w:tcW w:type="dxa" w:w="1944"/>
            <w:vAlign w:val="center"/>
            <w:shd w:fill="E8EEF5"/>
          </w:tcPr>
          <w:p>
            <w:pPr>
              <w:jc w:val="left"/>
            </w:pPr>
            <w:r/>
            <w:r>
              <w:rPr>
                <w:b/>
                <w:color w:val="0B2545"/>
                <w:sz w:val="18"/>
              </w:rPr>
              <w:t>Mean label confidence</w:t>
            </w:r>
          </w:p>
        </w:tc>
      </w:tr>
      <w:tr>
        <w:tc>
          <w:tcPr>
            <w:tcW w:type="dxa" w:w="1399"/>
            <w:vAlign w:val="center"/>
          </w:tcPr>
          <w:p>
            <w:pPr>
              <w:jc w:val="left"/>
            </w:pPr>
            <w:r/>
            <w:r>
              <w:rPr>
                <w:b w:val="0"/>
                <w:sz w:val="18"/>
              </w:rPr>
              <w:t>MASTER</w:t>
            </w:r>
          </w:p>
        </w:tc>
        <w:tc>
          <w:tcPr>
            <w:tcW w:type="dxa" w:w="1399"/>
            <w:vAlign w:val="center"/>
          </w:tcPr>
          <w:p>
            <w:pPr>
              <w:jc w:val="left"/>
            </w:pPr>
            <w:r/>
            <w:r>
              <w:rPr>
                <w:b w:val="0"/>
                <w:sz w:val="18"/>
              </w:rPr>
              <w:t>542</w:t>
            </w:r>
          </w:p>
        </w:tc>
        <w:tc>
          <w:tcPr>
            <w:tcW w:type="dxa" w:w="1399"/>
            <w:vAlign w:val="center"/>
          </w:tcPr>
          <w:p>
            <w:pPr>
              <w:jc w:val="left"/>
            </w:pPr>
            <w:r/>
            <w:r>
              <w:rPr>
                <w:b w:val="0"/>
                <w:sz w:val="18"/>
              </w:rPr>
              <w:t>240</w:t>
            </w:r>
          </w:p>
        </w:tc>
        <w:tc>
          <w:tcPr>
            <w:tcW w:type="dxa" w:w="1399"/>
            <w:vAlign w:val="center"/>
          </w:tcPr>
          <w:p>
            <w:pPr>
              <w:jc w:val="left"/>
            </w:pPr>
            <w:r/>
            <w:r>
              <w:rPr>
                <w:b w:val="0"/>
                <w:sz w:val="18"/>
              </w:rPr>
              <w:t>293</w:t>
            </w:r>
          </w:p>
        </w:tc>
        <w:tc>
          <w:tcPr>
            <w:tcW w:type="dxa" w:w="1399"/>
            <w:vAlign w:val="center"/>
          </w:tcPr>
          <w:p>
            <w:pPr>
              <w:jc w:val="left"/>
            </w:pPr>
            <w:r/>
            <w:r>
              <w:rPr>
                <w:b w:val="0"/>
                <w:sz w:val="18"/>
              </w:rPr>
              <w:t>1856</w:t>
            </w:r>
          </w:p>
        </w:tc>
        <w:tc>
          <w:tcPr>
            <w:tcW w:type="dxa" w:w="1399"/>
            <w:vAlign w:val="center"/>
          </w:tcPr>
          <w:p>
            <w:pPr>
              <w:jc w:val="left"/>
            </w:pPr>
            <w:r/>
            <w:r>
              <w:rPr>
                <w:b w:val="0"/>
                <w:sz w:val="18"/>
              </w:rPr>
              <w:t>316</w:t>
            </w:r>
          </w:p>
        </w:tc>
        <w:tc>
          <w:tcPr>
            <w:tcW w:type="dxa" w:w="1399"/>
            <w:vAlign w:val="center"/>
          </w:tcPr>
          <w:p>
            <w:pPr>
              <w:jc w:val="left"/>
            </w:pPr>
            <w:r/>
            <w:r>
              <w:rPr>
                <w:b w:val="0"/>
                <w:sz w:val="18"/>
              </w:rPr>
              <w:t>0.733</w:t>
            </w:r>
          </w:p>
        </w:tc>
      </w:tr>
      <w:tr>
        <w:tc>
          <w:tcPr>
            <w:tcW w:type="dxa" w:w="1399"/>
            <w:vAlign w:val="center"/>
          </w:tcPr>
          <w:p>
            <w:pPr>
              <w:jc w:val="left"/>
            </w:pPr>
            <w:r/>
            <w:r>
              <w:rPr>
                <w:b w:val="0"/>
                <w:sz w:val="18"/>
              </w:rPr>
              <w:t>KANSER</w:t>
            </w:r>
          </w:p>
        </w:tc>
        <w:tc>
          <w:tcPr>
            <w:tcW w:type="dxa" w:w="1399"/>
            <w:vAlign w:val="center"/>
          </w:tcPr>
          <w:p>
            <w:pPr>
              <w:jc w:val="left"/>
            </w:pPr>
            <w:r/>
            <w:r>
              <w:rPr>
                <w:b w:val="0"/>
                <w:sz w:val="18"/>
              </w:rPr>
              <w:t>92</w:t>
            </w:r>
          </w:p>
        </w:tc>
        <w:tc>
          <w:tcPr>
            <w:tcW w:type="dxa" w:w="1399"/>
            <w:vAlign w:val="center"/>
          </w:tcPr>
          <w:p>
            <w:pPr>
              <w:jc w:val="left"/>
            </w:pPr>
            <w:r/>
            <w:r>
              <w:rPr>
                <w:b w:val="0"/>
                <w:sz w:val="18"/>
              </w:rPr>
              <w:t>28</w:t>
            </w:r>
          </w:p>
        </w:tc>
        <w:tc>
          <w:tcPr>
            <w:tcW w:type="dxa" w:w="1399"/>
            <w:vAlign w:val="center"/>
          </w:tcPr>
          <w:p>
            <w:pPr>
              <w:jc w:val="left"/>
            </w:pPr>
            <w:r/>
            <w:r>
              <w:rPr>
                <w:b w:val="0"/>
                <w:sz w:val="18"/>
              </w:rPr>
              <w:t>13</w:t>
            </w:r>
          </w:p>
        </w:tc>
        <w:tc>
          <w:tcPr>
            <w:tcW w:type="dxa" w:w="1399"/>
            <w:vAlign w:val="center"/>
          </w:tcPr>
          <w:p>
            <w:pPr>
              <w:jc w:val="left"/>
            </w:pPr>
            <w:r/>
            <w:r>
              <w:rPr>
                <w:b w:val="0"/>
                <w:sz w:val="18"/>
              </w:rPr>
              <w:t>255</w:t>
            </w:r>
          </w:p>
        </w:tc>
        <w:tc>
          <w:tcPr>
            <w:tcW w:type="dxa" w:w="1399"/>
            <w:vAlign w:val="center"/>
          </w:tcPr>
          <w:p>
            <w:pPr>
              <w:jc w:val="left"/>
            </w:pPr>
            <w:r/>
            <w:r>
              <w:rPr>
                <w:b w:val="0"/>
                <w:sz w:val="18"/>
              </w:rPr>
              <w:t>21</w:t>
            </w:r>
          </w:p>
        </w:tc>
        <w:tc>
          <w:tcPr>
            <w:tcW w:type="dxa" w:w="1399"/>
            <w:vAlign w:val="center"/>
          </w:tcPr>
          <w:p>
            <w:pPr>
              <w:jc w:val="left"/>
            </w:pPr>
            <w:r/>
            <w:r>
              <w:rPr>
                <w:b w:val="0"/>
                <w:sz w:val="18"/>
              </w:rPr>
              <w:t>0.800</w:t>
            </w:r>
          </w:p>
        </w:tc>
      </w:tr>
      <w:tr>
        <w:tc>
          <w:tcPr>
            <w:tcW w:type="dxa" w:w="1399"/>
            <w:vAlign w:val="center"/>
          </w:tcPr>
          <w:p>
            <w:pPr>
              <w:jc w:val="left"/>
            </w:pPr>
            <w:r/>
            <w:r>
              <w:rPr>
                <w:b w:val="0"/>
                <w:sz w:val="18"/>
              </w:rPr>
              <w:t>PAH</w:t>
            </w:r>
          </w:p>
        </w:tc>
        <w:tc>
          <w:tcPr>
            <w:tcW w:type="dxa" w:w="1399"/>
            <w:vAlign w:val="center"/>
          </w:tcPr>
          <w:p>
            <w:pPr>
              <w:jc w:val="left"/>
            </w:pPr>
            <w:r/>
            <w:r>
              <w:rPr>
                <w:b w:val="0"/>
                <w:sz w:val="18"/>
              </w:rPr>
              <w:t>27</w:t>
            </w:r>
          </w:p>
        </w:tc>
        <w:tc>
          <w:tcPr>
            <w:tcW w:type="dxa" w:w="1399"/>
            <w:vAlign w:val="center"/>
          </w:tcPr>
          <w:p>
            <w:pPr>
              <w:jc w:val="left"/>
            </w:pPr>
            <w:r/>
            <w:r>
              <w:rPr>
                <w:b w:val="0"/>
                <w:sz w:val="18"/>
              </w:rPr>
              <w:t>35</w:t>
            </w:r>
          </w:p>
        </w:tc>
        <w:tc>
          <w:tcPr>
            <w:tcW w:type="dxa" w:w="1399"/>
            <w:vAlign w:val="center"/>
          </w:tcPr>
          <w:p>
            <w:pPr>
              <w:jc w:val="left"/>
            </w:pPr>
            <w:r/>
            <w:r>
              <w:rPr>
                <w:b w:val="0"/>
                <w:sz w:val="18"/>
              </w:rPr>
              <w:t>12</w:t>
            </w:r>
          </w:p>
        </w:tc>
        <w:tc>
          <w:tcPr>
            <w:tcW w:type="dxa" w:w="1399"/>
            <w:vAlign w:val="center"/>
          </w:tcPr>
          <w:p>
            <w:pPr>
              <w:jc w:val="left"/>
            </w:pPr>
            <w:r/>
            <w:r>
              <w:rPr>
                <w:b w:val="0"/>
                <w:sz w:val="18"/>
              </w:rPr>
              <w:t>298</w:t>
            </w:r>
          </w:p>
        </w:tc>
        <w:tc>
          <w:tcPr>
            <w:tcW w:type="dxa" w:w="1399"/>
            <w:vAlign w:val="center"/>
          </w:tcPr>
          <w:p>
            <w:pPr>
              <w:jc w:val="left"/>
            </w:pPr>
            <w:r/>
            <w:r>
              <w:rPr>
                <w:b w:val="0"/>
                <w:sz w:val="18"/>
              </w:rPr>
              <w:t>20</w:t>
            </w:r>
          </w:p>
        </w:tc>
        <w:tc>
          <w:tcPr>
            <w:tcW w:type="dxa" w:w="1399"/>
            <w:vAlign w:val="center"/>
          </w:tcPr>
          <w:p>
            <w:pPr>
              <w:jc w:val="left"/>
            </w:pPr>
            <w:r/>
            <w:r>
              <w:rPr>
                <w:b w:val="0"/>
                <w:sz w:val="18"/>
              </w:rPr>
              <w:t>0.778</w:t>
            </w:r>
          </w:p>
        </w:tc>
      </w:tr>
      <w:tr>
        <w:tc>
          <w:tcPr>
            <w:tcW w:type="dxa" w:w="1399"/>
            <w:vAlign w:val="center"/>
          </w:tcPr>
          <w:p>
            <w:pPr>
              <w:jc w:val="left"/>
            </w:pPr>
            <w:r/>
            <w:r>
              <w:rPr>
                <w:b w:val="0"/>
                <w:sz w:val="18"/>
              </w:rPr>
              <w:t>CFTR</w:t>
            </w:r>
          </w:p>
        </w:tc>
        <w:tc>
          <w:tcPr>
            <w:tcW w:type="dxa" w:w="1399"/>
            <w:vAlign w:val="center"/>
          </w:tcPr>
          <w:p>
            <w:pPr>
              <w:jc w:val="left"/>
            </w:pPr>
            <w:r/>
            <w:r>
              <w:rPr>
                <w:b w:val="0"/>
                <w:sz w:val="18"/>
              </w:rPr>
              <w:t>16</w:t>
            </w:r>
          </w:p>
        </w:tc>
        <w:tc>
          <w:tcPr>
            <w:tcW w:type="dxa" w:w="1399"/>
            <w:vAlign w:val="center"/>
          </w:tcPr>
          <w:p>
            <w:pPr>
              <w:jc w:val="left"/>
            </w:pPr>
            <w:r/>
            <w:r>
              <w:rPr>
                <w:b w:val="0"/>
                <w:sz w:val="18"/>
              </w:rPr>
              <w:t>5</w:t>
            </w:r>
          </w:p>
        </w:tc>
        <w:tc>
          <w:tcPr>
            <w:tcW w:type="dxa" w:w="1399"/>
            <w:vAlign w:val="center"/>
          </w:tcPr>
          <w:p>
            <w:pPr>
              <w:jc w:val="left"/>
            </w:pPr>
            <w:r/>
            <w:r>
              <w:rPr>
                <w:b w:val="0"/>
                <w:sz w:val="18"/>
              </w:rPr>
              <w:t>3</w:t>
            </w:r>
          </w:p>
        </w:tc>
        <w:tc>
          <w:tcPr>
            <w:tcW w:type="dxa" w:w="1399"/>
            <w:vAlign w:val="center"/>
          </w:tcPr>
          <w:p>
            <w:pPr>
              <w:jc w:val="left"/>
            </w:pPr>
            <w:r/>
            <w:r>
              <w:rPr>
                <w:b w:val="0"/>
                <w:sz w:val="18"/>
              </w:rPr>
              <w:t>87</w:t>
            </w:r>
          </w:p>
        </w:tc>
        <w:tc>
          <w:tcPr>
            <w:tcW w:type="dxa" w:w="1399"/>
            <w:vAlign w:val="center"/>
          </w:tcPr>
          <w:p>
            <w:pPr>
              <w:jc w:val="left"/>
            </w:pPr>
            <w:r/>
            <w:r>
              <w:rPr>
                <w:b w:val="0"/>
                <w:sz w:val="18"/>
              </w:rPr>
              <w:t>3</w:t>
            </w:r>
          </w:p>
        </w:tc>
        <w:tc>
          <w:tcPr>
            <w:tcW w:type="dxa" w:w="1399"/>
            <w:vAlign w:val="center"/>
          </w:tcPr>
          <w:p>
            <w:pPr>
              <w:jc w:val="left"/>
            </w:pPr>
            <w:r/>
            <w:r>
              <w:rPr>
                <w:b w:val="0"/>
                <w:sz w:val="18"/>
              </w:rPr>
              <w:t>0.817</w:t>
            </w:r>
          </w:p>
        </w:tc>
      </w:tr>
    </w:tbl>
    <w:p/>
    <w:p>
      <w:pPr>
        <w:jc w:val="center"/>
      </w:pPr>
      <w:r>
        <w:drawing>
          <wp:inline xmlns:a="http://schemas.openxmlformats.org/drawingml/2006/main" xmlns:pic="http://schemas.openxmlformats.org/drawingml/2006/picture">
            <wp:extent cx="4709160" cy="4514634"/>
            <wp:docPr id="4" name="Picture 4"/>
            <wp:cNvGraphicFramePr>
              <a:graphicFrameLocks noChangeAspect="1"/>
            </wp:cNvGraphicFramePr>
            <a:graphic>
              <a:graphicData uri="http://schemas.openxmlformats.org/drawingml/2006/picture">
                <pic:pic>
                  <pic:nvPicPr>
                    <pic:cNvPr id="0" name="05_oof_confusion_matrices.png"/>
                    <pic:cNvPicPr/>
                  </pic:nvPicPr>
                  <pic:blipFill>
                    <a:blip r:embed="rId13"/>
                    <a:stretch>
                      <a:fillRect/>
                    </a:stretch>
                  </pic:blipFill>
                  <pic:spPr>
                    <a:xfrm>
                      <a:off x="0" y="0"/>
                      <a:ext cx="4709160" cy="4514634"/>
                    </a:xfrm>
                    <a:prstGeom prst="rect"/>
                  </pic:spPr>
                </pic:pic>
              </a:graphicData>
            </a:graphic>
          </wp:inline>
        </w:drawing>
      </w:r>
    </w:p>
    <w:p>
      <w:pPr>
        <w:jc w:val="center"/>
      </w:pPr>
      <w:r>
        <w:rPr>
          <w:i/>
          <w:color w:val="555555"/>
          <w:sz w:val="18"/>
        </w:rPr>
        <w:t>Figure 3. Out-of-fold confusion matrices at selected thresholds.</w:t>
      </w:r>
    </w:p>
    <w:p>
      <w:pPr>
        <w:spacing w:before="0" w:after="120"/>
      </w:pPr>
      <w:r>
        <w:rPr>
          <w:color w:val="464646"/>
          <w:sz w:val="18"/>
        </w:rPr>
        <w:t>Interpretation: errors are shown separately for each subset. PAH has the largest benign-class weakness, while CFTR has very few false negatives.</w:t>
      </w:r>
    </w:p>
    <w:p>
      <w:pPr>
        <w:jc w:val="center"/>
      </w:pPr>
      <w:r>
        <w:drawing>
          <wp:inline xmlns:a="http://schemas.openxmlformats.org/drawingml/2006/main" xmlns:pic="http://schemas.openxmlformats.org/drawingml/2006/picture">
            <wp:extent cx="4709160" cy="2680303"/>
            <wp:docPr id="5" name="Picture 5"/>
            <wp:cNvGraphicFramePr>
              <a:graphicFrameLocks noChangeAspect="1"/>
            </wp:cNvGraphicFramePr>
            <a:graphic>
              <a:graphicData uri="http://schemas.openxmlformats.org/drawingml/2006/picture">
                <pic:pic>
                  <pic:nvPicPr>
                    <pic:cNvPr id="0" name="04_threshold_tuning_macro_f1.png"/>
                    <pic:cNvPicPr/>
                  </pic:nvPicPr>
                  <pic:blipFill>
                    <a:blip r:embed="rId14"/>
                    <a:stretch>
                      <a:fillRect/>
                    </a:stretch>
                  </pic:blipFill>
                  <pic:spPr>
                    <a:xfrm>
                      <a:off x="0" y="0"/>
                      <a:ext cx="4709160" cy="2680303"/>
                    </a:xfrm>
                    <a:prstGeom prst="rect"/>
                  </pic:spPr>
                </pic:pic>
              </a:graphicData>
            </a:graphic>
          </wp:inline>
        </w:drawing>
      </w:r>
    </w:p>
    <w:p>
      <w:pPr>
        <w:jc w:val="center"/>
      </w:pPr>
      <w:r>
        <w:rPr>
          <w:i/>
          <w:color w:val="555555"/>
          <w:sz w:val="18"/>
        </w:rPr>
        <w:t>Figure 4. Threshold tuning curves for Macro F1.</w:t>
      </w:r>
    </w:p>
    <w:p>
      <w:pPr>
        <w:spacing w:before="0" w:after="120"/>
      </w:pPr>
      <w:r>
        <w:rPr>
          <w:color w:val="464646"/>
          <w:sz w:val="18"/>
        </w:rPr>
        <w:t>Interpretation: the operating threshold is not fixed at 0.5; it is selected from out-of-fold predictions to maximize Macro F1 under class imbalance.</w:t>
      </w:r>
    </w:p>
    <w:p>
      <w:pPr>
        <w:pStyle w:val="Heading2"/>
      </w:pPr>
      <w:r>
        <w:t>3.3 Optuna Tuning Study</w:t>
      </w:r>
    </w:p>
    <w:tbl>
      <w:tblPr>
        <w:tblStyle w:val="TableGrid"/>
        <w:tblW w:type="auto" w:w="0"/>
        <w:jc w:val="center"/>
        <w:tblLayout w:type="fixed"/>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152"/>
            <w:vAlign w:val="center"/>
            <w:shd w:fill="E8EEF5"/>
          </w:tcPr>
          <w:p>
            <w:pPr>
              <w:jc w:val="left"/>
            </w:pPr>
            <w:r/>
            <w:r>
              <w:rPr>
                <w:b/>
                <w:color w:val="0B2545"/>
                <w:sz w:val="18"/>
              </w:rPr>
              <w:t>Dataset</w:t>
            </w:r>
          </w:p>
        </w:tc>
        <w:tc>
          <w:tcPr>
            <w:tcW w:type="dxa" w:w="1080"/>
            <w:vAlign w:val="center"/>
            <w:shd w:fill="E8EEF5"/>
          </w:tcPr>
          <w:p>
            <w:pPr>
              <w:jc w:val="left"/>
            </w:pPr>
            <w:r/>
            <w:r>
              <w:rPr>
                <w:b/>
                <w:color w:val="0B2545"/>
                <w:sz w:val="18"/>
              </w:rPr>
              <w:t>Best trial</w:t>
            </w:r>
          </w:p>
        </w:tc>
        <w:tc>
          <w:tcPr>
            <w:tcW w:type="dxa" w:w="1008"/>
            <w:vAlign w:val="center"/>
            <w:shd w:fill="E8EEF5"/>
          </w:tcPr>
          <w:p>
            <w:pPr>
              <w:jc w:val="left"/>
            </w:pPr>
            <w:r/>
            <w:r>
              <w:rPr>
                <w:b/>
                <w:color w:val="0B2545"/>
                <w:sz w:val="18"/>
              </w:rPr>
              <w:t>Threshold</w:t>
            </w:r>
          </w:p>
        </w:tc>
        <w:tc>
          <w:tcPr>
            <w:tcW w:type="dxa" w:w="936"/>
            <w:vAlign w:val="center"/>
            <w:shd w:fill="E8EEF5"/>
          </w:tcPr>
          <w:p>
            <w:pPr>
              <w:jc w:val="left"/>
            </w:pPr>
            <w:r/>
            <w:r>
              <w:rPr>
                <w:b/>
                <w:color w:val="0B2545"/>
                <w:sz w:val="18"/>
              </w:rPr>
              <w:t>Macro F1</w:t>
            </w:r>
          </w:p>
        </w:tc>
        <w:tc>
          <w:tcPr>
            <w:tcW w:type="dxa" w:w="864"/>
            <w:vAlign w:val="center"/>
            <w:shd w:fill="E8EEF5"/>
          </w:tcPr>
          <w:p>
            <w:pPr>
              <w:jc w:val="left"/>
            </w:pPr>
            <w:r/>
            <w:r>
              <w:rPr>
                <w:b/>
                <w:color w:val="0B2545"/>
                <w:sz w:val="18"/>
              </w:rPr>
              <w:t>MCC</w:t>
            </w:r>
          </w:p>
        </w:tc>
        <w:tc>
          <w:tcPr>
            <w:tcW w:type="dxa" w:w="936"/>
            <w:vAlign w:val="center"/>
            <w:shd w:fill="E8EEF5"/>
          </w:tcPr>
          <w:p>
            <w:pPr>
              <w:jc w:val="left"/>
            </w:pPr>
            <w:r/>
            <w:r>
              <w:rPr>
                <w:b/>
                <w:color w:val="0B2545"/>
                <w:sz w:val="18"/>
              </w:rPr>
              <w:t>AUPRC</w:t>
            </w:r>
          </w:p>
        </w:tc>
        <w:tc>
          <w:tcPr>
            <w:tcW w:type="dxa" w:w="936"/>
            <w:vAlign w:val="center"/>
            <w:shd w:fill="E8EEF5"/>
          </w:tcPr>
          <w:p>
            <w:pPr>
              <w:jc w:val="left"/>
            </w:pPr>
            <w:r/>
            <w:r>
              <w:rPr>
                <w:b/>
                <w:color w:val="0B2545"/>
                <w:sz w:val="18"/>
              </w:rPr>
              <w:t>ROC-AUC</w:t>
            </w:r>
          </w:p>
        </w:tc>
        <w:tc>
          <w:tcPr>
            <w:tcW w:type="dxa" w:w="1152"/>
            <w:vAlign w:val="center"/>
            <w:shd w:fill="E8EEF5"/>
          </w:tcPr>
          <w:p>
            <w:pPr>
              <w:jc w:val="left"/>
            </w:pPr>
            <w:r/>
            <w:r>
              <w:rPr>
                <w:b/>
                <w:color w:val="0B2545"/>
                <w:sz w:val="18"/>
              </w:rPr>
              <w:t>Path. Prec.</w:t>
            </w:r>
          </w:p>
        </w:tc>
        <w:tc>
          <w:tcPr>
            <w:tcW w:type="dxa" w:w="1152"/>
            <w:vAlign w:val="center"/>
            <w:shd w:fill="E8EEF5"/>
          </w:tcPr>
          <w:p>
            <w:pPr>
              <w:jc w:val="left"/>
            </w:pPr>
            <w:r/>
            <w:r>
              <w:rPr>
                <w:b/>
                <w:color w:val="0B2545"/>
                <w:sz w:val="18"/>
              </w:rPr>
              <w:t>Path. Rec.</w:t>
            </w:r>
          </w:p>
        </w:tc>
      </w:tr>
      <w:tr>
        <w:tc>
          <w:tcPr>
            <w:tcW w:type="dxa" w:w="1088"/>
            <w:vAlign w:val="center"/>
          </w:tcPr>
          <w:p>
            <w:pPr>
              <w:jc w:val="left"/>
            </w:pPr>
            <w:r/>
            <w:r>
              <w:rPr>
                <w:b w:val="0"/>
                <w:sz w:val="18"/>
              </w:rPr>
              <w:t>MASTER</w:t>
            </w:r>
          </w:p>
        </w:tc>
        <w:tc>
          <w:tcPr>
            <w:tcW w:type="dxa" w:w="1088"/>
            <w:vAlign w:val="center"/>
          </w:tcPr>
          <w:p>
            <w:pPr>
              <w:jc w:val="left"/>
            </w:pPr>
            <w:r/>
            <w:r>
              <w:rPr>
                <w:b w:val="0"/>
                <w:sz w:val="18"/>
              </w:rPr>
              <w:t>12</w:t>
            </w:r>
          </w:p>
        </w:tc>
        <w:tc>
          <w:tcPr>
            <w:tcW w:type="dxa" w:w="1088"/>
            <w:vAlign w:val="center"/>
          </w:tcPr>
          <w:p>
            <w:pPr>
              <w:jc w:val="left"/>
            </w:pPr>
            <w:r/>
            <w:r>
              <w:rPr>
                <w:b w:val="0"/>
                <w:sz w:val="18"/>
              </w:rPr>
              <w:t>0.55</w:t>
            </w:r>
          </w:p>
        </w:tc>
        <w:tc>
          <w:tcPr>
            <w:tcW w:type="dxa" w:w="1088"/>
            <w:vAlign w:val="center"/>
          </w:tcPr>
          <w:p>
            <w:pPr>
              <w:jc w:val="left"/>
            </w:pPr>
            <w:r/>
            <w:r>
              <w:rPr>
                <w:b w:val="0"/>
                <w:sz w:val="18"/>
              </w:rPr>
              <w:t>0.773</w:t>
            </w:r>
          </w:p>
        </w:tc>
        <w:tc>
          <w:tcPr>
            <w:tcW w:type="dxa" w:w="1088"/>
            <w:vAlign w:val="center"/>
          </w:tcPr>
          <w:p>
            <w:pPr>
              <w:jc w:val="left"/>
            </w:pPr>
            <w:r/>
            <w:r>
              <w:rPr>
                <w:b w:val="0"/>
                <w:sz w:val="18"/>
              </w:rPr>
              <w:t>0.546</w:t>
            </w:r>
          </w:p>
        </w:tc>
        <w:tc>
          <w:tcPr>
            <w:tcW w:type="dxa" w:w="1088"/>
            <w:vAlign w:val="center"/>
          </w:tcPr>
          <w:p>
            <w:pPr>
              <w:jc w:val="left"/>
            </w:pPr>
            <w:r/>
            <w:r>
              <w:rPr>
                <w:b w:val="0"/>
                <w:sz w:val="18"/>
              </w:rPr>
              <w:t>0.922</w:t>
            </w:r>
          </w:p>
        </w:tc>
        <w:tc>
          <w:tcPr>
            <w:tcW w:type="dxa" w:w="1088"/>
            <w:vAlign w:val="center"/>
          </w:tcPr>
          <w:p>
            <w:pPr>
              <w:jc w:val="left"/>
            </w:pPr>
            <w:r/>
            <w:r>
              <w:rPr>
                <w:b w:val="0"/>
                <w:sz w:val="18"/>
              </w:rPr>
              <w:t>0.845</w:t>
            </w:r>
          </w:p>
        </w:tc>
        <w:tc>
          <w:tcPr>
            <w:tcW w:type="dxa" w:w="1088"/>
            <w:vAlign w:val="center"/>
          </w:tcPr>
          <w:p>
            <w:pPr>
              <w:jc w:val="left"/>
            </w:pPr>
            <w:r/>
            <w:r>
              <w:rPr>
                <w:b w:val="0"/>
                <w:sz w:val="18"/>
              </w:rPr>
              <w:t>0.884</w:t>
            </w:r>
          </w:p>
        </w:tc>
        <w:tc>
          <w:tcPr>
            <w:tcW w:type="dxa" w:w="1088"/>
            <w:vAlign w:val="center"/>
          </w:tcPr>
          <w:p>
            <w:pPr>
              <w:jc w:val="left"/>
            </w:pPr>
            <w:r/>
            <w:r>
              <w:rPr>
                <w:b w:val="0"/>
                <w:sz w:val="18"/>
              </w:rPr>
              <w:t>0.868</w:t>
            </w:r>
          </w:p>
        </w:tc>
      </w:tr>
      <w:tr>
        <w:tc>
          <w:tcPr>
            <w:tcW w:type="dxa" w:w="1088"/>
            <w:vAlign w:val="center"/>
          </w:tcPr>
          <w:p>
            <w:pPr>
              <w:jc w:val="left"/>
            </w:pPr>
            <w:r/>
            <w:r>
              <w:rPr>
                <w:b w:val="0"/>
                <w:sz w:val="18"/>
              </w:rPr>
              <w:t>KANSER</w:t>
            </w:r>
          </w:p>
        </w:tc>
        <w:tc>
          <w:tcPr>
            <w:tcW w:type="dxa" w:w="1088"/>
            <w:vAlign w:val="center"/>
          </w:tcPr>
          <w:p>
            <w:pPr>
              <w:jc w:val="left"/>
            </w:pPr>
            <w:r/>
            <w:r>
              <w:rPr>
                <w:b w:val="0"/>
                <w:sz w:val="18"/>
              </w:rPr>
              <w:t>15</w:t>
            </w:r>
          </w:p>
        </w:tc>
        <w:tc>
          <w:tcPr>
            <w:tcW w:type="dxa" w:w="1088"/>
            <w:vAlign w:val="center"/>
          </w:tcPr>
          <w:p>
            <w:pPr>
              <w:jc w:val="left"/>
            </w:pPr>
            <w:r/>
            <w:r>
              <w:rPr>
                <w:b w:val="0"/>
                <w:sz w:val="18"/>
              </w:rPr>
              <w:t>0.47</w:t>
            </w:r>
          </w:p>
        </w:tc>
        <w:tc>
          <w:tcPr>
            <w:tcW w:type="dxa" w:w="1088"/>
            <w:vAlign w:val="center"/>
          </w:tcPr>
          <w:p>
            <w:pPr>
              <w:jc w:val="left"/>
            </w:pPr>
            <w:r/>
            <w:r>
              <w:rPr>
                <w:b w:val="0"/>
                <w:sz w:val="18"/>
              </w:rPr>
              <w:t>0.865</w:t>
            </w:r>
          </w:p>
        </w:tc>
        <w:tc>
          <w:tcPr>
            <w:tcW w:type="dxa" w:w="1088"/>
            <w:vAlign w:val="center"/>
          </w:tcPr>
          <w:p>
            <w:pPr>
              <w:jc w:val="left"/>
            </w:pPr>
            <w:r/>
            <w:r>
              <w:rPr>
                <w:b w:val="0"/>
                <w:sz w:val="18"/>
              </w:rPr>
              <w:t>0.730</w:t>
            </w:r>
          </w:p>
        </w:tc>
        <w:tc>
          <w:tcPr>
            <w:tcW w:type="dxa" w:w="1088"/>
            <w:vAlign w:val="center"/>
          </w:tcPr>
          <w:p>
            <w:pPr>
              <w:jc w:val="left"/>
            </w:pPr>
            <w:r/>
            <w:r>
              <w:rPr>
                <w:b w:val="0"/>
                <w:sz w:val="18"/>
              </w:rPr>
              <w:t>0.948</w:t>
            </w:r>
          </w:p>
        </w:tc>
        <w:tc>
          <w:tcPr>
            <w:tcW w:type="dxa" w:w="1088"/>
            <w:vAlign w:val="center"/>
          </w:tcPr>
          <w:p>
            <w:pPr>
              <w:jc w:val="left"/>
            </w:pPr>
            <w:r/>
            <w:r>
              <w:rPr>
                <w:b w:val="0"/>
                <w:sz w:val="18"/>
              </w:rPr>
              <w:t>0.910</w:t>
            </w:r>
          </w:p>
        </w:tc>
        <w:tc>
          <w:tcPr>
            <w:tcW w:type="dxa" w:w="1088"/>
            <w:vAlign w:val="center"/>
          </w:tcPr>
          <w:p>
            <w:pPr>
              <w:jc w:val="left"/>
            </w:pPr>
            <w:r/>
            <w:r>
              <w:rPr>
                <w:b w:val="0"/>
                <w:sz w:val="18"/>
              </w:rPr>
              <w:t>0.906</w:t>
            </w:r>
          </w:p>
        </w:tc>
        <w:tc>
          <w:tcPr>
            <w:tcW w:type="dxa" w:w="1088"/>
            <w:vAlign w:val="center"/>
          </w:tcPr>
          <w:p>
            <w:pPr>
              <w:jc w:val="left"/>
            </w:pPr>
            <w:r/>
            <w:r>
              <w:rPr>
                <w:b w:val="0"/>
                <w:sz w:val="18"/>
              </w:rPr>
              <w:t>0.933</w:t>
            </w:r>
          </w:p>
        </w:tc>
      </w:tr>
      <w:tr>
        <w:tc>
          <w:tcPr>
            <w:tcW w:type="dxa" w:w="1088"/>
            <w:vAlign w:val="center"/>
          </w:tcPr>
          <w:p>
            <w:pPr>
              <w:jc w:val="left"/>
            </w:pPr>
            <w:r/>
            <w:r>
              <w:rPr>
                <w:b w:val="0"/>
                <w:sz w:val="18"/>
              </w:rPr>
              <w:t>PAH</w:t>
            </w:r>
          </w:p>
        </w:tc>
        <w:tc>
          <w:tcPr>
            <w:tcW w:type="dxa" w:w="1088"/>
            <w:vAlign w:val="center"/>
          </w:tcPr>
          <w:p>
            <w:pPr>
              <w:jc w:val="left"/>
            </w:pPr>
            <w:r/>
            <w:r>
              <w:rPr>
                <w:b w:val="0"/>
                <w:sz w:val="18"/>
              </w:rPr>
              <w:t>14</w:t>
            </w:r>
          </w:p>
        </w:tc>
        <w:tc>
          <w:tcPr>
            <w:tcW w:type="dxa" w:w="1088"/>
            <w:vAlign w:val="center"/>
          </w:tcPr>
          <w:p>
            <w:pPr>
              <w:jc w:val="left"/>
            </w:pPr>
            <w:r/>
            <w:r>
              <w:rPr>
                <w:b w:val="0"/>
                <w:sz w:val="18"/>
              </w:rPr>
              <w:t>0.39</w:t>
            </w:r>
          </w:p>
        </w:tc>
        <w:tc>
          <w:tcPr>
            <w:tcW w:type="dxa" w:w="1088"/>
            <w:vAlign w:val="center"/>
          </w:tcPr>
          <w:p>
            <w:pPr>
              <w:jc w:val="left"/>
            </w:pPr>
            <w:r/>
            <w:r>
              <w:rPr>
                <w:b w:val="0"/>
                <w:sz w:val="18"/>
              </w:rPr>
              <w:t>0.758</w:t>
            </w:r>
          </w:p>
        </w:tc>
        <w:tc>
          <w:tcPr>
            <w:tcW w:type="dxa" w:w="1088"/>
            <w:vAlign w:val="center"/>
          </w:tcPr>
          <w:p>
            <w:pPr>
              <w:jc w:val="left"/>
            </w:pPr>
            <w:r/>
            <w:r>
              <w:rPr>
                <w:b w:val="0"/>
                <w:sz w:val="18"/>
              </w:rPr>
              <w:t>0.522</w:t>
            </w:r>
          </w:p>
        </w:tc>
        <w:tc>
          <w:tcPr>
            <w:tcW w:type="dxa" w:w="1088"/>
            <w:vAlign w:val="center"/>
          </w:tcPr>
          <w:p>
            <w:pPr>
              <w:jc w:val="left"/>
            </w:pPr>
            <w:r/>
            <w:r>
              <w:rPr>
                <w:b w:val="0"/>
                <w:sz w:val="18"/>
              </w:rPr>
              <w:t>0.923</w:t>
            </w:r>
          </w:p>
        </w:tc>
        <w:tc>
          <w:tcPr>
            <w:tcW w:type="dxa" w:w="1088"/>
            <w:vAlign w:val="center"/>
          </w:tcPr>
          <w:p>
            <w:pPr>
              <w:jc w:val="left"/>
            </w:pPr>
            <w:r/>
            <w:r>
              <w:rPr>
                <w:b w:val="0"/>
                <w:sz w:val="18"/>
              </w:rPr>
              <w:t>0.777</w:t>
            </w:r>
          </w:p>
        </w:tc>
        <w:tc>
          <w:tcPr>
            <w:tcW w:type="dxa" w:w="1088"/>
            <w:vAlign w:val="center"/>
          </w:tcPr>
          <w:p>
            <w:pPr>
              <w:jc w:val="left"/>
            </w:pPr>
            <w:r/>
            <w:r>
              <w:rPr>
                <w:b w:val="0"/>
                <w:sz w:val="18"/>
              </w:rPr>
              <w:t>0.910</w:t>
            </w:r>
          </w:p>
        </w:tc>
        <w:tc>
          <w:tcPr>
            <w:tcW w:type="dxa" w:w="1088"/>
            <w:vAlign w:val="center"/>
          </w:tcPr>
          <w:p>
            <w:pPr>
              <w:jc w:val="left"/>
            </w:pPr>
            <w:r/>
            <w:r>
              <w:rPr>
                <w:b w:val="0"/>
                <w:sz w:val="18"/>
              </w:rPr>
              <w:t>0.945</w:t>
            </w:r>
          </w:p>
        </w:tc>
      </w:tr>
      <w:tr>
        <w:tc>
          <w:tcPr>
            <w:tcW w:type="dxa" w:w="1088"/>
            <w:vAlign w:val="center"/>
          </w:tcPr>
          <w:p>
            <w:pPr>
              <w:jc w:val="left"/>
            </w:pPr>
            <w:r/>
            <w:r>
              <w:rPr>
                <w:b w:val="0"/>
                <w:sz w:val="18"/>
              </w:rPr>
              <w:t>CFTR</w:t>
            </w:r>
          </w:p>
        </w:tc>
        <w:tc>
          <w:tcPr>
            <w:tcW w:type="dxa" w:w="1088"/>
            <w:vAlign w:val="center"/>
          </w:tcPr>
          <w:p>
            <w:pPr>
              <w:jc w:val="left"/>
            </w:pPr>
            <w:r/>
            <w:r>
              <w:rPr>
                <w:b w:val="0"/>
                <w:sz w:val="18"/>
              </w:rPr>
              <w:t>8</w:t>
            </w:r>
          </w:p>
        </w:tc>
        <w:tc>
          <w:tcPr>
            <w:tcW w:type="dxa" w:w="1088"/>
            <w:vAlign w:val="center"/>
          </w:tcPr>
          <w:p>
            <w:pPr>
              <w:jc w:val="left"/>
            </w:pPr>
            <w:r/>
            <w:r>
              <w:rPr>
                <w:b w:val="0"/>
                <w:sz w:val="18"/>
              </w:rPr>
              <w:t>0.61</w:t>
            </w:r>
          </w:p>
        </w:tc>
        <w:tc>
          <w:tcPr>
            <w:tcW w:type="dxa" w:w="1088"/>
            <w:vAlign w:val="center"/>
          </w:tcPr>
          <w:p>
            <w:pPr>
              <w:jc w:val="left"/>
            </w:pPr>
            <w:r/>
            <w:r>
              <w:rPr>
                <w:b w:val="0"/>
                <w:sz w:val="18"/>
              </w:rPr>
              <w:t>0.878</w:t>
            </w:r>
          </w:p>
        </w:tc>
        <w:tc>
          <w:tcPr>
            <w:tcW w:type="dxa" w:w="1088"/>
            <w:vAlign w:val="center"/>
          </w:tcPr>
          <w:p>
            <w:pPr>
              <w:jc w:val="left"/>
            </w:pPr>
            <w:r/>
            <w:r>
              <w:rPr>
                <w:b w:val="0"/>
                <w:sz w:val="18"/>
              </w:rPr>
              <w:t>0.758</w:t>
            </w:r>
          </w:p>
        </w:tc>
        <w:tc>
          <w:tcPr>
            <w:tcW w:type="dxa" w:w="1088"/>
            <w:vAlign w:val="center"/>
          </w:tcPr>
          <w:p>
            <w:pPr>
              <w:jc w:val="left"/>
            </w:pPr>
            <w:r/>
            <w:r>
              <w:rPr>
                <w:b w:val="0"/>
                <w:sz w:val="18"/>
              </w:rPr>
              <w:t>0.977</w:t>
            </w:r>
          </w:p>
        </w:tc>
        <w:tc>
          <w:tcPr>
            <w:tcW w:type="dxa" w:w="1088"/>
            <w:vAlign w:val="center"/>
          </w:tcPr>
          <w:p>
            <w:pPr>
              <w:jc w:val="left"/>
            </w:pPr>
            <w:r/>
            <w:r>
              <w:rPr>
                <w:b w:val="0"/>
                <w:sz w:val="18"/>
              </w:rPr>
              <w:t>0.915</w:t>
            </w:r>
          </w:p>
        </w:tc>
        <w:tc>
          <w:tcPr>
            <w:tcW w:type="dxa" w:w="1088"/>
            <w:vAlign w:val="center"/>
          </w:tcPr>
          <w:p>
            <w:pPr>
              <w:jc w:val="left"/>
            </w:pPr>
            <w:r/>
            <w:r>
              <w:rPr>
                <w:b w:val="0"/>
                <w:sz w:val="18"/>
              </w:rPr>
              <w:t>0.946</w:t>
            </w:r>
          </w:p>
        </w:tc>
        <w:tc>
          <w:tcPr>
            <w:tcW w:type="dxa" w:w="1088"/>
            <w:vAlign w:val="center"/>
          </w:tcPr>
          <w:p>
            <w:pPr>
              <w:jc w:val="left"/>
            </w:pPr>
            <w:r/>
            <w:r>
              <w:rPr>
                <w:b w:val="0"/>
                <w:sz w:val="18"/>
              </w:rPr>
              <w:t>0.967</w:t>
            </w:r>
          </w:p>
        </w:tc>
      </w:tr>
    </w:tbl>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1296"/>
            <w:vAlign w:val="center"/>
            <w:shd w:fill="E8EEF5"/>
          </w:tcPr>
          <w:p>
            <w:pPr>
              <w:jc w:val="left"/>
            </w:pPr>
            <w:r/>
            <w:r>
              <w:rPr>
                <w:b/>
                <w:color w:val="0B2545"/>
                <w:sz w:val="18"/>
              </w:rPr>
              <w:t>Dataset</w:t>
            </w:r>
          </w:p>
        </w:tc>
        <w:tc>
          <w:tcPr>
            <w:tcW w:type="dxa" w:w="1368"/>
            <w:vAlign w:val="center"/>
            <w:shd w:fill="E8EEF5"/>
          </w:tcPr>
          <w:p>
            <w:pPr>
              <w:jc w:val="left"/>
            </w:pPr>
            <w:r/>
            <w:r>
              <w:rPr>
                <w:b/>
                <w:color w:val="0B2545"/>
                <w:sz w:val="18"/>
              </w:rPr>
              <w:t>LightGBM</w:t>
            </w:r>
          </w:p>
        </w:tc>
        <w:tc>
          <w:tcPr>
            <w:tcW w:type="dxa" w:w="1368"/>
            <w:vAlign w:val="center"/>
            <w:shd w:fill="E8EEF5"/>
          </w:tcPr>
          <w:p>
            <w:pPr>
              <w:jc w:val="left"/>
            </w:pPr>
            <w:r/>
            <w:r>
              <w:rPr>
                <w:b/>
                <w:color w:val="0B2545"/>
                <w:sz w:val="18"/>
              </w:rPr>
              <w:t>CatBoost</w:t>
            </w:r>
          </w:p>
        </w:tc>
        <w:tc>
          <w:tcPr>
            <w:tcW w:type="dxa" w:w="1368"/>
            <w:vAlign w:val="center"/>
            <w:shd w:fill="E8EEF5"/>
          </w:tcPr>
          <w:p>
            <w:pPr>
              <w:jc w:val="left"/>
            </w:pPr>
            <w:r/>
            <w:r>
              <w:rPr>
                <w:b/>
                <w:color w:val="0B2545"/>
                <w:sz w:val="18"/>
              </w:rPr>
              <w:t>HistGBDT</w:t>
            </w:r>
          </w:p>
        </w:tc>
        <w:tc>
          <w:tcPr>
            <w:tcW w:type="dxa" w:w="1368"/>
            <w:vAlign w:val="center"/>
            <w:shd w:fill="E8EEF5"/>
          </w:tcPr>
          <w:p>
            <w:pPr>
              <w:jc w:val="left"/>
            </w:pPr>
            <w:r/>
            <w:r>
              <w:rPr>
                <w:b/>
                <w:color w:val="0B2545"/>
                <w:sz w:val="18"/>
              </w:rPr>
              <w:t>ExtraTrees</w:t>
            </w:r>
          </w:p>
        </w:tc>
        <w:tc>
          <w:tcPr>
            <w:tcW w:type="dxa" w:w="1440"/>
            <w:vAlign w:val="center"/>
            <w:shd w:fill="E8EEF5"/>
          </w:tcPr>
          <w:p>
            <w:pPr>
              <w:jc w:val="left"/>
            </w:pPr>
            <w:r/>
            <w:r>
              <w:rPr>
                <w:b/>
                <w:color w:val="0B2545"/>
                <w:sz w:val="18"/>
              </w:rPr>
              <w:t>RandomForest</w:t>
            </w:r>
          </w:p>
        </w:tc>
      </w:tr>
      <w:tr>
        <w:tc>
          <w:tcPr>
            <w:tcW w:type="dxa" w:w="1632"/>
            <w:vAlign w:val="center"/>
          </w:tcPr>
          <w:p>
            <w:pPr>
              <w:jc w:val="left"/>
            </w:pPr>
            <w:r/>
            <w:r>
              <w:rPr>
                <w:b w:val="0"/>
                <w:sz w:val="18"/>
              </w:rPr>
              <w:t>MASTER</w:t>
            </w:r>
          </w:p>
        </w:tc>
        <w:tc>
          <w:tcPr>
            <w:tcW w:type="dxa" w:w="1632"/>
            <w:vAlign w:val="center"/>
          </w:tcPr>
          <w:p>
            <w:pPr>
              <w:jc w:val="left"/>
            </w:pPr>
            <w:r/>
            <w:r>
              <w:rPr>
                <w:b w:val="0"/>
                <w:sz w:val="18"/>
              </w:rPr>
              <w:t>0.95</w:t>
            </w:r>
          </w:p>
        </w:tc>
        <w:tc>
          <w:tcPr>
            <w:tcW w:type="dxa" w:w="1632"/>
            <w:vAlign w:val="center"/>
          </w:tcPr>
          <w:p>
            <w:pPr>
              <w:jc w:val="left"/>
            </w:pPr>
            <w:r/>
            <w:r>
              <w:rPr>
                <w:b w:val="0"/>
                <w:sz w:val="18"/>
              </w:rPr>
              <w:t>2.85</w:t>
            </w:r>
          </w:p>
        </w:tc>
        <w:tc>
          <w:tcPr>
            <w:tcW w:type="dxa" w:w="1632"/>
            <w:vAlign w:val="center"/>
          </w:tcPr>
          <w:p>
            <w:pPr>
              <w:jc w:val="left"/>
            </w:pPr>
            <w:r/>
            <w:r>
              <w:rPr>
                <w:b w:val="0"/>
                <w:sz w:val="18"/>
              </w:rPr>
              <w:t>0.12</w:t>
            </w:r>
          </w:p>
        </w:tc>
        <w:tc>
          <w:tcPr>
            <w:tcW w:type="dxa" w:w="1632"/>
            <w:vAlign w:val="center"/>
          </w:tcPr>
          <w:p>
            <w:pPr>
              <w:jc w:val="left"/>
            </w:pPr>
            <w:r/>
            <w:r>
              <w:rPr>
                <w:b w:val="0"/>
                <w:sz w:val="18"/>
              </w:rPr>
              <w:t>0.10</w:t>
            </w:r>
          </w:p>
        </w:tc>
        <w:tc>
          <w:tcPr>
            <w:tcW w:type="dxa" w:w="1632"/>
            <w:vAlign w:val="center"/>
          </w:tcPr>
          <w:p>
            <w:pPr>
              <w:jc w:val="left"/>
            </w:pPr>
            <w:r/>
            <w:r>
              <w:rPr>
                <w:b w:val="0"/>
                <w:sz w:val="18"/>
              </w:rPr>
              <w:t>0.15</w:t>
            </w:r>
          </w:p>
        </w:tc>
      </w:tr>
      <w:tr>
        <w:tc>
          <w:tcPr>
            <w:tcW w:type="dxa" w:w="1632"/>
            <w:vAlign w:val="center"/>
          </w:tcPr>
          <w:p>
            <w:pPr>
              <w:jc w:val="left"/>
            </w:pPr>
            <w:r/>
            <w:r>
              <w:rPr>
                <w:b w:val="0"/>
                <w:sz w:val="18"/>
              </w:rPr>
              <w:t>KANSER</w:t>
            </w:r>
          </w:p>
        </w:tc>
        <w:tc>
          <w:tcPr>
            <w:tcW w:type="dxa" w:w="1632"/>
            <w:vAlign w:val="center"/>
          </w:tcPr>
          <w:p>
            <w:pPr>
              <w:jc w:val="left"/>
            </w:pPr>
            <w:r/>
            <w:r>
              <w:rPr>
                <w:b w:val="0"/>
                <w:sz w:val="18"/>
              </w:rPr>
              <w:t>0.13</w:t>
            </w:r>
          </w:p>
        </w:tc>
        <w:tc>
          <w:tcPr>
            <w:tcW w:type="dxa" w:w="1632"/>
            <w:vAlign w:val="center"/>
          </w:tcPr>
          <w:p>
            <w:pPr>
              <w:jc w:val="left"/>
            </w:pPr>
            <w:r/>
            <w:r>
              <w:rPr>
                <w:b w:val="0"/>
                <w:sz w:val="18"/>
              </w:rPr>
              <w:t>0.12</w:t>
            </w:r>
          </w:p>
        </w:tc>
        <w:tc>
          <w:tcPr>
            <w:tcW w:type="dxa" w:w="1632"/>
            <w:vAlign w:val="center"/>
          </w:tcPr>
          <w:p>
            <w:pPr>
              <w:jc w:val="left"/>
            </w:pPr>
            <w:r/>
            <w:r>
              <w:rPr>
                <w:b w:val="0"/>
                <w:sz w:val="18"/>
              </w:rPr>
              <w:t>1.00</w:t>
            </w:r>
          </w:p>
        </w:tc>
        <w:tc>
          <w:tcPr>
            <w:tcW w:type="dxa" w:w="1632"/>
            <w:vAlign w:val="center"/>
          </w:tcPr>
          <w:p>
            <w:pPr>
              <w:jc w:val="left"/>
            </w:pPr>
            <w:r/>
            <w:r>
              <w:rPr>
                <w:b w:val="0"/>
                <w:sz w:val="18"/>
              </w:rPr>
              <w:t>0.39</w:t>
            </w:r>
          </w:p>
        </w:tc>
        <w:tc>
          <w:tcPr>
            <w:tcW w:type="dxa" w:w="1632"/>
            <w:vAlign w:val="center"/>
          </w:tcPr>
          <w:p>
            <w:pPr>
              <w:jc w:val="left"/>
            </w:pPr>
            <w:r/>
            <w:r>
              <w:rPr>
                <w:b w:val="0"/>
                <w:sz w:val="18"/>
              </w:rPr>
              <w:t>0.80</w:t>
            </w:r>
          </w:p>
        </w:tc>
      </w:tr>
      <w:tr>
        <w:tc>
          <w:tcPr>
            <w:tcW w:type="dxa" w:w="1632"/>
            <w:vAlign w:val="center"/>
          </w:tcPr>
          <w:p>
            <w:pPr>
              <w:jc w:val="left"/>
            </w:pPr>
            <w:r/>
            <w:r>
              <w:rPr>
                <w:b w:val="0"/>
                <w:sz w:val="18"/>
              </w:rPr>
              <w:t>PAH</w:t>
            </w:r>
          </w:p>
        </w:tc>
        <w:tc>
          <w:tcPr>
            <w:tcW w:type="dxa" w:w="1632"/>
            <w:vAlign w:val="center"/>
          </w:tcPr>
          <w:p>
            <w:pPr>
              <w:jc w:val="left"/>
            </w:pPr>
            <w:r/>
            <w:r>
              <w:rPr>
                <w:b w:val="0"/>
                <w:sz w:val="18"/>
              </w:rPr>
              <w:t>1.27</w:t>
            </w:r>
          </w:p>
        </w:tc>
        <w:tc>
          <w:tcPr>
            <w:tcW w:type="dxa" w:w="1632"/>
            <w:vAlign w:val="center"/>
          </w:tcPr>
          <w:p>
            <w:pPr>
              <w:jc w:val="left"/>
            </w:pPr>
            <w:r/>
            <w:r>
              <w:rPr>
                <w:b w:val="0"/>
                <w:sz w:val="18"/>
              </w:rPr>
              <w:t>0.46</w:t>
            </w:r>
          </w:p>
        </w:tc>
        <w:tc>
          <w:tcPr>
            <w:tcW w:type="dxa" w:w="1632"/>
            <w:vAlign w:val="center"/>
          </w:tcPr>
          <w:p>
            <w:pPr>
              <w:jc w:val="left"/>
            </w:pPr>
            <w:r/>
            <w:r>
              <w:rPr>
                <w:b w:val="0"/>
                <w:sz w:val="18"/>
              </w:rPr>
              <w:t>1.18</w:t>
            </w:r>
          </w:p>
        </w:tc>
        <w:tc>
          <w:tcPr>
            <w:tcW w:type="dxa" w:w="1632"/>
            <w:vAlign w:val="center"/>
          </w:tcPr>
          <w:p>
            <w:pPr>
              <w:jc w:val="left"/>
            </w:pPr>
            <w:r/>
            <w:r>
              <w:rPr>
                <w:b w:val="0"/>
                <w:sz w:val="18"/>
              </w:rPr>
              <w:t>0.16</w:t>
            </w:r>
          </w:p>
        </w:tc>
        <w:tc>
          <w:tcPr>
            <w:tcW w:type="dxa" w:w="1632"/>
            <w:vAlign w:val="center"/>
          </w:tcPr>
          <w:p>
            <w:pPr>
              <w:jc w:val="left"/>
            </w:pPr>
            <w:r/>
            <w:r>
              <w:rPr>
                <w:b w:val="0"/>
                <w:sz w:val="18"/>
              </w:rPr>
              <w:t>0.05</w:t>
            </w:r>
          </w:p>
        </w:tc>
      </w:tr>
      <w:tr>
        <w:tc>
          <w:tcPr>
            <w:tcW w:type="dxa" w:w="1632"/>
            <w:vAlign w:val="center"/>
          </w:tcPr>
          <w:p>
            <w:pPr>
              <w:jc w:val="left"/>
            </w:pPr>
            <w:r/>
            <w:r>
              <w:rPr>
                <w:b w:val="0"/>
                <w:sz w:val="18"/>
              </w:rPr>
              <w:t>CFTR</w:t>
            </w:r>
          </w:p>
        </w:tc>
        <w:tc>
          <w:tcPr>
            <w:tcW w:type="dxa" w:w="1632"/>
            <w:vAlign w:val="center"/>
          </w:tcPr>
          <w:p>
            <w:pPr>
              <w:jc w:val="left"/>
            </w:pPr>
            <w:r/>
            <w:r>
              <w:rPr>
                <w:b w:val="0"/>
                <w:sz w:val="18"/>
              </w:rPr>
              <w:t>0.92</w:t>
            </w:r>
          </w:p>
        </w:tc>
        <w:tc>
          <w:tcPr>
            <w:tcW w:type="dxa" w:w="1632"/>
            <w:vAlign w:val="center"/>
          </w:tcPr>
          <w:p>
            <w:pPr>
              <w:jc w:val="left"/>
            </w:pPr>
            <w:r/>
            <w:r>
              <w:rPr>
                <w:b w:val="0"/>
                <w:sz w:val="18"/>
              </w:rPr>
              <w:t>2.32</w:t>
            </w:r>
          </w:p>
        </w:tc>
        <w:tc>
          <w:tcPr>
            <w:tcW w:type="dxa" w:w="1632"/>
            <w:vAlign w:val="center"/>
          </w:tcPr>
          <w:p>
            <w:pPr>
              <w:jc w:val="left"/>
            </w:pPr>
            <w:r/>
            <w:r>
              <w:rPr>
                <w:b w:val="0"/>
                <w:sz w:val="18"/>
              </w:rPr>
              <w:t>0.23</w:t>
            </w:r>
          </w:p>
        </w:tc>
        <w:tc>
          <w:tcPr>
            <w:tcW w:type="dxa" w:w="1632"/>
            <w:vAlign w:val="center"/>
          </w:tcPr>
          <w:p>
            <w:pPr>
              <w:jc w:val="left"/>
            </w:pPr>
            <w:r/>
            <w:r>
              <w:rPr>
                <w:b w:val="0"/>
                <w:sz w:val="18"/>
              </w:rPr>
              <w:t>0.16</w:t>
            </w:r>
          </w:p>
        </w:tc>
        <w:tc>
          <w:tcPr>
            <w:tcW w:type="dxa" w:w="1632"/>
            <w:vAlign w:val="center"/>
          </w:tcPr>
          <w:p>
            <w:pPr>
              <w:jc w:val="left"/>
            </w:pPr>
            <w:r/>
            <w:r>
              <w:rPr>
                <w:b w:val="0"/>
                <w:sz w:val="18"/>
              </w:rPr>
              <w:t>0.33</w:t>
            </w:r>
          </w:p>
        </w:tc>
      </w:tr>
    </w:tbl>
    <w:p/>
    <w:p>
      <w:pPr>
        <w:jc w:val="center"/>
      </w:pPr>
      <w:r>
        <w:drawing>
          <wp:inline xmlns:a="http://schemas.openxmlformats.org/drawingml/2006/main" xmlns:pic="http://schemas.openxmlformats.org/drawingml/2006/picture">
            <wp:extent cx="4572000" cy="2764763"/>
            <wp:docPr id="6" name="Picture 6"/>
            <wp:cNvGraphicFramePr>
              <a:graphicFrameLocks noChangeAspect="1"/>
            </wp:cNvGraphicFramePr>
            <a:graphic>
              <a:graphicData uri="http://schemas.openxmlformats.org/drawingml/2006/picture">
                <pic:pic>
                  <pic:nvPicPr>
                    <pic:cNvPr id="0" name="02_baseline_vs_full_macro_f1.png"/>
                    <pic:cNvPicPr/>
                  </pic:nvPicPr>
                  <pic:blipFill>
                    <a:blip r:embed="rId15"/>
                    <a:stretch>
                      <a:fillRect/>
                    </a:stretch>
                  </pic:blipFill>
                  <pic:spPr>
                    <a:xfrm>
                      <a:off x="0" y="0"/>
                      <a:ext cx="4572000" cy="2764763"/>
                    </a:xfrm>
                    <a:prstGeom prst="rect"/>
                  </pic:spPr>
                </pic:pic>
              </a:graphicData>
            </a:graphic>
          </wp:inline>
        </w:drawing>
      </w:r>
    </w:p>
    <w:p>
      <w:pPr>
        <w:jc w:val="center"/>
      </w:pPr>
      <w:r>
        <w:rPr>
          <w:i/>
          <w:color w:val="555555"/>
          <w:sz w:val="18"/>
        </w:rPr>
        <w:t>Figure 5. Baseline versus full ensemble Macro F1.</w:t>
      </w:r>
    </w:p>
    <w:p>
      <w:pPr>
        <w:spacing w:before="0" w:after="120"/>
      </w:pPr>
      <w:r>
        <w:rPr>
          <w:color w:val="464646"/>
          <w:sz w:val="18"/>
        </w:rPr>
        <w:t>Interpretation: this figure supports the ensemble design choice by comparing the simpler baseline against the richer final configuration.</w:t>
      </w:r>
    </w:p>
    <w:p>
      <w:pPr>
        <w:jc w:val="center"/>
      </w:pPr>
      <w:r>
        <w:drawing>
          <wp:inline xmlns:a="http://schemas.openxmlformats.org/drawingml/2006/main" xmlns:pic="http://schemas.openxmlformats.org/drawingml/2006/picture">
            <wp:extent cx="5577840" cy="3437771"/>
            <wp:docPr id="7" name="Picture 7"/>
            <wp:cNvGraphicFramePr>
              <a:graphicFrameLocks noChangeAspect="1"/>
            </wp:cNvGraphicFramePr>
            <a:graphic>
              <a:graphicData uri="http://schemas.openxmlformats.org/drawingml/2006/picture">
                <pic:pic>
                  <pic:nvPicPr>
                    <pic:cNvPr id="0" name="optuna_history_grid.png"/>
                    <pic:cNvPicPr/>
                  </pic:nvPicPr>
                  <pic:blipFill>
                    <a:blip r:embed="rId16"/>
                    <a:stretch>
                      <a:fillRect/>
                    </a:stretch>
                  </pic:blipFill>
                  <pic:spPr>
                    <a:xfrm>
                      <a:off x="0" y="0"/>
                      <a:ext cx="5577840" cy="3437771"/>
                    </a:xfrm>
                    <a:prstGeom prst="rect"/>
                  </pic:spPr>
                </pic:pic>
              </a:graphicData>
            </a:graphic>
          </wp:inline>
        </w:drawing>
      </w:r>
    </w:p>
    <w:p>
      <w:pPr>
        <w:jc w:val="center"/>
      </w:pPr>
      <w:r>
        <w:rPr>
          <w:i/>
          <w:color w:val="555555"/>
          <w:sz w:val="18"/>
        </w:rPr>
        <w:t>Figure 6. Optuna trial histories grouped by dataset.</w:t>
      </w:r>
    </w:p>
    <w:p>
      <w:pPr>
        <w:spacing w:before="0" w:after="120"/>
      </w:pPr>
      <w:r>
        <w:rPr>
          <w:color w:val="464646"/>
          <w:sz w:val="18"/>
        </w:rPr>
        <w:t>Interpretation: Optuna is included as a compact tuning study rather than as the main validation result. Each panel shows trial-level Macro F1 and the best-so-far trajectory on fixed CV splits, so improvements reflect parameter and ensemble-weight choices rather than changing random splits.</w:t>
      </w:r>
    </w:p>
    <w:p>
      <w:pPr>
        <w:pStyle w:val="Heading2"/>
      </w:pPr>
      <w:r>
        <w:t>3.4 Explainability and Feature Behavior</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152"/>
            <w:vAlign w:val="center"/>
            <w:shd w:fill="E8EEF5"/>
          </w:tcPr>
          <w:p>
            <w:pPr>
              <w:jc w:val="left"/>
            </w:pPr>
            <w:r/>
            <w:r>
              <w:rPr>
                <w:b/>
                <w:color w:val="0B2545"/>
                <w:sz w:val="18"/>
              </w:rPr>
              <w:t>Dataset</w:t>
            </w:r>
          </w:p>
        </w:tc>
        <w:tc>
          <w:tcPr>
            <w:tcW w:type="dxa" w:w="3816"/>
            <w:vAlign w:val="center"/>
            <w:shd w:fill="E8EEF5"/>
          </w:tcPr>
          <w:p>
            <w:pPr>
              <w:jc w:val="left"/>
            </w:pPr>
            <w:r/>
            <w:r>
              <w:rPr>
                <w:b/>
                <w:color w:val="0B2545"/>
                <w:sz w:val="18"/>
              </w:rPr>
              <w:t>Top LightGBM SHAP features</w:t>
            </w:r>
          </w:p>
        </w:tc>
        <w:tc>
          <w:tcPr>
            <w:tcW w:type="dxa" w:w="3816"/>
            <w:vAlign w:val="center"/>
            <w:shd w:fill="E8EEF5"/>
          </w:tcPr>
          <w:p>
            <w:pPr>
              <w:jc w:val="left"/>
            </w:pPr>
            <w:r/>
            <w:r>
              <w:rPr>
                <w:b/>
                <w:color w:val="0B2545"/>
                <w:sz w:val="18"/>
              </w:rPr>
              <w:t>Top CatBoost SHAP features</w:t>
            </w:r>
          </w:p>
        </w:tc>
      </w:tr>
      <w:tr>
        <w:tc>
          <w:tcPr>
            <w:tcW w:type="dxa" w:w="3264"/>
            <w:vAlign w:val="center"/>
          </w:tcPr>
          <w:p>
            <w:pPr>
              <w:jc w:val="left"/>
            </w:pPr>
            <w:r/>
            <w:r>
              <w:rPr>
                <w:b w:val="0"/>
                <w:sz w:val="18"/>
              </w:rPr>
              <w:t>MASTER</w:t>
            </w:r>
          </w:p>
        </w:tc>
        <w:tc>
          <w:tcPr>
            <w:tcW w:type="dxa" w:w="3264"/>
            <w:vAlign w:val="center"/>
          </w:tcPr>
          <w:p>
            <w:pPr>
              <w:jc w:val="left"/>
            </w:pPr>
            <w:r/>
            <w:r>
              <w:rPr>
                <w:b w:val="0"/>
                <w:sz w:val="18"/>
              </w:rPr>
              <w:t>EK_7 (0.475), missingindicator_AL_295 (0.279), AA_1_R (0.213), AL_327 (0.128), EK_5 (0.116)</w:t>
            </w:r>
          </w:p>
        </w:tc>
        <w:tc>
          <w:tcPr>
            <w:tcW w:type="dxa" w:w="3264"/>
            <w:vAlign w:val="center"/>
          </w:tcPr>
          <w:p>
            <w:pPr>
              <w:jc w:val="left"/>
            </w:pPr>
            <w:r/>
            <w:r>
              <w:rPr>
                <w:b w:val="0"/>
                <w:sz w:val="18"/>
              </w:rPr>
              <w:t>EK_7 (0.438), AA_1_R (0.182), missingindicator_AL_186 (0.132), EK_9 (0.131), EK_2 (0.105)</w:t>
            </w:r>
          </w:p>
        </w:tc>
      </w:tr>
      <w:tr>
        <w:tc>
          <w:tcPr>
            <w:tcW w:type="dxa" w:w="3264"/>
            <w:vAlign w:val="center"/>
          </w:tcPr>
          <w:p>
            <w:pPr>
              <w:jc w:val="left"/>
            </w:pPr>
            <w:r/>
            <w:r>
              <w:rPr>
                <w:b w:val="0"/>
                <w:sz w:val="18"/>
              </w:rPr>
              <w:t>KANSER</w:t>
            </w:r>
          </w:p>
        </w:tc>
        <w:tc>
          <w:tcPr>
            <w:tcW w:type="dxa" w:w="3264"/>
            <w:vAlign w:val="center"/>
          </w:tcPr>
          <w:p>
            <w:pPr>
              <w:jc w:val="left"/>
            </w:pPr>
            <w:r/>
            <w:r>
              <w:rPr>
                <w:b w:val="0"/>
                <w:sz w:val="18"/>
              </w:rPr>
              <w:t>GLOBAL_FOUNDATION_PROBA (2.655), EK_5 (0.868), AL_8 (0.746), EK_9 (0.615), EK_7 (0.606)</w:t>
            </w:r>
          </w:p>
        </w:tc>
        <w:tc>
          <w:tcPr>
            <w:tcW w:type="dxa" w:w="3264"/>
            <w:vAlign w:val="center"/>
          </w:tcPr>
          <w:p>
            <w:pPr>
              <w:jc w:val="left"/>
            </w:pPr>
            <w:r/>
            <w:r>
              <w:rPr>
                <w:b w:val="0"/>
                <w:sz w:val="18"/>
              </w:rPr>
              <w:t>GLOBAL_FOUNDATION_PROBA (0.754), EK_9 (0.274), EK_7 (0.199), EK_5 (0.121), EK_4 (0.111)</w:t>
            </w:r>
          </w:p>
        </w:tc>
      </w:tr>
      <w:tr>
        <w:tc>
          <w:tcPr>
            <w:tcW w:type="dxa" w:w="3264"/>
            <w:vAlign w:val="center"/>
          </w:tcPr>
          <w:p>
            <w:pPr>
              <w:jc w:val="left"/>
            </w:pPr>
            <w:r/>
            <w:r>
              <w:rPr>
                <w:b w:val="0"/>
                <w:sz w:val="18"/>
              </w:rPr>
              <w:t>PAH</w:t>
            </w:r>
          </w:p>
        </w:tc>
        <w:tc>
          <w:tcPr>
            <w:tcW w:type="dxa" w:w="3264"/>
            <w:vAlign w:val="center"/>
          </w:tcPr>
          <w:p>
            <w:pPr>
              <w:jc w:val="left"/>
            </w:pPr>
            <w:r/>
            <w:r>
              <w:rPr>
                <w:b w:val="0"/>
                <w:sz w:val="18"/>
              </w:rPr>
              <w:t>GLOBAL_FOUNDATION_PROBA (1.160), AL_306 (0.254), AL_7 (0.235), AL_171 (0.212), AL_300 (0.161)</w:t>
            </w:r>
          </w:p>
        </w:tc>
        <w:tc>
          <w:tcPr>
            <w:tcW w:type="dxa" w:w="3264"/>
            <w:vAlign w:val="center"/>
          </w:tcPr>
          <w:p>
            <w:pPr>
              <w:jc w:val="left"/>
            </w:pPr>
            <w:r/>
            <w:r>
              <w:rPr>
                <w:b w:val="0"/>
                <w:sz w:val="18"/>
              </w:rPr>
              <w:t>GLOBAL_FOUNDATION_PROBA (2.384), AL_171 (0.299), AL_300 (0.295), AL_12 (0.232), EK_7 (0.176)</w:t>
            </w:r>
          </w:p>
        </w:tc>
      </w:tr>
      <w:tr>
        <w:tc>
          <w:tcPr>
            <w:tcW w:type="dxa" w:w="3264"/>
            <w:vAlign w:val="center"/>
          </w:tcPr>
          <w:p>
            <w:pPr>
              <w:jc w:val="left"/>
            </w:pPr>
            <w:r/>
            <w:r>
              <w:rPr>
                <w:b w:val="0"/>
                <w:sz w:val="18"/>
              </w:rPr>
              <w:t>CFTR</w:t>
            </w:r>
          </w:p>
        </w:tc>
        <w:tc>
          <w:tcPr>
            <w:tcW w:type="dxa" w:w="3264"/>
            <w:vAlign w:val="center"/>
          </w:tcPr>
          <w:p>
            <w:pPr>
              <w:jc w:val="left"/>
            </w:pPr>
            <w:r/>
            <w:r>
              <w:rPr>
                <w:b w:val="0"/>
                <w:sz w:val="18"/>
              </w:rPr>
              <w:t>GLOBAL_FOUNDATION_PROBA (2.547), AL_7 (0.932), AL_145 (0.694), EK_7 (0.672), AL_327 (0.551)</w:t>
            </w:r>
          </w:p>
        </w:tc>
        <w:tc>
          <w:tcPr>
            <w:tcW w:type="dxa" w:w="3264"/>
            <w:vAlign w:val="center"/>
          </w:tcPr>
          <w:p>
            <w:pPr>
              <w:jc w:val="left"/>
            </w:pPr>
            <w:r/>
            <w:r>
              <w:rPr>
                <w:b w:val="0"/>
                <w:sz w:val="18"/>
              </w:rPr>
              <w:t>GLOBAL_FOUNDATION_PROBA (3.421), EK_7 (0.563), EK_9 (0.418), AL_76 (0.370), AL_7 (0.283)</w:t>
            </w:r>
          </w:p>
        </w:tc>
      </w:tr>
    </w:tbl>
    <w:p/>
    <w:p>
      <w:r>
        <w:t>SHAP values are interpreted as local contributions to the model output. The report uses mean absolute SHAP value for global feature significance: a higher value means that the feature changes the model decision more strongly on average. Beeswarm plots additionally show whether high or low feature values tend to push predictions toward the pathogenic or benign class.</w:t>
      </w:r>
    </w:p>
    <w:p>
      <w:r>
        <w:t>The main pattern is consistent with the intended architecture. In MASTER, the dominant features are anonymized original predictors such as EK_7, EK_9, AA_1_R, AL_* variables, and missingness indicators. In disease-specific panels, GLOBAL_FOUNDATION_PROBA often becomes the strongest feature because it carries the global pathogenicity signal learned from MASTER. This is expected and methodologically justified because overlapping Variant_ID values were removed before the foundation model was trained.</w:t>
      </w:r>
    </w:p>
    <w:p>
      <w:pPr>
        <w:jc w:val="center"/>
      </w:pPr>
      <w:r>
        <w:drawing>
          <wp:inline xmlns:a="http://schemas.openxmlformats.org/drawingml/2006/main" xmlns:pic="http://schemas.openxmlformats.org/drawingml/2006/picture">
            <wp:extent cx="4572000" cy="3679856"/>
            <wp:docPr id="8" name="Picture 8"/>
            <wp:cNvGraphicFramePr>
              <a:graphicFrameLocks noChangeAspect="1"/>
            </wp:cNvGraphicFramePr>
            <a:graphic>
              <a:graphicData uri="http://schemas.openxmlformats.org/drawingml/2006/picture">
                <pic:pic>
                  <pic:nvPicPr>
                    <pic:cNvPr id="0" name="09_top_feature_importance.png"/>
                    <pic:cNvPicPr/>
                  </pic:nvPicPr>
                  <pic:blipFill>
                    <a:blip r:embed="rId17"/>
                    <a:stretch>
                      <a:fillRect/>
                    </a:stretch>
                  </pic:blipFill>
                  <pic:spPr>
                    <a:xfrm>
                      <a:off x="0" y="0"/>
                      <a:ext cx="4572000" cy="3679856"/>
                    </a:xfrm>
                    <a:prstGeom prst="rect"/>
                  </pic:spPr>
                </pic:pic>
              </a:graphicData>
            </a:graphic>
          </wp:inline>
        </w:drawing>
      </w:r>
    </w:p>
    <w:p>
      <w:pPr>
        <w:jc w:val="center"/>
      </w:pPr>
      <w:r>
        <w:rPr>
          <w:i/>
          <w:color w:val="555555"/>
          <w:sz w:val="18"/>
        </w:rPr>
        <w:t>Figure 7. Top feature importance from the full final models.</w:t>
      </w:r>
    </w:p>
    <w:p>
      <w:pPr>
        <w:spacing w:before="0" w:after="120"/>
      </w:pPr>
      <w:r>
        <w:rPr>
          <w:color w:val="464646"/>
          <w:sz w:val="18"/>
        </w:rPr>
        <w:t>Interpretation: model-level importance confirms that decisions are driven by anonymized biological feature groups and the intentionally engineered foundation probability, not by identifiers or labels.</w:t>
      </w:r>
    </w:p>
    <w:p>
      <w:pPr>
        <w:jc w:val="center"/>
      </w:pPr>
      <w:r>
        <w:drawing>
          <wp:inline xmlns:a="http://schemas.openxmlformats.org/drawingml/2006/main" xmlns:pic="http://schemas.openxmlformats.org/drawingml/2006/picture">
            <wp:extent cx="5577840" cy="3836188"/>
            <wp:docPr id="9" name="Picture 9"/>
            <wp:cNvGraphicFramePr>
              <a:graphicFrameLocks noChangeAspect="1"/>
            </wp:cNvGraphicFramePr>
            <a:graphic>
              <a:graphicData uri="http://schemas.openxmlformats.org/drawingml/2006/picture">
                <pic:pic>
                  <pic:nvPicPr>
                    <pic:cNvPr id="0" name="shap_lightgbm_bar_grid.png"/>
                    <pic:cNvPicPr/>
                  </pic:nvPicPr>
                  <pic:blipFill>
                    <a:blip r:embed="rId18"/>
                    <a:stretch>
                      <a:fillRect/>
                    </a:stretch>
                  </pic:blipFill>
                  <pic:spPr>
                    <a:xfrm>
                      <a:off x="0" y="0"/>
                      <a:ext cx="5577840" cy="3836188"/>
                    </a:xfrm>
                    <a:prstGeom prst="rect"/>
                  </pic:spPr>
                </pic:pic>
              </a:graphicData>
            </a:graphic>
          </wp:inline>
        </w:drawing>
      </w:r>
    </w:p>
    <w:p>
      <w:pPr>
        <w:jc w:val="center"/>
      </w:pPr>
      <w:r>
        <w:rPr>
          <w:i/>
          <w:color w:val="555555"/>
          <w:sz w:val="18"/>
        </w:rPr>
        <w:t>Figure 8. SHAP global feature importance for tuned LightGBM components.</w:t>
      </w:r>
    </w:p>
    <w:p>
      <w:pPr>
        <w:spacing w:before="0" w:after="120"/>
      </w:pPr>
      <w:r>
        <w:rPr>
          <w:color w:val="464646"/>
          <w:sz w:val="18"/>
        </w:rPr>
        <w:t>Interpretation: LightGBM uses GLOBAL_FOUNDATION_PROBA strongly in panel models, while MASTER relies only on original anonymized predictors because no panel-transfer feature is added to MASTER.</w:t>
      </w:r>
    </w:p>
    <w:p>
      <w:pPr>
        <w:jc w:val="center"/>
      </w:pPr>
      <w:r>
        <w:drawing>
          <wp:inline xmlns:a="http://schemas.openxmlformats.org/drawingml/2006/main" xmlns:pic="http://schemas.openxmlformats.org/drawingml/2006/picture">
            <wp:extent cx="5577840" cy="3836188"/>
            <wp:docPr id="10" name="Picture 10"/>
            <wp:cNvGraphicFramePr>
              <a:graphicFrameLocks noChangeAspect="1"/>
            </wp:cNvGraphicFramePr>
            <a:graphic>
              <a:graphicData uri="http://schemas.openxmlformats.org/drawingml/2006/picture">
                <pic:pic>
                  <pic:nvPicPr>
                    <pic:cNvPr id="0" name="shap_catboost_bar_grid.png"/>
                    <pic:cNvPicPr/>
                  </pic:nvPicPr>
                  <pic:blipFill>
                    <a:blip r:embed="rId19"/>
                    <a:stretch>
                      <a:fillRect/>
                    </a:stretch>
                  </pic:blipFill>
                  <pic:spPr>
                    <a:xfrm>
                      <a:off x="0" y="0"/>
                      <a:ext cx="5577840" cy="3836188"/>
                    </a:xfrm>
                    <a:prstGeom prst="rect"/>
                  </pic:spPr>
                </pic:pic>
              </a:graphicData>
            </a:graphic>
          </wp:inline>
        </w:drawing>
      </w:r>
    </w:p>
    <w:p>
      <w:pPr>
        <w:jc w:val="center"/>
      </w:pPr>
      <w:r>
        <w:rPr>
          <w:i/>
          <w:color w:val="555555"/>
          <w:sz w:val="18"/>
        </w:rPr>
        <w:t>Figure 9. SHAP global feature importance for tuned CatBoost components.</w:t>
      </w:r>
    </w:p>
    <w:p>
      <w:pPr>
        <w:spacing w:before="0" w:after="120"/>
      </w:pPr>
      <w:r>
        <w:rPr>
          <w:color w:val="464646"/>
          <w:sz w:val="18"/>
        </w:rPr>
        <w:t>Interpretation: CatBoost shows the same broad feature-significance pattern, which increases confidence that the signal is not an artifact of a single model family.</w:t>
      </w:r>
    </w:p>
    <w:p>
      <w:pPr>
        <w:jc w:val="center"/>
      </w:pPr>
      <w:r>
        <w:drawing>
          <wp:inline xmlns:a="http://schemas.openxmlformats.org/drawingml/2006/main" xmlns:pic="http://schemas.openxmlformats.org/drawingml/2006/picture">
            <wp:extent cx="5577840" cy="3722354"/>
            <wp:docPr id="11" name="Picture 11"/>
            <wp:cNvGraphicFramePr>
              <a:graphicFrameLocks noChangeAspect="1"/>
            </wp:cNvGraphicFramePr>
            <a:graphic>
              <a:graphicData uri="http://schemas.openxmlformats.org/drawingml/2006/picture">
                <pic:pic>
                  <pic:nvPicPr>
                    <pic:cNvPr id="0" name="shap_lightgbm_beeswarm_grid.png"/>
                    <pic:cNvPicPr/>
                  </pic:nvPicPr>
                  <pic:blipFill>
                    <a:blip r:embed="rId20"/>
                    <a:stretch>
                      <a:fillRect/>
                    </a:stretch>
                  </pic:blipFill>
                  <pic:spPr>
                    <a:xfrm>
                      <a:off x="0" y="0"/>
                      <a:ext cx="5577840" cy="3722354"/>
                    </a:xfrm>
                    <a:prstGeom prst="rect"/>
                  </pic:spPr>
                </pic:pic>
              </a:graphicData>
            </a:graphic>
          </wp:inline>
        </w:drawing>
      </w:r>
    </w:p>
    <w:p>
      <w:pPr>
        <w:jc w:val="center"/>
      </w:pPr>
      <w:r>
        <w:rPr>
          <w:i/>
          <w:color w:val="555555"/>
          <w:sz w:val="18"/>
        </w:rPr>
        <w:t>Figure 10. SHAP beeswarm plots for tuned LightGBM components.</w:t>
      </w:r>
    </w:p>
    <w:p>
      <w:pPr>
        <w:jc w:val="center"/>
      </w:pPr>
      <w:r>
        <w:drawing>
          <wp:inline xmlns:a="http://schemas.openxmlformats.org/drawingml/2006/main" xmlns:pic="http://schemas.openxmlformats.org/drawingml/2006/picture">
            <wp:extent cx="5577840" cy="3722354"/>
            <wp:docPr id="12" name="Picture 12"/>
            <wp:cNvGraphicFramePr>
              <a:graphicFrameLocks noChangeAspect="1"/>
            </wp:cNvGraphicFramePr>
            <a:graphic>
              <a:graphicData uri="http://schemas.openxmlformats.org/drawingml/2006/picture">
                <pic:pic>
                  <pic:nvPicPr>
                    <pic:cNvPr id="0" name="shap_catboost_beeswarm_grid.png"/>
                    <pic:cNvPicPr/>
                  </pic:nvPicPr>
                  <pic:blipFill>
                    <a:blip r:embed="rId21"/>
                    <a:stretch>
                      <a:fillRect/>
                    </a:stretch>
                  </pic:blipFill>
                  <pic:spPr>
                    <a:xfrm>
                      <a:off x="0" y="0"/>
                      <a:ext cx="5577840" cy="3722354"/>
                    </a:xfrm>
                    <a:prstGeom prst="rect"/>
                  </pic:spPr>
                </pic:pic>
              </a:graphicData>
            </a:graphic>
          </wp:inline>
        </w:drawing>
      </w:r>
    </w:p>
    <w:p>
      <w:pPr>
        <w:jc w:val="center"/>
      </w:pPr>
      <w:r>
        <w:rPr>
          <w:i/>
          <w:color w:val="555555"/>
          <w:sz w:val="18"/>
        </w:rPr>
        <w:t>Figure 11. SHAP beeswarm plots for tuned CatBoost components.</w:t>
      </w:r>
    </w:p>
    <w:p>
      <w:pPr>
        <w:spacing w:before="0" w:after="120"/>
      </w:pPr>
      <w:r>
        <w:rPr>
          <w:color w:val="464646"/>
          <w:sz w:val="18"/>
        </w:rPr>
        <w:t>Interpretation: beeswarm plots provide instance-level directionality. Wide horizontal spread means the feature has strong decision impact; compact spread means lower decision impact. The absence of Label, Variant_ID, dataset name, or panel-name features among high-impact SHAP features supports the leakage-control design.</w:t>
      </w:r>
    </w:p>
    <w:p>
      <w:pPr>
        <w:pStyle w:val="Heading2"/>
      </w:pPr>
      <w:r>
        <w:t>3.5 Data Quality and Shift Diagnostics</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1080"/>
            <w:vAlign w:val="center"/>
            <w:shd w:fill="E8EEF5"/>
          </w:tcPr>
          <w:p>
            <w:pPr>
              <w:jc w:val="left"/>
            </w:pPr>
            <w:r/>
            <w:r>
              <w:rPr>
                <w:b/>
                <w:color w:val="0B2545"/>
                <w:sz w:val="18"/>
              </w:rPr>
              <w:t>Panel</w:t>
            </w:r>
          </w:p>
        </w:tc>
        <w:tc>
          <w:tcPr>
            <w:tcW w:type="dxa" w:w="1728"/>
            <w:vAlign w:val="center"/>
            <w:shd w:fill="E8EEF5"/>
          </w:tcPr>
          <w:p>
            <w:pPr>
              <w:jc w:val="left"/>
            </w:pPr>
            <w:r/>
            <w:r>
              <w:rPr>
                <w:b/>
                <w:color w:val="0B2545"/>
                <w:sz w:val="18"/>
              </w:rPr>
              <w:t>MASTER reference rows</w:t>
            </w:r>
          </w:p>
        </w:tc>
        <w:tc>
          <w:tcPr>
            <w:tcW w:type="dxa" w:w="1152"/>
            <w:vAlign w:val="center"/>
            <w:shd w:fill="E8EEF5"/>
          </w:tcPr>
          <w:p>
            <w:pPr>
              <w:jc w:val="left"/>
            </w:pPr>
            <w:r/>
            <w:r>
              <w:rPr>
                <w:b/>
                <w:color w:val="0B2545"/>
                <w:sz w:val="18"/>
              </w:rPr>
              <w:t>Panel rows</w:t>
            </w:r>
          </w:p>
        </w:tc>
        <w:tc>
          <w:tcPr>
            <w:tcW w:type="dxa" w:w="1440"/>
            <w:vAlign w:val="center"/>
            <w:shd w:fill="E8EEF5"/>
          </w:tcPr>
          <w:p>
            <w:pPr>
              <w:jc w:val="left"/>
            </w:pPr>
            <w:r/>
            <w:r>
              <w:rPr>
                <w:b/>
                <w:color w:val="0B2545"/>
                <w:sz w:val="18"/>
              </w:rPr>
              <w:t>Overlap removed</w:t>
            </w:r>
          </w:p>
        </w:tc>
        <w:tc>
          <w:tcPr>
            <w:tcW w:type="dxa" w:w="1368"/>
            <w:vAlign w:val="center"/>
            <w:shd w:fill="E8EEF5"/>
          </w:tcPr>
          <w:p>
            <w:pPr>
              <w:jc w:val="left"/>
            </w:pPr>
            <w:r/>
            <w:r>
              <w:rPr>
                <w:b/>
                <w:color w:val="0B2545"/>
                <w:sz w:val="18"/>
              </w:rPr>
              <w:t>Adversarial AUC</w:t>
            </w:r>
          </w:p>
        </w:tc>
        <w:tc>
          <w:tcPr>
            <w:tcW w:type="dxa" w:w="1080"/>
            <w:vAlign w:val="center"/>
            <w:shd w:fill="E8EEF5"/>
          </w:tcPr>
          <w:p>
            <w:pPr>
              <w:jc w:val="left"/>
            </w:pPr>
            <w:r/>
            <w:r>
              <w:rPr>
                <w:b/>
                <w:color w:val="0B2545"/>
                <w:sz w:val="18"/>
              </w:rPr>
              <w:t>Shift flag</w:t>
            </w:r>
          </w:p>
        </w:tc>
      </w:tr>
      <w:tr>
        <w:tc>
          <w:tcPr>
            <w:tcW w:type="dxa" w:w="1632"/>
            <w:vAlign w:val="center"/>
          </w:tcPr>
          <w:p>
            <w:pPr>
              <w:jc w:val="left"/>
            </w:pPr>
            <w:r/>
            <w:r>
              <w:rPr>
                <w:b w:val="0"/>
                <w:sz w:val="18"/>
              </w:rPr>
              <w:t>KANSER</w:t>
            </w:r>
          </w:p>
        </w:tc>
        <w:tc>
          <w:tcPr>
            <w:tcW w:type="dxa" w:w="1632"/>
            <w:vAlign w:val="center"/>
          </w:tcPr>
          <w:p>
            <w:pPr>
              <w:jc w:val="left"/>
            </w:pPr>
            <w:r/>
            <w:r>
              <w:rPr>
                <w:b w:val="0"/>
                <w:sz w:val="18"/>
              </w:rPr>
              <w:t>2685</w:t>
            </w:r>
          </w:p>
        </w:tc>
        <w:tc>
          <w:tcPr>
            <w:tcW w:type="dxa" w:w="1632"/>
            <w:vAlign w:val="center"/>
          </w:tcPr>
          <w:p>
            <w:pPr>
              <w:jc w:val="left"/>
            </w:pPr>
            <w:r/>
            <w:r>
              <w:rPr>
                <w:b w:val="0"/>
                <w:sz w:val="18"/>
              </w:rPr>
              <w:t>388</w:t>
            </w:r>
          </w:p>
        </w:tc>
        <w:tc>
          <w:tcPr>
            <w:tcW w:type="dxa" w:w="1632"/>
            <w:vAlign w:val="center"/>
          </w:tcPr>
          <w:p>
            <w:pPr>
              <w:jc w:val="left"/>
            </w:pPr>
            <w:r/>
            <w:r>
              <w:rPr>
                <w:b w:val="0"/>
                <w:sz w:val="18"/>
              </w:rPr>
              <w:t>246</w:t>
            </w:r>
          </w:p>
        </w:tc>
        <w:tc>
          <w:tcPr>
            <w:tcW w:type="dxa" w:w="1632"/>
            <w:vAlign w:val="center"/>
          </w:tcPr>
          <w:p>
            <w:pPr>
              <w:jc w:val="left"/>
            </w:pPr>
            <w:r/>
            <w:r>
              <w:rPr>
                <w:b w:val="0"/>
                <w:sz w:val="18"/>
              </w:rPr>
              <w:t>0.732</w:t>
            </w:r>
          </w:p>
        </w:tc>
        <w:tc>
          <w:tcPr>
            <w:tcW w:type="dxa" w:w="1632"/>
            <w:vAlign w:val="center"/>
          </w:tcPr>
          <w:p>
            <w:pPr>
              <w:jc w:val="left"/>
            </w:pPr>
            <w:r/>
            <w:r>
              <w:rPr>
                <w:b w:val="0"/>
                <w:sz w:val="18"/>
              </w:rPr>
              <w:t>Yes</w:t>
            </w:r>
          </w:p>
        </w:tc>
      </w:tr>
      <w:tr>
        <w:tc>
          <w:tcPr>
            <w:tcW w:type="dxa" w:w="1632"/>
            <w:vAlign w:val="center"/>
          </w:tcPr>
          <w:p>
            <w:pPr>
              <w:jc w:val="left"/>
            </w:pPr>
            <w:r/>
            <w:r>
              <w:rPr>
                <w:b w:val="0"/>
                <w:sz w:val="18"/>
              </w:rPr>
              <w:t>PAH</w:t>
            </w:r>
          </w:p>
        </w:tc>
        <w:tc>
          <w:tcPr>
            <w:tcW w:type="dxa" w:w="1632"/>
            <w:vAlign w:val="center"/>
          </w:tcPr>
          <w:p>
            <w:pPr>
              <w:jc w:val="left"/>
            </w:pPr>
            <w:r/>
            <w:r>
              <w:rPr>
                <w:b w:val="0"/>
                <w:sz w:val="18"/>
              </w:rPr>
              <w:t>2676</w:t>
            </w:r>
          </w:p>
        </w:tc>
        <w:tc>
          <w:tcPr>
            <w:tcW w:type="dxa" w:w="1632"/>
            <w:vAlign w:val="center"/>
          </w:tcPr>
          <w:p>
            <w:pPr>
              <w:jc w:val="left"/>
            </w:pPr>
            <w:r/>
            <w:r>
              <w:rPr>
                <w:b w:val="0"/>
                <w:sz w:val="18"/>
              </w:rPr>
              <w:t>372</w:t>
            </w:r>
          </w:p>
        </w:tc>
        <w:tc>
          <w:tcPr>
            <w:tcW w:type="dxa" w:w="1632"/>
            <w:vAlign w:val="center"/>
          </w:tcPr>
          <w:p>
            <w:pPr>
              <w:jc w:val="left"/>
            </w:pPr>
            <w:r/>
            <w:r>
              <w:rPr>
                <w:b w:val="0"/>
                <w:sz w:val="18"/>
              </w:rPr>
              <w:t>255</w:t>
            </w:r>
          </w:p>
        </w:tc>
        <w:tc>
          <w:tcPr>
            <w:tcW w:type="dxa" w:w="1632"/>
            <w:vAlign w:val="center"/>
          </w:tcPr>
          <w:p>
            <w:pPr>
              <w:jc w:val="left"/>
            </w:pPr>
            <w:r/>
            <w:r>
              <w:rPr>
                <w:b w:val="0"/>
                <w:sz w:val="18"/>
              </w:rPr>
              <w:t>0.983</w:t>
            </w:r>
          </w:p>
        </w:tc>
        <w:tc>
          <w:tcPr>
            <w:tcW w:type="dxa" w:w="1632"/>
            <w:vAlign w:val="center"/>
          </w:tcPr>
          <w:p>
            <w:pPr>
              <w:jc w:val="left"/>
            </w:pPr>
            <w:r/>
            <w:r>
              <w:rPr>
                <w:b w:val="0"/>
                <w:sz w:val="18"/>
              </w:rPr>
              <w:t>Yes</w:t>
            </w:r>
          </w:p>
        </w:tc>
      </w:tr>
      <w:tr>
        <w:tc>
          <w:tcPr>
            <w:tcW w:type="dxa" w:w="1632"/>
            <w:vAlign w:val="center"/>
          </w:tcPr>
          <w:p>
            <w:pPr>
              <w:jc w:val="left"/>
            </w:pPr>
            <w:r/>
            <w:r>
              <w:rPr>
                <w:b w:val="0"/>
                <w:sz w:val="18"/>
              </w:rPr>
              <w:t>CFTR</w:t>
            </w:r>
          </w:p>
        </w:tc>
        <w:tc>
          <w:tcPr>
            <w:tcW w:type="dxa" w:w="1632"/>
            <w:vAlign w:val="center"/>
          </w:tcPr>
          <w:p>
            <w:pPr>
              <w:jc w:val="left"/>
            </w:pPr>
            <w:r/>
            <w:r>
              <w:rPr>
                <w:b w:val="0"/>
                <w:sz w:val="18"/>
              </w:rPr>
              <w:t>2854</w:t>
            </w:r>
          </w:p>
        </w:tc>
        <w:tc>
          <w:tcPr>
            <w:tcW w:type="dxa" w:w="1632"/>
            <w:vAlign w:val="center"/>
          </w:tcPr>
          <w:p>
            <w:pPr>
              <w:jc w:val="left"/>
            </w:pPr>
            <w:r/>
            <w:r>
              <w:rPr>
                <w:b w:val="0"/>
                <w:sz w:val="18"/>
              </w:rPr>
              <w:t>111</w:t>
            </w:r>
          </w:p>
        </w:tc>
        <w:tc>
          <w:tcPr>
            <w:tcW w:type="dxa" w:w="1632"/>
            <w:vAlign w:val="center"/>
          </w:tcPr>
          <w:p>
            <w:pPr>
              <w:jc w:val="left"/>
            </w:pPr>
            <w:r/>
            <w:r>
              <w:rPr>
                <w:b w:val="0"/>
                <w:sz w:val="18"/>
              </w:rPr>
              <w:t>77</w:t>
            </w:r>
          </w:p>
        </w:tc>
        <w:tc>
          <w:tcPr>
            <w:tcW w:type="dxa" w:w="1632"/>
            <w:vAlign w:val="center"/>
          </w:tcPr>
          <w:p>
            <w:pPr>
              <w:jc w:val="left"/>
            </w:pPr>
            <w:r/>
            <w:r>
              <w:rPr>
                <w:b w:val="0"/>
                <w:sz w:val="18"/>
              </w:rPr>
              <w:t>0.963</w:t>
            </w:r>
          </w:p>
        </w:tc>
        <w:tc>
          <w:tcPr>
            <w:tcW w:type="dxa" w:w="1632"/>
            <w:vAlign w:val="center"/>
          </w:tcPr>
          <w:p>
            <w:pPr>
              <w:jc w:val="left"/>
            </w:pPr>
            <w:r/>
            <w:r>
              <w:rPr>
                <w:b w:val="0"/>
                <w:sz w:val="18"/>
              </w:rPr>
              <w:t>Yes</w:t>
            </w:r>
          </w:p>
        </w:tc>
      </w:tr>
    </w:tbl>
    <w:p/>
    <w:p>
      <w:pPr>
        <w:jc w:val="center"/>
      </w:pPr>
      <w:r>
        <w:drawing>
          <wp:inline xmlns:a="http://schemas.openxmlformats.org/drawingml/2006/main" xmlns:pic="http://schemas.openxmlformats.org/drawingml/2006/picture">
            <wp:extent cx="4572000" cy="2770143"/>
            <wp:docPr id="13" name="Picture 13"/>
            <wp:cNvGraphicFramePr>
              <a:graphicFrameLocks noChangeAspect="1"/>
            </wp:cNvGraphicFramePr>
            <a:graphic>
              <a:graphicData uri="http://schemas.openxmlformats.org/drawingml/2006/picture">
                <pic:pic>
                  <pic:nvPicPr>
                    <pic:cNvPr id="0" name="06_adversarial_panel_shift.png"/>
                    <pic:cNvPicPr/>
                  </pic:nvPicPr>
                  <pic:blipFill>
                    <a:blip r:embed="rId22"/>
                    <a:stretch>
                      <a:fillRect/>
                    </a:stretch>
                  </pic:blipFill>
                  <pic:spPr>
                    <a:xfrm>
                      <a:off x="0" y="0"/>
                      <a:ext cx="4572000" cy="2770143"/>
                    </a:xfrm>
                    <a:prstGeom prst="rect"/>
                  </pic:spPr>
                </pic:pic>
              </a:graphicData>
            </a:graphic>
          </wp:inline>
        </w:drawing>
      </w:r>
    </w:p>
    <w:p>
      <w:pPr>
        <w:jc w:val="center"/>
      </w:pPr>
      <w:r>
        <w:rPr>
          <w:i/>
          <w:color w:val="555555"/>
          <w:sz w:val="18"/>
        </w:rPr>
        <w:t>Figure 12. Adversarial validation results: panel shift relative to MASTER.</w:t>
      </w:r>
    </w:p>
    <w:p>
      <w:pPr>
        <w:spacing w:before="0" w:after="120"/>
      </w:pPr>
      <w:r>
        <w:rPr>
          <w:color w:val="464646"/>
          <w:sz w:val="18"/>
        </w:rPr>
        <w:t>Interpretation: high adversarial AUC for PAH and CFTR indicates covariate shift between MASTER and the panel distributions. This is a domain-adaptation risk, not evidence of direct label leakage.</w:t>
      </w:r>
    </w:p>
    <w:p>
      <w:r>
        <w:t>The adversarial AUC values indicate substantial domain shift between MASTER and PAH/CFTR and moderate shift for KANSER. This is reported as covariate shift, not label leakage. SHAP summaries did not identify direct label, Variant_ID, dataset, or panel-marker features among dominant predictors.</w:t>
      </w:r>
    </w:p>
    <w:p>
      <w:pPr>
        <w:pStyle w:val="Heading1"/>
      </w:pPr>
      <w:r>
        <w:t>4. Conclusion</w:t>
      </w:r>
    </w:p>
    <w:p>
      <w:r>
        <w:t>The implemented system successfully reproduces and extends the submitted PDR concept. It is a complete, reproducible, CPU-deployable pipeline for anonymized pathogenicity prediction, including preprocessing, panel adaptation, repeated cross-validation, threshold tuning, Optuna search, SHAP explainability, and diagnostic reporting.</w:t>
      </w:r>
    </w:p>
    <w:p>
      <w:pPr>
        <w:pStyle w:val="ListBullet"/>
        <w:spacing w:after="60"/>
      </w:pPr>
      <w:r>
        <w:t>Strongest results are obtained on CFTR and KANSER, where panel adaptation and threshold tuning produce Macro F1 of 0.878 and 0.872 in the main full-CV run.</w:t>
      </w:r>
    </w:p>
    <w:p>
      <w:pPr>
        <w:pStyle w:val="ListBullet"/>
        <w:spacing w:after="60"/>
      </w:pPr>
      <w:r>
        <w:t>MASTER reaches stable general performance despite the largest heterogeneity, with Macro F1 0.772 and AUPRC 0.929.</w:t>
      </w:r>
    </w:p>
    <w:p>
      <w:pPr>
        <w:pStyle w:val="ListBullet"/>
        <w:spacing w:after="60"/>
      </w:pPr>
      <w:r>
        <w:t>PAH remains the most difficult panel for the benign class because only 62 benign examples are available; Optuna improves the tuned-study Macro F1 to 0.758.</w:t>
      </w:r>
    </w:p>
    <w:p>
      <w:pPr>
        <w:pStyle w:val="ListBullet"/>
        <w:spacing w:after="60"/>
      </w:pPr>
      <w:r>
        <w:t>False negatives are explicitly monitored: the final thresholds keep pathogenic recall high across panels, especially PAH 0.961 and CFTR 0.967 in the main run.</w:t>
      </w:r>
    </w:p>
    <w:p>
      <w:pPr>
        <w:pStyle w:val="ListBullet"/>
        <w:spacing w:after="60"/>
      </w:pPr>
      <w:r>
        <w:t>The main residual risk is domain shift between MASTER and panels, not direct target leakage.</w:t>
      </w:r>
    </w:p>
    <w:p>
      <w:r>
        <w:t>For the final competition stage, the most important operational safeguards are to freeze preprocessing inside pipelines, retain the overlap-removal rule for foundation modeling, avoid fitting any transformations on test data, and submit predictions with the dataset-specific thresholds learned from out-of-fold validation.</w:t>
      </w:r>
    </w:p>
    <w:p>
      <w:pPr>
        <w:pStyle w:val="Heading1"/>
      </w:pPr>
      <w:r>
        <w:t>5. Bibliography and Report Layout</w:t>
      </w:r>
    </w:p>
    <w:p>
      <w:pPr>
        <w:pStyle w:val="ListNumber"/>
        <w:spacing w:after="60"/>
      </w:pPr>
      <w:r>
        <w:t>Brandes, N. et al. Genome-wide prediction of disease variant effects with a deep protein language model. Nature Genetics, 55, 1512-1522, 2023.</w:t>
      </w:r>
    </w:p>
    <w:p>
      <w:pPr>
        <w:pStyle w:val="ListNumber"/>
        <w:spacing w:after="60"/>
      </w:pPr>
      <w:r>
        <w:t>Kang, M. et al. Gene-specific machine learning for pathogenicity prediction of rare BRCA1 and BRCA2 missense variants. Scientific Reports, 13, 10478, 2023.</w:t>
      </w:r>
    </w:p>
    <w:p>
      <w:pPr>
        <w:pStyle w:val="ListNumber"/>
        <w:spacing w:after="60"/>
      </w:pPr>
      <w:r>
        <w:t>Evans, P. et al. Genetic variant pathogenicity prediction trained using disease-specific clinical sequencing data sets. Genome Research, 29, 1144-1151, 2019.</w:t>
      </w:r>
    </w:p>
    <w:p>
      <w:pPr>
        <w:pStyle w:val="ListNumber"/>
        <w:spacing w:after="60"/>
      </w:pPr>
      <w:r>
        <w:t>Bonetti, E. et al. RENOVO-NF1 accurately predicts NF1 missense variant pathogenicity. Human Genomics, 19, 106, 2025.</w:t>
      </w:r>
    </w:p>
    <w:p>
      <w:pPr>
        <w:pStyle w:val="ListNumber"/>
        <w:spacing w:after="60"/>
      </w:pPr>
      <w:r>
        <w:t>Lundberg, S. M. and Lee, S.-I. A unified approach to interpreting model predictions. Advances in Neural Information Processing Systems, 2017.</w:t>
      </w:r>
    </w:p>
    <w:p>
      <w:pPr>
        <w:pStyle w:val="ListNumber"/>
        <w:spacing w:after="60"/>
      </w:pPr>
      <w:r>
        <w:t>Akiba, T. et al. Optuna: A next-generation hyperparameter optimization framework. KDD, 2019.</w:t>
      </w:r>
    </w:p>
    <w:p>
      <w:pPr>
        <w:pStyle w:val="ListNumber"/>
        <w:spacing w:after="60"/>
      </w:pPr>
      <w:r>
        <w:t>Ke, G. et al. LightGBM: A highly efficient gradient boosting decision tree. NeurIPS, 2017.</w:t>
      </w:r>
    </w:p>
    <w:p>
      <w:pPr>
        <w:pStyle w:val="ListNumber"/>
        <w:spacing w:after="60"/>
      </w:pPr>
      <w:r>
        <w:t>Prokhorenkova, L. et al. CatBoost: unbiased boosting with categorical features. NeurIPS, 2018.</w:t>
      </w:r>
    </w:p>
    <w:p>
      <w:r>
        <w:t>All numerical results in this report are generated from local reproducible artifacts under outputs_full/ and outputs_optuna_fixed/. Figures are inserted from the generated report_figures, Optuna, and SHAP output directories.</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RUVEGO pathogenicity prediction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