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COMPANY DECISION CANCELLATION 11 UAT TEST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 หมู่ที่ 10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อาคารฮาร์เบอร์ มอลล์ ชั้นที่ 11 ห้อง 11A01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สุขุมวิท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04/05/2566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15,003.91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15,003.91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13,753.63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04/05/2566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บัตรเครดิต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1,250.32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1,250.32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05/06/2566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11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05/04/2567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1,250.33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