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20/03/2566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(ขายผ่านทางอิเล็กทรอนิกส์ (online))</w:t>
            </w: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="00F566F9" w:rsidRPr="00BA5C72">
              <w:rPr>
                <w:rFonts w:ascii="Angsana New" w:hAnsi="Angsana New" w:cs="Angsana New"/>
                <w:sz w:val="18"/>
                <w:szCs w:val="18"/>
              </w:rPr>
              <w:t>(sell through electronic channel (online))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C1000-02498732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พายุเข็ม สาลี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4/222 HM Building, Sukhumvit Rd., ทุ่งสุขลา, ศรีราชา, ชลบุรี, 20230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25/03/2566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25/03/2567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1.30B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Platinum/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PX125/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PX 125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823ฐu9845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บุรีรัมย์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ZVSVL97YNIV8IDQV4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เกิน 75 ซี.ซี. ถึง 125 ซี.ซี.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2.00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21.14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323.14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20/03/2566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20/03/2566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823ฐu9845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บุรีรัมย์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ZVSVL97YNIV8IDQV4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25/03/2566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25/03/2567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C1000-02498732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