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3477B3" w:rsidRDefault="003477B3" w:rsidP="004B2E55">
      <w:pPr>
        <w:jc w:val="center"/>
        <w:rPr>
          <w:rFonts w:cstheme="minorHAnsi"/>
          <w:b/>
          <w:sz w:val="32"/>
        </w:rPr>
      </w:pPr>
      <w:r w:rsidRPr="003477B3">
        <w:rPr>
          <w:rFonts w:cstheme="minorHAnsi"/>
          <w:b/>
          <w:noProof/>
          <w:sz w:val="32"/>
        </w:rPr>
        <mc:AlternateContent>
          <mc:Choice Requires="wps">
            <w:drawing>
              <wp:anchor distT="45720" distB="45720" distL="114300" distR="114300" simplePos="0" relativeHeight="251661312" behindDoc="0" locked="0" layoutInCell="1" allowOverlap="1">
                <wp:simplePos x="0" y="0"/>
                <wp:positionH relativeFrom="column">
                  <wp:posOffset>-295276</wp:posOffset>
                </wp:positionH>
                <wp:positionV relativeFrom="paragraph">
                  <wp:posOffset>180975</wp:posOffset>
                </wp:positionV>
                <wp:extent cx="6486525" cy="1404620"/>
                <wp:effectExtent l="0" t="0" r="28575" b="139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1404620"/>
                        </a:xfrm>
                        <a:prstGeom prst="rect">
                          <a:avLst/>
                        </a:prstGeom>
                        <a:solidFill>
                          <a:srgbClr val="FFFFFF"/>
                        </a:solidFill>
                        <a:ln w="9525">
                          <a:solidFill>
                            <a:srgbClr val="000000"/>
                          </a:solidFill>
                          <a:miter lim="800000"/>
                          <a:headEnd/>
                          <a:tailEnd/>
                        </a:ln>
                      </wps:spPr>
                      <wps:txbx>
                        <w:txbxContent>
                          <w:p w:rsidR="003477B3" w:rsidRPr="003477B3" w:rsidRDefault="003477B3" w:rsidP="003477B3">
                            <w:pPr>
                              <w:jc w:val="center"/>
                              <w:rPr>
                                <w:rFonts w:cstheme="minorHAnsi"/>
                                <w:b/>
                                <w:sz w:val="32"/>
                              </w:rPr>
                            </w:pPr>
                            <w:r>
                              <w:rPr>
                                <w:rFonts w:cstheme="minorHAnsi"/>
                                <w:b/>
                                <w:sz w:val="32"/>
                              </w:rPr>
                              <w:t xml:space="preserve">DRAFT – This is not a final version of the DEPiCTS data requirements or data management strategy document.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left:0;text-align:left;margin-left:-23.25pt;margin-top:14.25pt;width:510.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">
                <v:textbox style="mso-fit-shape-to-text:t">
                  <w:txbxContent>
                    <w:p w:rsidR="003477B3" w:rsidRPr="003477B3" w:rsidRDefault="003477B3" w:rsidP="003477B3">
                      <w:pPr>
                        <w:jc w:val="center"/>
                        <w:rPr>
                          <w:rFonts w:cstheme="minorHAnsi"/>
                          <w:b/>
                          <w:sz w:val="32"/>
                        </w:rPr>
                      </w:pPr>
                      <w:r>
                        <w:rPr>
                          <w:rFonts w:cstheme="minorHAnsi"/>
                          <w:b/>
                          <w:sz w:val="32"/>
                        </w:rPr>
                        <w:t xml:space="preserve">DRAFT – This is not a final version of the </w:t>
                      </w:r>
                      <w:proofErr w:type="spellStart"/>
                      <w:r>
                        <w:rPr>
                          <w:rFonts w:cstheme="minorHAnsi"/>
                          <w:b/>
                          <w:sz w:val="32"/>
                        </w:rPr>
                        <w:t>DEPiCTS</w:t>
                      </w:r>
                      <w:proofErr w:type="spellEnd"/>
                      <w:r>
                        <w:rPr>
                          <w:rFonts w:cstheme="minorHAnsi"/>
                          <w:b/>
                          <w:sz w:val="32"/>
                        </w:rPr>
                        <w:t xml:space="preserve"> data requirements or </w:t>
                      </w:r>
                      <w:proofErr w:type="gramStart"/>
                      <w:r>
                        <w:rPr>
                          <w:rFonts w:cstheme="minorHAnsi"/>
                          <w:b/>
                          <w:sz w:val="32"/>
                        </w:rPr>
                        <w:t>data management strategy</w:t>
                      </w:r>
                      <w:r>
                        <w:rPr>
                          <w:rFonts w:cstheme="minorHAnsi"/>
                          <w:b/>
                          <w:sz w:val="32"/>
                        </w:rPr>
                        <w:t xml:space="preserve"> document</w:t>
                      </w:r>
                      <w:proofErr w:type="gramEnd"/>
                      <w:r>
                        <w:rPr>
                          <w:rFonts w:cstheme="minorHAnsi"/>
                          <w:b/>
                          <w:sz w:val="32"/>
                        </w:rPr>
                        <w:t xml:space="preserve">. </w:t>
                      </w:r>
                    </w:p>
                  </w:txbxContent>
                </v:textbox>
              </v:shape>
            </w:pict>
          </mc:Fallback>
        </mc:AlternateContent>
      </w:r>
    </w:p>
    <w:p w:rsidR="003477B3" w:rsidRDefault="003477B3" w:rsidP="004B2E55">
      <w:pPr>
        <w:jc w:val="center"/>
        <w:rPr>
          <w:rFonts w:cstheme="minorHAnsi"/>
          <w:b/>
          <w:sz w:val="32"/>
        </w:rPr>
      </w:pPr>
    </w:p>
    <w:p w:rsidR="003477B3" w:rsidRDefault="003477B3" w:rsidP="004B2E55">
      <w:pPr>
        <w:jc w:val="center"/>
        <w:rPr>
          <w:rFonts w:cstheme="minorHAnsi"/>
          <w:b/>
          <w:sz w:val="32"/>
        </w:rPr>
      </w:pPr>
    </w:p>
    <w:p w:rsidR="003477B3" w:rsidRDefault="003477B3" w:rsidP="004B2E55">
      <w:pPr>
        <w:jc w:val="center"/>
        <w:rPr>
          <w:rFonts w:cstheme="minorHAnsi"/>
          <w:b/>
          <w:sz w:val="32"/>
        </w:rPr>
      </w:pPr>
    </w:p>
    <w:p w:rsidR="001C1D92" w:rsidRPr="004B2E55" w:rsidRDefault="004B2E55" w:rsidP="004B2E55">
      <w:pPr>
        <w:jc w:val="center"/>
        <w:rPr>
          <w:rFonts w:cstheme="minorHAnsi"/>
          <w:b/>
          <w:sz w:val="32"/>
        </w:rPr>
      </w:pPr>
      <w:r w:rsidRPr="004B2E55">
        <w:rPr>
          <w:rFonts w:cstheme="minorHAnsi"/>
          <w:b/>
          <w:sz w:val="32"/>
        </w:rPr>
        <w:t>DEPiCTS – Data Requirements, Data Management</w:t>
      </w:r>
    </w:p>
    <w:p w:rsidR="004B2E55" w:rsidRDefault="004B2E55" w:rsidP="001C1D92">
      <w:pPr>
        <w:rPr>
          <w:rFonts w:cstheme="minorHAnsi"/>
          <w:highlight w:val="yellow"/>
        </w:rPr>
      </w:pPr>
    </w:p>
    <w:p w:rsidR="004B2E55" w:rsidRDefault="004B2E55" w:rsidP="001C1D92">
      <w:pPr>
        <w:rPr>
          <w:rFonts w:cstheme="minorHAnsi"/>
          <w:highlight w:val="yellow"/>
        </w:rPr>
      </w:pPr>
      <w:r>
        <w:rPr>
          <w:rFonts w:cstheme="minorHAnsi"/>
          <w:highlight w:val="yellow"/>
        </w:rPr>
        <w:t>Version 1</w:t>
      </w:r>
    </w:p>
    <w:p w:rsidR="004B2E55" w:rsidRDefault="004B2E55" w:rsidP="001C1D92">
      <w:pPr>
        <w:rPr>
          <w:rFonts w:cstheme="minorHAnsi"/>
          <w:highlight w:val="yellow"/>
        </w:rPr>
      </w:pPr>
      <w:r>
        <w:rPr>
          <w:rFonts w:cstheme="minorHAnsi"/>
          <w:highlight w:val="yellow"/>
        </w:rPr>
        <w:t>June 14, 2017</w:t>
      </w:r>
    </w:p>
    <w:p w:rsidR="004B2E55" w:rsidRDefault="004B2E55" w:rsidP="001C1D92">
      <w:pPr>
        <w:rPr>
          <w:rFonts w:cstheme="minorHAnsi"/>
          <w:highlight w:val="yellow"/>
        </w:rPr>
      </w:pPr>
    </w:p>
    <w:p w:rsidR="000878E0" w:rsidRPr="00972CB0" w:rsidRDefault="000878E0" w:rsidP="000878E0">
      <w:pPr>
        <w:pStyle w:val="Heading1"/>
        <w:rPr>
          <w:rFonts w:asciiTheme="minorHAnsi" w:hAnsiTheme="minorHAnsi" w:cstheme="minorHAnsi"/>
        </w:rPr>
      </w:pPr>
      <w:r w:rsidRPr="00972CB0">
        <w:rPr>
          <w:rFonts w:asciiTheme="minorHAnsi" w:hAnsiTheme="minorHAnsi" w:cstheme="minorHAnsi"/>
        </w:rPr>
        <w:t>Acronyms</w:t>
      </w:r>
    </w:p>
    <w:p w:rsidR="000878E0" w:rsidRPr="00972CB0" w:rsidRDefault="000878E0" w:rsidP="000878E0">
      <w:pPr>
        <w:rPr>
          <w:rFonts w:cstheme="minorHAnsi"/>
        </w:rPr>
      </w:pPr>
    </w:p>
    <w:p w:rsidR="000878E0" w:rsidRPr="00972CB0" w:rsidRDefault="000878E0" w:rsidP="000878E0">
      <w:pPr>
        <w:rPr>
          <w:rFonts w:cstheme="minorHAnsi"/>
        </w:rPr>
      </w:pPr>
      <w:r w:rsidRPr="00972CB0">
        <w:rPr>
          <w:rFonts w:cstheme="minorHAnsi"/>
        </w:rPr>
        <w:t>SGS = Stroke Guidance System</w:t>
      </w:r>
    </w:p>
    <w:p w:rsidR="000878E0" w:rsidRPr="00972CB0" w:rsidRDefault="000878E0" w:rsidP="000878E0">
      <w:pPr>
        <w:rPr>
          <w:rFonts w:cstheme="minorHAnsi"/>
        </w:rPr>
      </w:pPr>
      <w:r w:rsidRPr="00972CB0">
        <w:rPr>
          <w:rFonts w:cstheme="minorHAnsi"/>
        </w:rPr>
        <w:t>EDW = Island Health Enterprise Data Warehouse</w:t>
      </w:r>
    </w:p>
    <w:p w:rsidR="000878E0" w:rsidRPr="00972CB0" w:rsidRDefault="000878E0" w:rsidP="000878E0">
      <w:pPr>
        <w:rPr>
          <w:rFonts w:cstheme="minorHAnsi"/>
        </w:rPr>
      </w:pPr>
      <w:r w:rsidRPr="00972CB0">
        <w:rPr>
          <w:rFonts w:cstheme="minorHAnsi"/>
        </w:rPr>
        <w:t>ACVS = Acute Cerebrovascular Syndrome</w:t>
      </w:r>
    </w:p>
    <w:p w:rsidR="000878E0" w:rsidRPr="00972CB0" w:rsidRDefault="000878E0" w:rsidP="000878E0">
      <w:pPr>
        <w:rPr>
          <w:rFonts w:cstheme="minorHAnsi"/>
        </w:rPr>
      </w:pPr>
      <w:r w:rsidRPr="00972CB0">
        <w:rPr>
          <w:rFonts w:cstheme="minorHAnsi"/>
        </w:rPr>
        <w:t>TIA = Transient Ischemic Attack</w:t>
      </w:r>
    </w:p>
    <w:p w:rsidR="000878E0" w:rsidRPr="00972CB0" w:rsidRDefault="000878E0" w:rsidP="000878E0">
      <w:pPr>
        <w:rPr>
          <w:rFonts w:cstheme="minorHAnsi"/>
        </w:rPr>
      </w:pPr>
      <w:r w:rsidRPr="00972CB0">
        <w:rPr>
          <w:rFonts w:cstheme="minorHAnsi"/>
        </w:rPr>
        <w:t>ED = Emergency Department</w:t>
      </w:r>
    </w:p>
    <w:p w:rsidR="000878E0" w:rsidRPr="00972CB0" w:rsidRDefault="000878E0" w:rsidP="000878E0">
      <w:pPr>
        <w:rPr>
          <w:rFonts w:cstheme="minorHAnsi"/>
        </w:rPr>
      </w:pPr>
      <w:r w:rsidRPr="00972CB0">
        <w:rPr>
          <w:rFonts w:cstheme="minorHAnsi"/>
        </w:rPr>
        <w:t>CTAS = Canadian Triage …………….</w:t>
      </w:r>
    </w:p>
    <w:p w:rsidR="000878E0" w:rsidRPr="00972CB0" w:rsidRDefault="000878E0" w:rsidP="000878E0">
      <w:pPr>
        <w:rPr>
          <w:rFonts w:cstheme="minorHAnsi"/>
        </w:rPr>
      </w:pPr>
      <w:r w:rsidRPr="00972CB0">
        <w:rPr>
          <w:rFonts w:cstheme="minorHAnsi"/>
        </w:rPr>
        <w:t>NACRS = National Ambulatory Care Reporting System</w:t>
      </w:r>
    </w:p>
    <w:p w:rsidR="000878E0" w:rsidRPr="00972CB0" w:rsidRDefault="000878E0" w:rsidP="000878E0">
      <w:pPr>
        <w:pStyle w:val="Heading1"/>
        <w:rPr>
          <w:rFonts w:asciiTheme="minorHAnsi" w:hAnsiTheme="minorHAnsi" w:cstheme="minorHAnsi"/>
        </w:rPr>
      </w:pPr>
      <w:r w:rsidRPr="00972CB0">
        <w:rPr>
          <w:rFonts w:asciiTheme="minorHAnsi" w:hAnsiTheme="minorHAnsi" w:cstheme="minorHAnsi"/>
        </w:rPr>
        <w:t>Research Cohorts</w:t>
      </w:r>
    </w:p>
    <w:p w:rsidR="002D0727" w:rsidRPr="00972CB0" w:rsidRDefault="002D0727">
      <w:pPr>
        <w:rPr>
          <w:rFonts w:cstheme="minorHAnsi"/>
        </w:rPr>
      </w:pPr>
      <w:r w:rsidRPr="00972CB0">
        <w:rPr>
          <w:rFonts w:cstheme="minorHAnsi"/>
        </w:rPr>
        <w:t>There are two relevant groups of subjects:</w:t>
      </w:r>
    </w:p>
    <w:p w:rsidR="002D0727" w:rsidRPr="00972CB0" w:rsidRDefault="00332CF7" w:rsidP="002D0727">
      <w:pPr>
        <w:pStyle w:val="ListParagraph"/>
        <w:numPr>
          <w:ilvl w:val="0"/>
          <w:numId w:val="7"/>
        </w:numPr>
        <w:rPr>
          <w:rFonts w:cstheme="minorHAnsi"/>
        </w:rPr>
      </w:pPr>
      <w:r w:rsidRPr="00972CB0">
        <w:rPr>
          <w:rFonts w:cstheme="minorHAnsi"/>
        </w:rPr>
        <w:t>SRAU Cohort</w:t>
      </w:r>
      <w:r w:rsidR="009F1631" w:rsidRPr="00972CB0">
        <w:rPr>
          <w:rFonts w:cstheme="minorHAnsi"/>
        </w:rPr>
        <w:t xml:space="preserve"> </w:t>
      </w:r>
      <w:r w:rsidR="009F1631" w:rsidRPr="00972CB0">
        <w:rPr>
          <w:rFonts w:cstheme="minorHAnsi"/>
          <w:highlight w:val="yellow"/>
        </w:rPr>
        <w:t>[or whatever you name it]</w:t>
      </w:r>
      <w:r w:rsidR="009F1631" w:rsidRPr="00972CB0">
        <w:rPr>
          <w:rFonts w:cstheme="minorHAnsi"/>
        </w:rPr>
        <w:t xml:space="preserve"> </w:t>
      </w:r>
      <w:r w:rsidRPr="00972CB0">
        <w:rPr>
          <w:rFonts w:cstheme="minorHAnsi"/>
        </w:rPr>
        <w:t xml:space="preserve"> - </w:t>
      </w:r>
      <w:r w:rsidR="002D0727" w:rsidRPr="00972CB0">
        <w:rPr>
          <w:rFonts w:cstheme="minorHAnsi"/>
        </w:rPr>
        <w:t xml:space="preserve">Patients who have been seen in the Stroke Rapid Assessment Unit (SRAU) – these are the patients for whom detailed </w:t>
      </w:r>
      <w:r w:rsidR="000878E0" w:rsidRPr="00972CB0">
        <w:rPr>
          <w:rFonts w:cstheme="minorHAnsi"/>
        </w:rPr>
        <w:t>data are collected and analyzed – see Section 3 below entitled “Data Requirements – Patients Seen in SRAU”</w:t>
      </w:r>
      <w:r w:rsidR="00E82A46">
        <w:rPr>
          <w:rFonts w:cstheme="minorHAnsi"/>
        </w:rPr>
        <w:t>.</w:t>
      </w:r>
    </w:p>
    <w:p w:rsidR="00984C9D" w:rsidRPr="00972CB0" w:rsidRDefault="002D0727" w:rsidP="000878E0">
      <w:pPr>
        <w:pStyle w:val="ListParagraph"/>
        <w:numPr>
          <w:ilvl w:val="0"/>
          <w:numId w:val="7"/>
        </w:numPr>
        <w:rPr>
          <w:rFonts w:cstheme="minorHAnsi"/>
          <w:lang w:val="en-CA"/>
        </w:rPr>
      </w:pPr>
      <w:r w:rsidRPr="00972CB0">
        <w:rPr>
          <w:rFonts w:cstheme="minorHAnsi"/>
        </w:rPr>
        <w:t>All patients</w:t>
      </w:r>
      <w:r w:rsidR="00E82A46">
        <w:rPr>
          <w:rFonts w:cstheme="minorHAnsi"/>
        </w:rPr>
        <w:t xml:space="preserve"> with records in the EDW</w:t>
      </w:r>
      <w:r w:rsidRPr="00972CB0">
        <w:rPr>
          <w:rFonts w:cstheme="minorHAnsi"/>
        </w:rPr>
        <w:t xml:space="preserve"> – in order to generate estimates of base rates </w:t>
      </w:r>
      <w:r w:rsidR="000878E0" w:rsidRPr="00972CB0">
        <w:rPr>
          <w:rFonts w:cstheme="minorHAnsi"/>
        </w:rPr>
        <w:t xml:space="preserve">for ACVS and related conditions – see Section 4 below entitled “Data Requirements - </w:t>
      </w:r>
      <w:r w:rsidRPr="00972CB0">
        <w:rPr>
          <w:rFonts w:cstheme="minorHAnsi"/>
          <w:lang w:val="en-CA"/>
        </w:rPr>
        <w:t>Data collected on all patients in EDW</w:t>
      </w:r>
      <w:r w:rsidR="00E82A46">
        <w:rPr>
          <w:rFonts w:cstheme="minorHAnsi"/>
          <w:lang w:val="en-CA"/>
        </w:rPr>
        <w:t xml:space="preserve">”. These data are only used to generate aggregate level statistics re: incidence/prevalence of ACVS and related conditions. </w:t>
      </w:r>
    </w:p>
    <w:p w:rsidR="00332CF7" w:rsidRPr="00972CB0" w:rsidRDefault="00332CF7" w:rsidP="00332CF7">
      <w:pPr>
        <w:rPr>
          <w:rFonts w:cstheme="minorHAnsi"/>
          <w:lang w:val="en-CA"/>
        </w:rPr>
      </w:pPr>
    </w:p>
    <w:p w:rsidR="009F1631" w:rsidRPr="00972CB0" w:rsidRDefault="009F1631" w:rsidP="00332CF7">
      <w:pPr>
        <w:rPr>
          <w:rFonts w:cstheme="minorHAnsi"/>
          <w:lang w:val="en-CA"/>
        </w:rPr>
      </w:pPr>
      <w:r w:rsidRPr="00972CB0">
        <w:rPr>
          <w:rFonts w:cstheme="minorHAnsi"/>
          <w:lang w:val="en-CA"/>
        </w:rPr>
        <w:t xml:space="preserve">There are an estimated </w:t>
      </w:r>
      <w:r w:rsidRPr="00972CB0">
        <w:rPr>
          <w:rFonts w:cstheme="minorHAnsi"/>
          <w:highlight w:val="yellow"/>
          <w:lang w:val="en-CA"/>
        </w:rPr>
        <w:t>XXXXX</w:t>
      </w:r>
      <w:r w:rsidRPr="00972CB0">
        <w:rPr>
          <w:rFonts w:cstheme="minorHAnsi"/>
          <w:lang w:val="en-CA"/>
        </w:rPr>
        <w:t xml:space="preserve"> patients who will be included in the SRAU Cohort.</w:t>
      </w:r>
    </w:p>
    <w:p w:rsidR="009F1631" w:rsidRPr="00972CB0" w:rsidRDefault="009F1631" w:rsidP="00332CF7">
      <w:pPr>
        <w:rPr>
          <w:rFonts w:cstheme="minorHAnsi"/>
          <w:lang w:val="en-CA"/>
        </w:rPr>
      </w:pPr>
    </w:p>
    <w:p w:rsidR="00E82A46" w:rsidRDefault="00E82A46" w:rsidP="00E82A46">
      <w:pPr>
        <w:pStyle w:val="Heading2"/>
        <w:rPr>
          <w:lang w:val="en-CA"/>
        </w:rPr>
      </w:pPr>
      <w:r>
        <w:rPr>
          <w:lang w:val="en-CA"/>
        </w:rPr>
        <w:t>Note re: dates; look-back and look-forward period.</w:t>
      </w:r>
    </w:p>
    <w:p w:rsidR="00E82A46" w:rsidRDefault="00E82A46" w:rsidP="00332CF7">
      <w:pPr>
        <w:rPr>
          <w:rFonts w:cstheme="minorHAnsi"/>
          <w:lang w:val="en-CA"/>
        </w:rPr>
      </w:pPr>
    </w:p>
    <w:p w:rsidR="00D33399" w:rsidRDefault="00E82A46" w:rsidP="00332CF7">
      <w:pPr>
        <w:rPr>
          <w:rFonts w:cstheme="minorHAnsi"/>
          <w:lang w:val="en-CA"/>
        </w:rPr>
      </w:pPr>
      <w:r>
        <w:rPr>
          <w:rFonts w:cstheme="minorHAnsi"/>
          <w:lang w:val="en-CA"/>
        </w:rPr>
        <w:t xml:space="preserve">In the DEPiCTS research data files, </w:t>
      </w:r>
      <w:r w:rsidR="00D33399">
        <w:rPr>
          <w:rFonts w:cstheme="minorHAnsi"/>
          <w:lang w:val="en-CA"/>
        </w:rPr>
        <w:t xml:space="preserve">in order to meet the requirements of Safe Harbor de-identification around dates,  </w:t>
      </w:r>
      <w:r>
        <w:rPr>
          <w:rFonts w:cstheme="minorHAnsi"/>
          <w:lang w:val="en-CA"/>
        </w:rPr>
        <w:t xml:space="preserve">date will be expressed in terms of days before/after a date that has been set as Day 0. </w:t>
      </w:r>
      <w:r w:rsidR="00D33399">
        <w:rPr>
          <w:rFonts w:cstheme="minorHAnsi"/>
          <w:lang w:val="en-CA"/>
        </w:rPr>
        <w:t xml:space="preserve">The term “coarsened” is used in the tables below that have been subject to this protection. This method is more conservative than the Safe Harbor requirements, while preserving fully the sequence of events and the duration that separates events. </w:t>
      </w:r>
    </w:p>
    <w:p w:rsidR="00D33399" w:rsidRDefault="00D33399" w:rsidP="00332CF7">
      <w:pPr>
        <w:rPr>
          <w:rFonts w:cstheme="minorHAnsi"/>
          <w:lang w:val="en-CA"/>
        </w:rPr>
      </w:pPr>
    </w:p>
    <w:p w:rsidR="00332CF7" w:rsidRPr="00972CB0" w:rsidRDefault="00332CF7" w:rsidP="00332CF7">
      <w:pPr>
        <w:rPr>
          <w:rFonts w:cstheme="minorHAnsi"/>
          <w:lang w:val="en-CA"/>
        </w:rPr>
      </w:pPr>
      <w:r w:rsidRPr="00972CB0">
        <w:rPr>
          <w:rFonts w:cstheme="minorHAnsi"/>
          <w:lang w:val="en-CA"/>
        </w:rPr>
        <w:t xml:space="preserve">For the purpose of this research, Day 0 is set at Day of Registration in the SRAU.  All dates in the research data file to be generated will be expressed in terms of duration from Day 0. </w:t>
      </w:r>
    </w:p>
    <w:p w:rsidR="00332CF7" w:rsidRPr="00972CB0" w:rsidRDefault="00332CF7" w:rsidP="00332CF7">
      <w:pPr>
        <w:rPr>
          <w:rFonts w:cstheme="minorHAnsi"/>
          <w:lang w:val="en-CA"/>
        </w:rPr>
      </w:pPr>
    </w:p>
    <w:p w:rsidR="00332CF7" w:rsidRPr="00972CB0" w:rsidRDefault="00332CF7" w:rsidP="00332CF7">
      <w:pPr>
        <w:rPr>
          <w:rFonts w:cstheme="minorHAnsi"/>
          <w:lang w:val="en-CA"/>
        </w:rPr>
      </w:pPr>
      <w:r w:rsidRPr="00972CB0">
        <w:rPr>
          <w:rFonts w:cstheme="minorHAnsi"/>
          <w:lang w:val="en-CA"/>
        </w:rPr>
        <w:lastRenderedPageBreak/>
        <w:t>For data from the EDW (e.g,. Encounters) attached to the SRAU Cohort, the lookback period (from day of registration in the SRAU is set at [I suggest you go back as far as we have data so the lookback period would be set by the earliest day in which data were registered in the EDW).</w:t>
      </w:r>
    </w:p>
    <w:p w:rsidR="00332CF7" w:rsidRPr="00972CB0" w:rsidRDefault="00332CF7" w:rsidP="00332CF7">
      <w:pPr>
        <w:rPr>
          <w:rFonts w:cstheme="minorHAnsi"/>
          <w:lang w:val="en-CA"/>
        </w:rPr>
      </w:pPr>
    </w:p>
    <w:p w:rsidR="00332CF7" w:rsidRPr="00972CB0" w:rsidRDefault="00332CF7" w:rsidP="00332CF7">
      <w:pPr>
        <w:rPr>
          <w:rFonts w:cstheme="minorHAnsi"/>
          <w:lang w:val="en-CA"/>
        </w:rPr>
      </w:pPr>
      <w:r w:rsidRPr="00972CB0">
        <w:rPr>
          <w:rFonts w:cstheme="minorHAnsi"/>
          <w:lang w:val="en-CA"/>
        </w:rPr>
        <w:t xml:space="preserve">For data from the EDW attached to the SRAU Cohort, the lookforward period will be set as XXXXX from Date of Registration in the SRAU (Day 0) </w:t>
      </w:r>
      <w:r w:rsidRPr="00E82A46">
        <w:rPr>
          <w:rFonts w:cstheme="minorHAnsi"/>
          <w:highlight w:val="yellow"/>
          <w:lang w:val="en-CA"/>
        </w:rPr>
        <w:t>[[ or will it be date of Discharge???]]</w:t>
      </w:r>
      <w:r w:rsidR="009F1631" w:rsidRPr="00E82A46">
        <w:rPr>
          <w:rFonts w:cstheme="minorHAnsi"/>
          <w:highlight w:val="yellow"/>
          <w:lang w:val="en-CA"/>
        </w:rPr>
        <w:t>.</w:t>
      </w:r>
      <w:r w:rsidR="009F1631" w:rsidRPr="00972CB0">
        <w:rPr>
          <w:rFonts w:cstheme="minorHAnsi"/>
          <w:lang w:val="en-CA"/>
        </w:rPr>
        <w:t xml:space="preserve"> This value will be expressed in the file used by researchers in terms of elapsed days. </w:t>
      </w:r>
    </w:p>
    <w:p w:rsidR="00972CB0" w:rsidRPr="00972CB0" w:rsidRDefault="00972CB0" w:rsidP="00332CF7">
      <w:pPr>
        <w:rPr>
          <w:rFonts w:cstheme="minorHAnsi"/>
          <w:lang w:val="en-CA"/>
        </w:rPr>
      </w:pPr>
    </w:p>
    <w:p w:rsidR="00972CB0" w:rsidRPr="00972CB0" w:rsidRDefault="00972CB0" w:rsidP="00972CB0">
      <w:pPr>
        <w:pStyle w:val="Heading2"/>
        <w:rPr>
          <w:rFonts w:asciiTheme="minorHAnsi" w:eastAsia="Times New Roman" w:hAnsiTheme="minorHAnsi" w:cstheme="minorHAnsi"/>
          <w:lang w:eastAsia="en-CA"/>
        </w:rPr>
      </w:pPr>
      <w:r w:rsidRPr="00972CB0">
        <w:rPr>
          <w:rFonts w:asciiTheme="minorHAnsi" w:eastAsia="Times New Roman" w:hAnsiTheme="minorHAnsi" w:cstheme="minorHAnsi"/>
          <w:lang w:eastAsia="en-CA"/>
        </w:rPr>
        <w:t>ICD10 Diagnostic Criteria for deeming a case to be an ACVS or ACVS-relevant case</w:t>
      </w:r>
    </w:p>
    <w:p w:rsidR="00972CB0" w:rsidRPr="00972CB0" w:rsidRDefault="00972CB0" w:rsidP="00972CB0">
      <w:pPr>
        <w:autoSpaceDE w:val="0"/>
        <w:autoSpaceDN w:val="0"/>
        <w:adjustRightInd w:val="0"/>
        <w:rPr>
          <w:rFonts w:cstheme="minorHAnsi"/>
          <w:color w:val="000000"/>
          <w:lang w:val="en-CA"/>
        </w:rPr>
      </w:pPr>
      <w:r w:rsidRPr="00972CB0">
        <w:rPr>
          <w:rFonts w:cstheme="minorHAnsi"/>
          <w:color w:val="000000"/>
          <w:lang w:val="en-CA"/>
        </w:rPr>
        <w:t xml:space="preserve">Haemmorhage </w:t>
      </w:r>
    </w:p>
    <w:p w:rsidR="00972CB0" w:rsidRPr="00972CB0" w:rsidRDefault="00972CB0" w:rsidP="00972CB0">
      <w:pPr>
        <w:pStyle w:val="ListParagraph"/>
        <w:numPr>
          <w:ilvl w:val="0"/>
          <w:numId w:val="9"/>
        </w:numPr>
        <w:autoSpaceDE w:val="0"/>
        <w:autoSpaceDN w:val="0"/>
        <w:adjustRightInd w:val="0"/>
        <w:spacing w:after="6"/>
        <w:rPr>
          <w:rFonts w:cstheme="minorHAnsi"/>
          <w:color w:val="000000"/>
          <w:lang w:val="en-CA"/>
        </w:rPr>
      </w:pPr>
      <w:r w:rsidRPr="00972CB0">
        <w:rPr>
          <w:rFonts w:cstheme="minorHAnsi"/>
          <w:color w:val="000000"/>
          <w:lang w:val="en-CA"/>
        </w:rPr>
        <w:t xml:space="preserve">I60 Suarachnoid haemorrhage </w:t>
      </w:r>
    </w:p>
    <w:p w:rsidR="00972CB0" w:rsidRPr="00972CB0" w:rsidRDefault="00972CB0" w:rsidP="00972CB0">
      <w:pPr>
        <w:pStyle w:val="ListParagraph"/>
        <w:numPr>
          <w:ilvl w:val="0"/>
          <w:numId w:val="9"/>
        </w:numPr>
        <w:autoSpaceDE w:val="0"/>
        <w:autoSpaceDN w:val="0"/>
        <w:adjustRightInd w:val="0"/>
        <w:spacing w:after="6"/>
        <w:rPr>
          <w:rFonts w:cstheme="minorHAnsi"/>
          <w:color w:val="000000"/>
          <w:lang w:val="en-CA"/>
        </w:rPr>
      </w:pPr>
      <w:r w:rsidRPr="00972CB0">
        <w:rPr>
          <w:rFonts w:cstheme="minorHAnsi"/>
          <w:color w:val="000000"/>
          <w:lang w:val="en-CA"/>
        </w:rPr>
        <w:t xml:space="preserve">I61 Intracerebral haemorrhage </w:t>
      </w:r>
    </w:p>
    <w:p w:rsidR="00972CB0" w:rsidRPr="00972CB0" w:rsidRDefault="00972CB0" w:rsidP="00972CB0">
      <w:pPr>
        <w:pStyle w:val="ListParagraph"/>
        <w:numPr>
          <w:ilvl w:val="0"/>
          <w:numId w:val="9"/>
        </w:numPr>
        <w:autoSpaceDE w:val="0"/>
        <w:autoSpaceDN w:val="0"/>
        <w:adjustRightInd w:val="0"/>
        <w:rPr>
          <w:rFonts w:cstheme="minorHAnsi"/>
          <w:color w:val="000000"/>
          <w:lang w:val="en-CA"/>
        </w:rPr>
      </w:pPr>
      <w:r w:rsidRPr="00972CB0">
        <w:rPr>
          <w:rFonts w:cstheme="minorHAnsi"/>
          <w:color w:val="000000"/>
          <w:lang w:val="en-CA"/>
        </w:rPr>
        <w:t xml:space="preserve">I62 Subdural/extradural haemorrhage </w:t>
      </w:r>
    </w:p>
    <w:p w:rsidR="00972CB0" w:rsidRPr="00972CB0" w:rsidRDefault="00972CB0" w:rsidP="00972CB0">
      <w:pPr>
        <w:autoSpaceDE w:val="0"/>
        <w:autoSpaceDN w:val="0"/>
        <w:adjustRightInd w:val="0"/>
        <w:rPr>
          <w:rFonts w:cstheme="minorHAnsi"/>
          <w:color w:val="000000"/>
          <w:lang w:val="en-CA"/>
        </w:rPr>
      </w:pPr>
      <w:r w:rsidRPr="00972CB0">
        <w:rPr>
          <w:rFonts w:cstheme="minorHAnsi"/>
          <w:color w:val="000000"/>
          <w:lang w:val="en-CA"/>
        </w:rPr>
        <w:t xml:space="preserve">Ischemic Stroke </w:t>
      </w:r>
    </w:p>
    <w:p w:rsidR="00972CB0" w:rsidRPr="00972CB0" w:rsidRDefault="00972CB0" w:rsidP="00972CB0">
      <w:pPr>
        <w:pStyle w:val="ListParagraph"/>
        <w:numPr>
          <w:ilvl w:val="0"/>
          <w:numId w:val="10"/>
        </w:numPr>
        <w:autoSpaceDE w:val="0"/>
        <w:autoSpaceDN w:val="0"/>
        <w:adjustRightInd w:val="0"/>
        <w:spacing w:after="6"/>
        <w:rPr>
          <w:rFonts w:cstheme="minorHAnsi"/>
          <w:color w:val="000000"/>
          <w:lang w:val="en-CA"/>
        </w:rPr>
      </w:pPr>
      <w:r w:rsidRPr="00972CB0">
        <w:rPr>
          <w:rFonts w:cstheme="minorHAnsi"/>
          <w:color w:val="000000"/>
          <w:lang w:val="en-CA"/>
        </w:rPr>
        <w:t xml:space="preserve">I63 Cerebral Infarction due to embolism/thrombosis </w:t>
      </w:r>
    </w:p>
    <w:p w:rsidR="00972CB0" w:rsidRPr="00972CB0" w:rsidRDefault="00972CB0" w:rsidP="00972CB0">
      <w:pPr>
        <w:pStyle w:val="ListParagraph"/>
        <w:numPr>
          <w:ilvl w:val="0"/>
          <w:numId w:val="10"/>
        </w:numPr>
        <w:autoSpaceDE w:val="0"/>
        <w:autoSpaceDN w:val="0"/>
        <w:adjustRightInd w:val="0"/>
        <w:rPr>
          <w:rFonts w:cstheme="minorHAnsi"/>
          <w:color w:val="000000"/>
          <w:lang w:val="en-CA"/>
        </w:rPr>
      </w:pPr>
      <w:r w:rsidRPr="00972CB0">
        <w:rPr>
          <w:rFonts w:cstheme="minorHAnsi"/>
          <w:color w:val="000000"/>
          <w:lang w:val="en-CA"/>
        </w:rPr>
        <w:t xml:space="preserve">I64 Stroke, not otherwise specified </w:t>
      </w:r>
    </w:p>
    <w:p w:rsidR="00972CB0" w:rsidRPr="00972CB0" w:rsidRDefault="00972CB0" w:rsidP="00972CB0">
      <w:pPr>
        <w:autoSpaceDE w:val="0"/>
        <w:autoSpaceDN w:val="0"/>
        <w:adjustRightInd w:val="0"/>
        <w:rPr>
          <w:rFonts w:cstheme="minorHAnsi"/>
          <w:color w:val="000000"/>
          <w:lang w:val="en-CA"/>
        </w:rPr>
      </w:pPr>
      <w:r w:rsidRPr="00972CB0">
        <w:rPr>
          <w:rFonts w:cstheme="minorHAnsi"/>
          <w:color w:val="000000"/>
          <w:lang w:val="en-CA"/>
        </w:rPr>
        <w:t xml:space="preserve">Transient Ischemic Attack (TIA) </w:t>
      </w:r>
    </w:p>
    <w:p w:rsidR="00972CB0" w:rsidRPr="00972CB0" w:rsidRDefault="00972CB0" w:rsidP="00972CB0">
      <w:pPr>
        <w:pStyle w:val="ListParagraph"/>
        <w:numPr>
          <w:ilvl w:val="0"/>
          <w:numId w:val="11"/>
        </w:numPr>
        <w:autoSpaceDE w:val="0"/>
        <w:autoSpaceDN w:val="0"/>
        <w:adjustRightInd w:val="0"/>
        <w:spacing w:after="6"/>
        <w:rPr>
          <w:rFonts w:cstheme="minorHAnsi"/>
          <w:color w:val="000000"/>
          <w:lang w:val="en-CA"/>
        </w:rPr>
      </w:pPr>
      <w:r w:rsidRPr="00972CB0">
        <w:rPr>
          <w:rFonts w:cstheme="minorHAnsi"/>
          <w:color w:val="000000"/>
          <w:lang w:val="en-CA"/>
        </w:rPr>
        <w:t xml:space="preserve">G45.0 Vertebro-basilar artery syndrome </w:t>
      </w:r>
    </w:p>
    <w:p w:rsidR="00972CB0" w:rsidRPr="00972CB0" w:rsidRDefault="00972CB0" w:rsidP="00972CB0">
      <w:pPr>
        <w:pStyle w:val="ListParagraph"/>
        <w:numPr>
          <w:ilvl w:val="0"/>
          <w:numId w:val="11"/>
        </w:numPr>
        <w:autoSpaceDE w:val="0"/>
        <w:autoSpaceDN w:val="0"/>
        <w:adjustRightInd w:val="0"/>
        <w:spacing w:after="6"/>
        <w:rPr>
          <w:rFonts w:cstheme="minorHAnsi"/>
          <w:color w:val="000000"/>
          <w:lang w:val="en-CA"/>
        </w:rPr>
      </w:pPr>
      <w:r w:rsidRPr="00972CB0">
        <w:rPr>
          <w:rFonts w:cstheme="minorHAnsi"/>
          <w:color w:val="000000"/>
          <w:lang w:val="en-CA"/>
        </w:rPr>
        <w:t xml:space="preserve">G45.1 Carotid artery syndrome (hemispheric) </w:t>
      </w:r>
    </w:p>
    <w:p w:rsidR="00972CB0" w:rsidRPr="00972CB0" w:rsidRDefault="00972CB0" w:rsidP="00972CB0">
      <w:pPr>
        <w:pStyle w:val="ListParagraph"/>
        <w:numPr>
          <w:ilvl w:val="0"/>
          <w:numId w:val="11"/>
        </w:numPr>
        <w:autoSpaceDE w:val="0"/>
        <w:autoSpaceDN w:val="0"/>
        <w:adjustRightInd w:val="0"/>
        <w:spacing w:after="6"/>
        <w:rPr>
          <w:rFonts w:cstheme="minorHAnsi"/>
          <w:color w:val="000000"/>
          <w:lang w:val="en-CA"/>
        </w:rPr>
      </w:pPr>
      <w:r w:rsidRPr="00972CB0">
        <w:rPr>
          <w:rFonts w:cstheme="minorHAnsi"/>
          <w:color w:val="000000"/>
          <w:lang w:val="en-CA"/>
        </w:rPr>
        <w:t xml:space="preserve">G45.2 Multiple and bilateral precerebral artery syndromes </w:t>
      </w:r>
    </w:p>
    <w:p w:rsidR="00972CB0" w:rsidRPr="00972CB0" w:rsidRDefault="00972CB0" w:rsidP="00972CB0">
      <w:pPr>
        <w:pStyle w:val="ListParagraph"/>
        <w:numPr>
          <w:ilvl w:val="0"/>
          <w:numId w:val="11"/>
        </w:numPr>
        <w:autoSpaceDE w:val="0"/>
        <w:autoSpaceDN w:val="0"/>
        <w:adjustRightInd w:val="0"/>
        <w:spacing w:after="6"/>
        <w:rPr>
          <w:rFonts w:cstheme="minorHAnsi"/>
          <w:color w:val="000000"/>
          <w:lang w:val="en-CA"/>
        </w:rPr>
      </w:pPr>
      <w:r w:rsidRPr="00972CB0">
        <w:rPr>
          <w:rFonts w:cstheme="minorHAnsi"/>
          <w:color w:val="000000"/>
          <w:lang w:val="en-CA"/>
        </w:rPr>
        <w:t xml:space="preserve">G45.3 Amaurosis fugax </w:t>
      </w:r>
    </w:p>
    <w:p w:rsidR="00972CB0" w:rsidRPr="00972CB0" w:rsidRDefault="00972CB0" w:rsidP="00972CB0">
      <w:pPr>
        <w:pStyle w:val="ListParagraph"/>
        <w:numPr>
          <w:ilvl w:val="0"/>
          <w:numId w:val="11"/>
        </w:numPr>
        <w:autoSpaceDE w:val="0"/>
        <w:autoSpaceDN w:val="0"/>
        <w:adjustRightInd w:val="0"/>
        <w:spacing w:after="6"/>
        <w:rPr>
          <w:rFonts w:cstheme="minorHAnsi"/>
          <w:color w:val="000000"/>
          <w:lang w:val="en-CA"/>
        </w:rPr>
      </w:pPr>
      <w:r w:rsidRPr="00972CB0">
        <w:rPr>
          <w:rFonts w:cstheme="minorHAnsi"/>
          <w:color w:val="000000"/>
          <w:lang w:val="en-CA"/>
        </w:rPr>
        <w:t xml:space="preserve">G45.8 Other transient cerebral ischaemic attacks and related syndromes </w:t>
      </w:r>
    </w:p>
    <w:p w:rsidR="00972CB0" w:rsidRPr="00972CB0" w:rsidRDefault="00972CB0" w:rsidP="00972CB0">
      <w:pPr>
        <w:pStyle w:val="ListParagraph"/>
        <w:numPr>
          <w:ilvl w:val="0"/>
          <w:numId w:val="11"/>
        </w:numPr>
        <w:autoSpaceDE w:val="0"/>
        <w:autoSpaceDN w:val="0"/>
        <w:adjustRightInd w:val="0"/>
        <w:rPr>
          <w:rFonts w:cstheme="minorHAnsi"/>
          <w:color w:val="000000"/>
          <w:lang w:val="en-CA"/>
        </w:rPr>
      </w:pPr>
      <w:r w:rsidRPr="00972CB0">
        <w:rPr>
          <w:rFonts w:cstheme="minorHAnsi"/>
          <w:color w:val="000000"/>
          <w:lang w:val="en-CA"/>
        </w:rPr>
        <w:t xml:space="preserve">G45.9 Transient cerebral ischaemic attack, unspecified </w:t>
      </w:r>
    </w:p>
    <w:p w:rsidR="00972CB0" w:rsidRPr="00972CB0" w:rsidRDefault="00972CB0" w:rsidP="00972CB0">
      <w:pPr>
        <w:pStyle w:val="ListParagraph"/>
        <w:numPr>
          <w:ilvl w:val="0"/>
          <w:numId w:val="11"/>
        </w:numPr>
        <w:autoSpaceDE w:val="0"/>
        <w:autoSpaceDN w:val="0"/>
        <w:adjustRightInd w:val="0"/>
        <w:rPr>
          <w:rFonts w:cstheme="minorHAnsi"/>
          <w:color w:val="000000"/>
          <w:lang w:val="en-CA"/>
        </w:rPr>
      </w:pPr>
      <w:r w:rsidRPr="00972CB0">
        <w:rPr>
          <w:rFonts w:cstheme="minorHAnsi"/>
          <w:color w:val="000000"/>
          <w:lang w:val="en-CA"/>
        </w:rPr>
        <w:t xml:space="preserve">H34.0 Transient retinal artery occlusion </w:t>
      </w:r>
    </w:p>
    <w:p w:rsidR="00727A8F" w:rsidRPr="00972CB0" w:rsidRDefault="000878E0" w:rsidP="000878E0">
      <w:pPr>
        <w:pStyle w:val="Heading1"/>
        <w:rPr>
          <w:rFonts w:asciiTheme="minorHAnsi" w:hAnsiTheme="minorHAnsi" w:cstheme="minorHAnsi"/>
        </w:rPr>
      </w:pPr>
      <w:r w:rsidRPr="00972CB0">
        <w:rPr>
          <w:rFonts w:asciiTheme="minorHAnsi" w:hAnsiTheme="minorHAnsi" w:cstheme="minorHAnsi"/>
        </w:rPr>
        <w:t>Data Requirements – Patients Seen in SRAU</w:t>
      </w:r>
    </w:p>
    <w:p w:rsidR="000878E0" w:rsidRPr="00972CB0" w:rsidRDefault="000878E0">
      <w:pPr>
        <w:rPr>
          <w:rFonts w:cstheme="minorHAnsi"/>
        </w:rPr>
      </w:pPr>
    </w:p>
    <w:tbl>
      <w:tblPr>
        <w:tblStyle w:val="TableGrid"/>
        <w:tblW w:w="0" w:type="auto"/>
        <w:tblLook w:val="04A0" w:firstRow="1" w:lastRow="0" w:firstColumn="1" w:lastColumn="0" w:noHBand="0" w:noVBand="1"/>
      </w:tblPr>
      <w:tblGrid>
        <w:gridCol w:w="7275"/>
        <w:gridCol w:w="1080"/>
        <w:gridCol w:w="995"/>
      </w:tblGrid>
      <w:tr w:rsidR="00727A8F" w:rsidRPr="00972CB0" w:rsidTr="006F2FC0">
        <w:tc>
          <w:tcPr>
            <w:tcW w:w="7275" w:type="dxa"/>
            <w:shd w:val="clear" w:color="auto" w:fill="DEEAF6" w:themeFill="accent1" w:themeFillTint="33"/>
          </w:tcPr>
          <w:p w:rsidR="00727A8F" w:rsidRPr="00972CB0" w:rsidRDefault="00727A8F" w:rsidP="00AA4182">
            <w:pPr>
              <w:rPr>
                <w:rFonts w:eastAsia="Times New Roman" w:cstheme="minorHAnsi"/>
                <w:b/>
                <w:color w:val="000000"/>
                <w:sz w:val="24"/>
                <w:szCs w:val="24"/>
                <w:lang w:val="en-CA" w:eastAsia="en-CA"/>
              </w:rPr>
            </w:pPr>
          </w:p>
          <w:p w:rsidR="00727A8F" w:rsidRPr="00972CB0" w:rsidRDefault="00727A8F" w:rsidP="00AA4182">
            <w:pPr>
              <w:rPr>
                <w:rFonts w:eastAsia="Times New Roman" w:cstheme="minorHAnsi"/>
                <w:b/>
                <w:color w:val="000000"/>
                <w:sz w:val="24"/>
                <w:szCs w:val="24"/>
                <w:lang w:val="en-CA" w:eastAsia="en-CA"/>
              </w:rPr>
            </w:pPr>
            <w:r w:rsidRPr="00972CB0">
              <w:rPr>
                <w:rFonts w:eastAsia="Times New Roman" w:cstheme="minorHAnsi"/>
                <w:b/>
                <w:color w:val="000000"/>
                <w:sz w:val="24"/>
                <w:szCs w:val="24"/>
                <w:lang w:val="en-CA" w:eastAsia="en-CA"/>
              </w:rPr>
              <w:t>Data Category or Element</w:t>
            </w:r>
          </w:p>
        </w:tc>
        <w:tc>
          <w:tcPr>
            <w:tcW w:w="1080" w:type="dxa"/>
            <w:shd w:val="clear" w:color="auto" w:fill="DEEAF6" w:themeFill="accent1" w:themeFillTint="33"/>
          </w:tcPr>
          <w:p w:rsidR="00727A8F" w:rsidRPr="00972CB0" w:rsidRDefault="00727A8F" w:rsidP="00E82A46">
            <w:pPr>
              <w:jc w:val="center"/>
              <w:rPr>
                <w:rFonts w:eastAsia="Times New Roman" w:cstheme="minorHAnsi"/>
                <w:b/>
                <w:color w:val="000000"/>
                <w:sz w:val="24"/>
                <w:szCs w:val="24"/>
                <w:lang w:val="en-CA" w:eastAsia="en-CA"/>
              </w:rPr>
            </w:pPr>
            <w:r w:rsidRPr="00972CB0">
              <w:rPr>
                <w:rFonts w:eastAsia="Times New Roman" w:cstheme="minorHAnsi"/>
                <w:b/>
                <w:color w:val="000000"/>
                <w:sz w:val="24"/>
                <w:szCs w:val="24"/>
                <w:lang w:val="en-CA" w:eastAsia="en-CA"/>
              </w:rPr>
              <w:t>Use – Legacy</w:t>
            </w:r>
          </w:p>
        </w:tc>
        <w:tc>
          <w:tcPr>
            <w:tcW w:w="995" w:type="dxa"/>
            <w:shd w:val="clear" w:color="auto" w:fill="DEEAF6" w:themeFill="accent1" w:themeFillTint="33"/>
          </w:tcPr>
          <w:p w:rsidR="00727A8F" w:rsidRPr="00972CB0" w:rsidRDefault="00727A8F" w:rsidP="00E82A46">
            <w:pPr>
              <w:jc w:val="center"/>
              <w:rPr>
                <w:rFonts w:eastAsia="Times New Roman" w:cstheme="minorHAnsi"/>
                <w:b/>
                <w:color w:val="000000"/>
                <w:sz w:val="24"/>
                <w:szCs w:val="24"/>
                <w:lang w:val="en-CA" w:eastAsia="en-CA"/>
              </w:rPr>
            </w:pPr>
            <w:r w:rsidRPr="00972CB0">
              <w:rPr>
                <w:rFonts w:eastAsia="Times New Roman" w:cstheme="minorHAnsi"/>
                <w:b/>
                <w:color w:val="000000"/>
                <w:sz w:val="24"/>
                <w:szCs w:val="24"/>
                <w:lang w:val="en-CA" w:eastAsia="en-CA"/>
              </w:rPr>
              <w:t>Use - New</w:t>
            </w:r>
          </w:p>
        </w:tc>
      </w:tr>
      <w:tr w:rsidR="00727A8F" w:rsidRPr="00972CB0" w:rsidTr="00727A8F">
        <w:tc>
          <w:tcPr>
            <w:tcW w:w="9350" w:type="dxa"/>
            <w:gridSpan w:val="3"/>
            <w:shd w:val="clear" w:color="auto" w:fill="1F4E79" w:themeFill="accent1" w:themeFillShade="80"/>
          </w:tcPr>
          <w:p w:rsidR="00727A8F" w:rsidRPr="00972CB0" w:rsidRDefault="00727A8F" w:rsidP="00E82A46">
            <w:pPr>
              <w:jc w:val="center"/>
              <w:rPr>
                <w:rFonts w:eastAsia="Times New Roman" w:cstheme="minorHAnsi"/>
                <w:b/>
                <w:color w:val="FFFFFF" w:themeColor="background1"/>
                <w:sz w:val="24"/>
                <w:szCs w:val="24"/>
                <w:lang w:val="en-CA" w:eastAsia="en-CA"/>
              </w:rPr>
            </w:pPr>
            <w:r w:rsidRPr="00972CB0">
              <w:rPr>
                <w:rFonts w:eastAsia="Times New Roman" w:cstheme="minorHAnsi"/>
                <w:b/>
                <w:color w:val="FFFFFF" w:themeColor="background1"/>
                <w:sz w:val="24"/>
                <w:szCs w:val="24"/>
                <w:lang w:val="en-CA" w:eastAsia="en-CA"/>
              </w:rPr>
              <w:t>From Stroke Guidance System (SGS)</w:t>
            </w:r>
          </w:p>
        </w:tc>
      </w:tr>
      <w:tr w:rsidR="00217576" w:rsidRPr="00972CB0" w:rsidTr="00217576">
        <w:tc>
          <w:tcPr>
            <w:tcW w:w="9350" w:type="dxa"/>
            <w:gridSpan w:val="3"/>
            <w:shd w:val="clear" w:color="auto" w:fill="E2EFD9" w:themeFill="accent6" w:themeFillTint="33"/>
          </w:tcPr>
          <w:p w:rsidR="00217576" w:rsidRPr="00972CB0" w:rsidRDefault="00217576" w:rsidP="00E82A46">
            <w:pPr>
              <w:jc w:val="center"/>
              <w:rPr>
                <w:rFonts w:eastAsia="Times New Roman" w:cstheme="minorHAnsi"/>
                <w:color w:val="FFFFFF" w:themeColor="background1"/>
                <w:sz w:val="24"/>
                <w:szCs w:val="24"/>
                <w:lang w:val="en-CA" w:eastAsia="en-CA"/>
              </w:rPr>
            </w:pPr>
            <w:r w:rsidRPr="00972CB0">
              <w:rPr>
                <w:rFonts w:eastAsia="Times New Roman" w:cstheme="minorHAnsi"/>
                <w:color w:val="000000" w:themeColor="text1"/>
                <w:sz w:val="24"/>
                <w:szCs w:val="24"/>
                <w:lang w:val="en-CA" w:eastAsia="en-CA"/>
              </w:rPr>
              <w:t>Demographics, Referral Background, Various Dates Associated With Demographics &amp; Referral Background</w:t>
            </w:r>
          </w:p>
        </w:tc>
      </w:tr>
      <w:tr w:rsidR="00727A8F" w:rsidRPr="00972CB0" w:rsidTr="006F2FC0">
        <w:trPr>
          <w:trHeight w:val="170"/>
        </w:trPr>
        <w:tc>
          <w:tcPr>
            <w:tcW w:w="7275" w:type="dxa"/>
          </w:tcPr>
          <w:p w:rsidR="00727A8F" w:rsidRPr="00972CB0" w:rsidRDefault="00794E29" w:rsidP="00794E29">
            <w:pPr>
              <w:rPr>
                <w:rFonts w:eastAsia="Times New Roman" w:cstheme="minorHAnsi"/>
                <w:color w:val="000000"/>
                <w:sz w:val="24"/>
                <w:szCs w:val="24"/>
                <w:lang w:val="en-CA" w:eastAsia="en-CA"/>
              </w:rPr>
            </w:pPr>
            <w:r w:rsidRPr="00972CB0">
              <w:rPr>
                <w:rFonts w:eastAsia="Times New Roman" w:cstheme="minorHAnsi"/>
                <w:color w:val="000000"/>
                <w:sz w:val="24"/>
                <w:szCs w:val="24"/>
                <w:lang w:val="en-CA" w:eastAsia="en-CA"/>
              </w:rPr>
              <w:t xml:space="preserve">MRN [Linking Variable - </w:t>
            </w:r>
            <w:r w:rsidR="00727A8F" w:rsidRPr="00972CB0">
              <w:rPr>
                <w:rFonts w:eastAsia="Times New Roman" w:cstheme="minorHAnsi"/>
                <w:color w:val="000000"/>
                <w:sz w:val="24"/>
                <w:szCs w:val="24"/>
                <w:lang w:val="en-CA" w:eastAsia="en-CA"/>
              </w:rPr>
              <w:t>masked in research data file</w:t>
            </w:r>
            <w:r w:rsidRPr="00972CB0">
              <w:rPr>
                <w:rFonts w:eastAsia="Times New Roman" w:cstheme="minorHAnsi"/>
                <w:color w:val="000000"/>
                <w:sz w:val="24"/>
                <w:szCs w:val="24"/>
                <w:lang w:val="en-CA" w:eastAsia="en-CA"/>
              </w:rPr>
              <w:t>]</w:t>
            </w:r>
          </w:p>
        </w:tc>
        <w:tc>
          <w:tcPr>
            <w:tcW w:w="1080" w:type="dxa"/>
          </w:tcPr>
          <w:p w:rsidR="00727A8F" w:rsidRPr="00972CB0" w:rsidRDefault="00727A8F" w:rsidP="00E82A46">
            <w:pPr>
              <w:jc w:val="center"/>
              <w:rPr>
                <w:rFonts w:eastAsia="Times New Roman" w:cstheme="minorHAnsi"/>
                <w:color w:val="000000"/>
                <w:sz w:val="24"/>
                <w:szCs w:val="24"/>
                <w:lang w:val="en-CA" w:eastAsia="en-CA"/>
              </w:rPr>
            </w:pPr>
            <w:r w:rsidRPr="00972CB0">
              <w:rPr>
                <w:rFonts w:eastAsia="Times New Roman" w:cstheme="minorHAnsi"/>
                <w:color w:val="000000"/>
                <w:sz w:val="24"/>
                <w:szCs w:val="24"/>
                <w:lang w:val="en-CA" w:eastAsia="en-CA"/>
              </w:rPr>
              <w:t>X</w:t>
            </w:r>
          </w:p>
        </w:tc>
        <w:tc>
          <w:tcPr>
            <w:tcW w:w="995" w:type="dxa"/>
          </w:tcPr>
          <w:p w:rsidR="00727A8F" w:rsidRPr="00972CB0" w:rsidRDefault="00727A8F" w:rsidP="00E82A46">
            <w:pPr>
              <w:jc w:val="center"/>
              <w:rPr>
                <w:rFonts w:eastAsia="Times New Roman" w:cstheme="minorHAnsi"/>
                <w:color w:val="000000"/>
                <w:sz w:val="24"/>
                <w:szCs w:val="24"/>
                <w:lang w:val="en-CA" w:eastAsia="en-CA"/>
              </w:rPr>
            </w:pPr>
            <w:r w:rsidRPr="00972CB0">
              <w:rPr>
                <w:rFonts w:eastAsia="Times New Roman" w:cstheme="minorHAnsi"/>
                <w:color w:val="000000"/>
                <w:sz w:val="24"/>
                <w:szCs w:val="24"/>
                <w:lang w:val="en-CA" w:eastAsia="en-CA"/>
              </w:rPr>
              <w:t>X</w:t>
            </w:r>
          </w:p>
        </w:tc>
      </w:tr>
      <w:tr w:rsidR="006F2FC0" w:rsidRPr="00972CB0" w:rsidTr="006F2FC0">
        <w:trPr>
          <w:trHeight w:val="170"/>
        </w:trPr>
        <w:tc>
          <w:tcPr>
            <w:tcW w:w="7275" w:type="dxa"/>
          </w:tcPr>
          <w:p w:rsidR="006F2FC0" w:rsidRPr="00972CB0" w:rsidRDefault="006F2FC0" w:rsidP="006F2FC0">
            <w:pPr>
              <w:rPr>
                <w:rFonts w:eastAsia="Times New Roman" w:cstheme="minorHAnsi"/>
                <w:color w:val="000000"/>
                <w:sz w:val="24"/>
                <w:szCs w:val="24"/>
                <w:lang w:val="en-CA" w:eastAsia="en-CA"/>
              </w:rPr>
            </w:pPr>
            <w:r w:rsidRPr="00972CB0">
              <w:rPr>
                <w:rFonts w:eastAsia="Times New Roman" w:cstheme="minorHAnsi"/>
                <w:color w:val="000000"/>
                <w:sz w:val="24"/>
                <w:szCs w:val="24"/>
                <w:lang w:val="en-CA" w:eastAsia="en-CA"/>
              </w:rPr>
              <w:t>Regional ID (PHN) [Linking Variable]</w:t>
            </w:r>
          </w:p>
        </w:tc>
        <w:tc>
          <w:tcPr>
            <w:tcW w:w="1080" w:type="dxa"/>
          </w:tcPr>
          <w:p w:rsidR="006F2FC0" w:rsidRPr="00972CB0" w:rsidRDefault="006F2FC0" w:rsidP="006F2FC0">
            <w:pPr>
              <w:jc w:val="center"/>
              <w:rPr>
                <w:rFonts w:eastAsia="Times New Roman" w:cstheme="minorHAnsi"/>
                <w:color w:val="000000"/>
                <w:sz w:val="24"/>
                <w:szCs w:val="24"/>
                <w:lang w:val="en-CA" w:eastAsia="en-CA"/>
              </w:rPr>
            </w:pPr>
            <w:r w:rsidRPr="00972CB0">
              <w:rPr>
                <w:rFonts w:eastAsia="Times New Roman" w:cstheme="minorHAnsi"/>
                <w:color w:val="000000"/>
                <w:sz w:val="24"/>
                <w:szCs w:val="24"/>
                <w:lang w:val="en-CA" w:eastAsia="en-CA"/>
              </w:rPr>
              <w:t>X</w:t>
            </w:r>
          </w:p>
        </w:tc>
        <w:tc>
          <w:tcPr>
            <w:tcW w:w="995" w:type="dxa"/>
          </w:tcPr>
          <w:p w:rsidR="006F2FC0" w:rsidRPr="00972CB0" w:rsidRDefault="006F2FC0" w:rsidP="006F2FC0">
            <w:pPr>
              <w:jc w:val="center"/>
              <w:rPr>
                <w:rFonts w:eastAsia="Times New Roman" w:cstheme="minorHAnsi"/>
                <w:color w:val="000000"/>
                <w:sz w:val="24"/>
                <w:szCs w:val="24"/>
                <w:lang w:val="en-CA" w:eastAsia="en-CA"/>
              </w:rPr>
            </w:pPr>
          </w:p>
        </w:tc>
      </w:tr>
      <w:tr w:rsidR="006F2FC0" w:rsidRPr="00972CB0" w:rsidTr="006F2FC0">
        <w:tc>
          <w:tcPr>
            <w:tcW w:w="7275" w:type="dxa"/>
          </w:tcPr>
          <w:p w:rsidR="006F2FC0" w:rsidRPr="00972CB0" w:rsidRDefault="006F2FC0" w:rsidP="006F2FC0">
            <w:pPr>
              <w:rPr>
                <w:rFonts w:eastAsia="Times New Roman" w:cstheme="minorHAnsi"/>
                <w:color w:val="000000"/>
                <w:sz w:val="24"/>
                <w:szCs w:val="24"/>
                <w:lang w:val="en-CA" w:eastAsia="en-CA"/>
              </w:rPr>
            </w:pPr>
            <w:r w:rsidRPr="00972CB0">
              <w:rPr>
                <w:rFonts w:eastAsia="Times New Roman" w:cstheme="minorHAnsi"/>
                <w:color w:val="000000"/>
                <w:sz w:val="24"/>
                <w:szCs w:val="24"/>
                <w:lang w:val="en-CA" w:eastAsia="en-CA"/>
              </w:rPr>
              <w:t>Gender</w:t>
            </w:r>
          </w:p>
        </w:tc>
        <w:tc>
          <w:tcPr>
            <w:tcW w:w="1080" w:type="dxa"/>
          </w:tcPr>
          <w:p w:rsidR="006F2FC0" w:rsidRPr="00972CB0" w:rsidRDefault="006F2FC0" w:rsidP="006F2FC0">
            <w:pPr>
              <w:jc w:val="center"/>
              <w:rPr>
                <w:rFonts w:eastAsia="Times New Roman" w:cstheme="minorHAnsi"/>
                <w:color w:val="000000"/>
                <w:sz w:val="24"/>
                <w:szCs w:val="24"/>
                <w:lang w:val="en-CA" w:eastAsia="en-CA"/>
              </w:rPr>
            </w:pPr>
            <w:r w:rsidRPr="00972CB0">
              <w:rPr>
                <w:rFonts w:eastAsia="Times New Roman" w:cstheme="minorHAnsi"/>
                <w:color w:val="000000"/>
                <w:sz w:val="24"/>
                <w:szCs w:val="24"/>
                <w:lang w:val="en-CA" w:eastAsia="en-CA"/>
              </w:rPr>
              <w:t>X</w:t>
            </w:r>
          </w:p>
        </w:tc>
        <w:tc>
          <w:tcPr>
            <w:tcW w:w="995" w:type="dxa"/>
          </w:tcPr>
          <w:p w:rsidR="006F2FC0" w:rsidRPr="00972CB0" w:rsidRDefault="006F2FC0" w:rsidP="006F2FC0">
            <w:pPr>
              <w:jc w:val="center"/>
              <w:rPr>
                <w:rFonts w:eastAsia="Times New Roman" w:cstheme="minorHAnsi"/>
                <w:color w:val="000000"/>
                <w:sz w:val="24"/>
                <w:szCs w:val="24"/>
                <w:lang w:val="en-CA" w:eastAsia="en-CA"/>
              </w:rPr>
            </w:pPr>
            <w:r>
              <w:rPr>
                <w:rFonts w:eastAsia="Times New Roman" w:cstheme="minorHAnsi"/>
                <w:color w:val="000000"/>
                <w:sz w:val="24"/>
                <w:szCs w:val="24"/>
                <w:lang w:val="en-CA" w:eastAsia="en-CA"/>
              </w:rPr>
              <w:t>X</w:t>
            </w:r>
          </w:p>
        </w:tc>
      </w:tr>
      <w:tr w:rsidR="006F2FC0" w:rsidRPr="00972CB0" w:rsidTr="006F2FC0">
        <w:tc>
          <w:tcPr>
            <w:tcW w:w="7275" w:type="dxa"/>
          </w:tcPr>
          <w:p w:rsidR="006F2FC0" w:rsidRPr="00972CB0" w:rsidRDefault="006F2FC0" w:rsidP="006F2FC0">
            <w:pPr>
              <w:rPr>
                <w:rFonts w:eastAsia="Times New Roman" w:cstheme="minorHAnsi"/>
                <w:color w:val="000000"/>
                <w:sz w:val="24"/>
                <w:szCs w:val="24"/>
                <w:lang w:val="en-CA" w:eastAsia="en-CA"/>
              </w:rPr>
            </w:pPr>
            <w:r w:rsidRPr="00972CB0">
              <w:rPr>
                <w:rFonts w:eastAsia="Times New Roman" w:cstheme="minorHAnsi"/>
                <w:color w:val="000000"/>
                <w:sz w:val="24"/>
                <w:szCs w:val="24"/>
                <w:lang w:val="en-CA" w:eastAsia="en-CA"/>
              </w:rPr>
              <w:t xml:space="preserve">Date of Birth </w:t>
            </w:r>
          </w:p>
        </w:tc>
        <w:tc>
          <w:tcPr>
            <w:tcW w:w="1080" w:type="dxa"/>
          </w:tcPr>
          <w:p w:rsidR="006F2FC0" w:rsidRPr="00972CB0" w:rsidRDefault="006F2FC0" w:rsidP="006F2FC0">
            <w:pPr>
              <w:jc w:val="center"/>
              <w:rPr>
                <w:rFonts w:eastAsia="Times New Roman" w:cstheme="minorHAnsi"/>
                <w:color w:val="000000"/>
                <w:sz w:val="24"/>
                <w:szCs w:val="24"/>
                <w:lang w:val="en-CA" w:eastAsia="en-CA"/>
              </w:rPr>
            </w:pPr>
            <w:r w:rsidRPr="00972CB0">
              <w:rPr>
                <w:rFonts w:eastAsia="Times New Roman" w:cstheme="minorHAnsi"/>
                <w:color w:val="000000"/>
                <w:sz w:val="24"/>
                <w:szCs w:val="24"/>
                <w:lang w:val="en-CA" w:eastAsia="en-CA"/>
              </w:rPr>
              <w:t>X</w:t>
            </w:r>
          </w:p>
        </w:tc>
        <w:tc>
          <w:tcPr>
            <w:tcW w:w="995" w:type="dxa"/>
          </w:tcPr>
          <w:p w:rsidR="006F2FC0" w:rsidRPr="00972CB0" w:rsidRDefault="006F2FC0" w:rsidP="006F2FC0">
            <w:pPr>
              <w:jc w:val="center"/>
              <w:rPr>
                <w:rFonts w:eastAsia="Times New Roman" w:cstheme="minorHAnsi"/>
                <w:color w:val="000000"/>
                <w:sz w:val="24"/>
                <w:szCs w:val="24"/>
                <w:lang w:val="en-CA" w:eastAsia="en-CA"/>
              </w:rPr>
            </w:pPr>
            <w:r w:rsidRPr="00152109">
              <w:rPr>
                <w:rFonts w:eastAsia="Times New Roman" w:cstheme="minorHAnsi"/>
                <w:color w:val="000000"/>
                <w:sz w:val="18"/>
                <w:szCs w:val="24"/>
                <w:lang w:val="en-CA" w:eastAsia="en-CA"/>
              </w:rPr>
              <w:t>Coarsened</w:t>
            </w:r>
          </w:p>
        </w:tc>
      </w:tr>
      <w:tr w:rsidR="006F2FC0" w:rsidRPr="00972CB0" w:rsidTr="006F2FC0">
        <w:tc>
          <w:tcPr>
            <w:tcW w:w="7275" w:type="dxa"/>
          </w:tcPr>
          <w:p w:rsidR="006F2FC0" w:rsidRPr="00972CB0" w:rsidRDefault="006F2FC0" w:rsidP="006F2FC0">
            <w:pPr>
              <w:rPr>
                <w:rFonts w:eastAsia="Times New Roman" w:cstheme="minorHAnsi"/>
                <w:color w:val="000000"/>
                <w:sz w:val="24"/>
                <w:szCs w:val="24"/>
                <w:lang w:val="en-CA" w:eastAsia="en-CA"/>
              </w:rPr>
            </w:pPr>
            <w:r w:rsidRPr="00972CB0">
              <w:rPr>
                <w:rFonts w:eastAsia="Times New Roman" w:cstheme="minorHAnsi"/>
                <w:color w:val="000000"/>
                <w:sz w:val="24"/>
                <w:szCs w:val="24"/>
                <w:lang w:val="en-CA" w:eastAsia="en-CA"/>
              </w:rPr>
              <w:t xml:space="preserve">Age Group </w:t>
            </w:r>
            <w:r w:rsidRPr="00972CB0">
              <w:rPr>
                <w:rFonts w:eastAsia="Times New Roman" w:cstheme="minorHAnsi"/>
                <w:color w:val="000000"/>
                <w:sz w:val="24"/>
                <w:szCs w:val="24"/>
                <w:highlight w:val="yellow"/>
                <w:lang w:val="en-CA" w:eastAsia="en-CA"/>
              </w:rPr>
              <w:t>(in blocks of how many years????)</w:t>
            </w:r>
          </w:p>
        </w:tc>
        <w:tc>
          <w:tcPr>
            <w:tcW w:w="1080" w:type="dxa"/>
          </w:tcPr>
          <w:p w:rsidR="006F2FC0" w:rsidRPr="00972CB0" w:rsidRDefault="006F2FC0" w:rsidP="006F2FC0">
            <w:pPr>
              <w:jc w:val="center"/>
              <w:rPr>
                <w:rFonts w:eastAsia="Times New Roman" w:cstheme="minorHAnsi"/>
                <w:color w:val="000000"/>
                <w:sz w:val="24"/>
                <w:szCs w:val="24"/>
                <w:lang w:val="en-CA" w:eastAsia="en-CA"/>
              </w:rPr>
            </w:pPr>
            <w:r w:rsidRPr="00972CB0">
              <w:rPr>
                <w:rFonts w:eastAsia="Times New Roman" w:cstheme="minorHAnsi"/>
                <w:color w:val="000000"/>
                <w:sz w:val="24"/>
                <w:szCs w:val="24"/>
                <w:lang w:val="en-CA" w:eastAsia="en-CA"/>
              </w:rPr>
              <w:t>X</w:t>
            </w:r>
          </w:p>
        </w:tc>
        <w:tc>
          <w:tcPr>
            <w:tcW w:w="995" w:type="dxa"/>
          </w:tcPr>
          <w:p w:rsidR="006F2FC0" w:rsidRPr="00972CB0" w:rsidRDefault="006F2FC0" w:rsidP="006F2FC0">
            <w:pPr>
              <w:jc w:val="center"/>
              <w:rPr>
                <w:rFonts w:eastAsia="Times New Roman" w:cstheme="minorHAnsi"/>
                <w:color w:val="000000"/>
                <w:sz w:val="24"/>
                <w:szCs w:val="24"/>
                <w:lang w:val="en-CA" w:eastAsia="en-CA"/>
              </w:rPr>
            </w:pPr>
            <w:r>
              <w:rPr>
                <w:rFonts w:eastAsia="Times New Roman" w:cstheme="minorHAnsi"/>
                <w:color w:val="000000"/>
                <w:sz w:val="24"/>
                <w:szCs w:val="24"/>
                <w:lang w:val="en-CA" w:eastAsia="en-CA"/>
              </w:rPr>
              <w:t>X</w:t>
            </w:r>
          </w:p>
        </w:tc>
      </w:tr>
      <w:tr w:rsidR="006F2FC0" w:rsidRPr="00972CB0" w:rsidTr="00113A54">
        <w:tc>
          <w:tcPr>
            <w:tcW w:w="9350" w:type="dxa"/>
            <w:gridSpan w:val="3"/>
            <w:shd w:val="clear" w:color="auto" w:fill="E2EFD9" w:themeFill="accent6" w:themeFillTint="33"/>
          </w:tcPr>
          <w:p w:rsidR="006F2FC0" w:rsidRPr="00972CB0" w:rsidRDefault="006F2FC0" w:rsidP="006F2FC0">
            <w:pPr>
              <w:jc w:val="center"/>
              <w:rPr>
                <w:rFonts w:eastAsia="Times New Roman" w:cstheme="minorHAnsi"/>
                <w:color w:val="000000"/>
                <w:sz w:val="24"/>
                <w:szCs w:val="24"/>
                <w:lang w:val="en-CA" w:eastAsia="en-CA"/>
              </w:rPr>
            </w:pPr>
            <w:r w:rsidRPr="00972CB0">
              <w:rPr>
                <w:rFonts w:eastAsia="Times New Roman" w:cstheme="minorHAnsi"/>
                <w:color w:val="000000"/>
                <w:sz w:val="24"/>
                <w:szCs w:val="24"/>
                <w:lang w:val="en-CA" w:eastAsia="en-CA"/>
              </w:rPr>
              <w:t xml:space="preserve">Case Management within SRAU </w:t>
            </w:r>
          </w:p>
        </w:tc>
      </w:tr>
      <w:tr w:rsidR="006F2FC0" w:rsidRPr="00972CB0" w:rsidTr="00217576">
        <w:trPr>
          <w:trHeight w:val="170"/>
        </w:trPr>
        <w:tc>
          <w:tcPr>
            <w:tcW w:w="9350" w:type="dxa"/>
            <w:gridSpan w:val="3"/>
            <w:shd w:val="clear" w:color="auto" w:fill="E2EFD9" w:themeFill="accent6" w:themeFillTint="33"/>
          </w:tcPr>
          <w:p w:rsidR="006F2FC0" w:rsidRPr="00972CB0" w:rsidRDefault="006F2FC0" w:rsidP="006F2FC0">
            <w:pPr>
              <w:jc w:val="center"/>
              <w:rPr>
                <w:rFonts w:eastAsia="Times New Roman" w:cstheme="minorHAnsi"/>
                <w:color w:val="000000"/>
                <w:sz w:val="24"/>
                <w:szCs w:val="24"/>
                <w:lang w:val="en-CA" w:eastAsia="en-CA"/>
              </w:rPr>
            </w:pPr>
            <w:r w:rsidRPr="00972CB0">
              <w:rPr>
                <w:rFonts w:eastAsia="Times New Roman" w:cstheme="minorHAnsi"/>
                <w:color w:val="000000"/>
                <w:sz w:val="24"/>
                <w:szCs w:val="24"/>
                <w:lang w:val="en-CA" w:eastAsia="en-CA"/>
              </w:rPr>
              <w:t>Referral Form – Clinical Information</w:t>
            </w:r>
          </w:p>
        </w:tc>
      </w:tr>
      <w:tr w:rsidR="006F2FC0" w:rsidRPr="00972CB0" w:rsidTr="006F2FC0">
        <w:tc>
          <w:tcPr>
            <w:tcW w:w="7275" w:type="dxa"/>
          </w:tcPr>
          <w:p w:rsidR="006F2FC0" w:rsidRPr="00972CB0" w:rsidRDefault="006F2FC0" w:rsidP="006F2FC0">
            <w:pPr>
              <w:rPr>
                <w:rFonts w:eastAsia="Times New Roman" w:cstheme="minorHAnsi"/>
                <w:color w:val="000000"/>
                <w:sz w:val="24"/>
                <w:szCs w:val="24"/>
                <w:lang w:val="en-CA" w:eastAsia="en-CA"/>
              </w:rPr>
            </w:pPr>
            <w:r w:rsidRPr="00972CB0">
              <w:rPr>
                <w:rFonts w:eastAsia="Times New Roman" w:cstheme="minorHAnsi"/>
                <w:color w:val="000000"/>
                <w:sz w:val="24"/>
                <w:szCs w:val="24"/>
                <w:lang w:val="en-CA" w:eastAsia="en-CA"/>
              </w:rPr>
              <w:t>Time of ACVS-relevant clinical event (e.g., TIA, stroke)</w:t>
            </w:r>
          </w:p>
        </w:tc>
        <w:tc>
          <w:tcPr>
            <w:tcW w:w="1080" w:type="dxa"/>
          </w:tcPr>
          <w:p w:rsidR="006F2FC0" w:rsidRPr="00972CB0" w:rsidRDefault="006F2FC0" w:rsidP="006F2FC0">
            <w:pPr>
              <w:jc w:val="center"/>
              <w:rPr>
                <w:rFonts w:eastAsia="Times New Roman" w:cstheme="minorHAnsi"/>
                <w:color w:val="000000"/>
                <w:sz w:val="24"/>
                <w:szCs w:val="24"/>
                <w:lang w:val="en-CA" w:eastAsia="en-CA"/>
              </w:rPr>
            </w:pPr>
            <w:r w:rsidRPr="00972CB0">
              <w:rPr>
                <w:rFonts w:eastAsia="Times New Roman" w:cstheme="minorHAnsi"/>
                <w:color w:val="000000"/>
                <w:sz w:val="24"/>
                <w:szCs w:val="24"/>
                <w:lang w:val="en-CA" w:eastAsia="en-CA"/>
              </w:rPr>
              <w:t>X</w:t>
            </w:r>
          </w:p>
        </w:tc>
        <w:tc>
          <w:tcPr>
            <w:tcW w:w="995" w:type="dxa"/>
          </w:tcPr>
          <w:p w:rsidR="006F2FC0" w:rsidRPr="00972CB0" w:rsidRDefault="00D33399" w:rsidP="006F2FC0">
            <w:pPr>
              <w:jc w:val="center"/>
              <w:rPr>
                <w:rFonts w:eastAsia="Times New Roman" w:cstheme="minorHAnsi"/>
                <w:color w:val="000000"/>
                <w:sz w:val="24"/>
                <w:szCs w:val="24"/>
                <w:lang w:val="en-CA" w:eastAsia="en-CA"/>
              </w:rPr>
            </w:pPr>
            <w:r w:rsidRPr="00972CB0">
              <w:rPr>
                <w:rFonts w:eastAsia="Times New Roman" w:cstheme="minorHAnsi"/>
                <w:color w:val="000000"/>
                <w:sz w:val="24"/>
                <w:szCs w:val="24"/>
                <w:lang w:val="en-CA" w:eastAsia="en-CA"/>
              </w:rPr>
              <w:t>X</w:t>
            </w:r>
          </w:p>
        </w:tc>
      </w:tr>
      <w:tr w:rsidR="006F2FC0" w:rsidRPr="00972CB0" w:rsidTr="006F2FC0">
        <w:tc>
          <w:tcPr>
            <w:tcW w:w="7275" w:type="dxa"/>
          </w:tcPr>
          <w:p w:rsidR="006F2FC0" w:rsidRPr="00972CB0" w:rsidRDefault="006F2FC0" w:rsidP="006F2FC0">
            <w:pPr>
              <w:rPr>
                <w:rFonts w:eastAsia="Times New Roman" w:cstheme="minorHAnsi"/>
                <w:color w:val="000000"/>
                <w:sz w:val="24"/>
                <w:szCs w:val="24"/>
                <w:lang w:val="en-CA" w:eastAsia="en-CA"/>
              </w:rPr>
            </w:pPr>
            <w:r w:rsidRPr="00972CB0">
              <w:rPr>
                <w:rFonts w:eastAsia="Times New Roman" w:cstheme="minorHAnsi"/>
                <w:color w:val="000000"/>
                <w:sz w:val="24"/>
                <w:szCs w:val="24"/>
                <w:lang w:val="en-CA" w:eastAsia="en-CA"/>
              </w:rPr>
              <w:t>Referral form signs, symptoms (e.g., amnesia; anxiety; confusion; diplopia; headache, etc.) (Yes/No)</w:t>
            </w:r>
          </w:p>
        </w:tc>
        <w:tc>
          <w:tcPr>
            <w:tcW w:w="1080" w:type="dxa"/>
          </w:tcPr>
          <w:p w:rsidR="006F2FC0" w:rsidRPr="00972CB0" w:rsidRDefault="006F2FC0" w:rsidP="006F2FC0">
            <w:pPr>
              <w:jc w:val="center"/>
              <w:rPr>
                <w:rFonts w:eastAsia="Times New Roman" w:cstheme="minorHAnsi"/>
                <w:color w:val="000000"/>
                <w:sz w:val="24"/>
                <w:szCs w:val="24"/>
                <w:lang w:val="en-CA" w:eastAsia="en-CA"/>
              </w:rPr>
            </w:pPr>
            <w:r w:rsidRPr="00972CB0">
              <w:rPr>
                <w:rFonts w:eastAsia="Times New Roman" w:cstheme="minorHAnsi"/>
                <w:color w:val="000000"/>
                <w:sz w:val="24"/>
                <w:szCs w:val="24"/>
                <w:lang w:val="en-CA" w:eastAsia="en-CA"/>
              </w:rPr>
              <w:t>X</w:t>
            </w:r>
          </w:p>
        </w:tc>
        <w:tc>
          <w:tcPr>
            <w:tcW w:w="995" w:type="dxa"/>
          </w:tcPr>
          <w:p w:rsidR="006F2FC0" w:rsidRPr="00972CB0" w:rsidRDefault="00D33399" w:rsidP="006F2FC0">
            <w:pPr>
              <w:jc w:val="center"/>
              <w:rPr>
                <w:rFonts w:eastAsia="Times New Roman" w:cstheme="minorHAnsi"/>
                <w:color w:val="000000"/>
                <w:sz w:val="24"/>
                <w:szCs w:val="24"/>
                <w:lang w:val="en-CA" w:eastAsia="en-CA"/>
              </w:rPr>
            </w:pPr>
            <w:r w:rsidRPr="00972CB0">
              <w:rPr>
                <w:rFonts w:eastAsia="Times New Roman" w:cstheme="minorHAnsi"/>
                <w:color w:val="000000"/>
                <w:sz w:val="24"/>
                <w:szCs w:val="24"/>
                <w:lang w:val="en-CA" w:eastAsia="en-CA"/>
              </w:rPr>
              <w:t>X</w:t>
            </w:r>
          </w:p>
        </w:tc>
      </w:tr>
      <w:tr w:rsidR="003477B3" w:rsidRPr="00972CB0" w:rsidTr="006F2FC0">
        <w:tc>
          <w:tcPr>
            <w:tcW w:w="7275" w:type="dxa"/>
          </w:tcPr>
          <w:p w:rsidR="003477B3" w:rsidRPr="00972CB0" w:rsidRDefault="003477B3" w:rsidP="006F2FC0">
            <w:pPr>
              <w:rPr>
                <w:rFonts w:eastAsia="Times New Roman" w:cstheme="minorHAnsi"/>
                <w:color w:val="000000"/>
                <w:sz w:val="24"/>
                <w:szCs w:val="24"/>
                <w:lang w:val="en-CA" w:eastAsia="en-CA"/>
              </w:rPr>
            </w:pPr>
            <w:r>
              <w:rPr>
                <w:rFonts w:eastAsia="Times New Roman" w:cstheme="minorHAnsi"/>
                <w:color w:val="000000"/>
                <w:sz w:val="24"/>
                <w:szCs w:val="24"/>
                <w:lang w:val="en-CA" w:eastAsia="en-CA"/>
              </w:rPr>
              <w:t>Etc</w:t>
            </w:r>
          </w:p>
        </w:tc>
        <w:tc>
          <w:tcPr>
            <w:tcW w:w="1080" w:type="dxa"/>
          </w:tcPr>
          <w:p w:rsidR="003477B3" w:rsidRPr="00972CB0" w:rsidRDefault="003477B3" w:rsidP="006F2FC0">
            <w:pPr>
              <w:jc w:val="center"/>
              <w:rPr>
                <w:rFonts w:eastAsia="Times New Roman" w:cstheme="minorHAnsi"/>
                <w:color w:val="000000"/>
                <w:sz w:val="24"/>
                <w:szCs w:val="24"/>
                <w:lang w:val="en-CA" w:eastAsia="en-CA"/>
              </w:rPr>
            </w:pPr>
          </w:p>
        </w:tc>
        <w:tc>
          <w:tcPr>
            <w:tcW w:w="995" w:type="dxa"/>
          </w:tcPr>
          <w:p w:rsidR="003477B3" w:rsidRPr="00972CB0" w:rsidRDefault="003477B3" w:rsidP="006F2FC0">
            <w:pPr>
              <w:jc w:val="center"/>
              <w:rPr>
                <w:rFonts w:eastAsia="Times New Roman" w:cstheme="minorHAnsi"/>
                <w:color w:val="000000"/>
                <w:sz w:val="24"/>
                <w:szCs w:val="24"/>
                <w:lang w:val="en-CA" w:eastAsia="en-CA"/>
              </w:rPr>
            </w:pPr>
          </w:p>
        </w:tc>
      </w:tr>
      <w:tr w:rsidR="003477B3" w:rsidRPr="00972CB0" w:rsidTr="006F2FC0">
        <w:tc>
          <w:tcPr>
            <w:tcW w:w="7275" w:type="dxa"/>
          </w:tcPr>
          <w:p w:rsidR="003477B3" w:rsidRPr="00972CB0" w:rsidRDefault="003477B3" w:rsidP="006F2FC0">
            <w:pPr>
              <w:rPr>
                <w:rFonts w:eastAsia="Times New Roman" w:cstheme="minorHAnsi"/>
                <w:color w:val="000000"/>
                <w:sz w:val="24"/>
                <w:szCs w:val="24"/>
                <w:lang w:val="en-CA" w:eastAsia="en-CA"/>
              </w:rPr>
            </w:pPr>
            <w:r>
              <w:rPr>
                <w:rFonts w:eastAsia="Times New Roman" w:cstheme="minorHAnsi"/>
                <w:color w:val="000000"/>
                <w:sz w:val="24"/>
                <w:szCs w:val="24"/>
                <w:lang w:val="en-CA" w:eastAsia="en-CA"/>
              </w:rPr>
              <w:t>Etc</w:t>
            </w:r>
          </w:p>
        </w:tc>
        <w:tc>
          <w:tcPr>
            <w:tcW w:w="1080" w:type="dxa"/>
          </w:tcPr>
          <w:p w:rsidR="003477B3" w:rsidRPr="00972CB0" w:rsidRDefault="003477B3" w:rsidP="006F2FC0">
            <w:pPr>
              <w:jc w:val="center"/>
              <w:rPr>
                <w:rFonts w:eastAsia="Times New Roman" w:cstheme="minorHAnsi"/>
                <w:color w:val="000000"/>
                <w:sz w:val="24"/>
                <w:szCs w:val="24"/>
                <w:lang w:val="en-CA" w:eastAsia="en-CA"/>
              </w:rPr>
            </w:pPr>
          </w:p>
        </w:tc>
        <w:tc>
          <w:tcPr>
            <w:tcW w:w="995" w:type="dxa"/>
          </w:tcPr>
          <w:p w:rsidR="003477B3" w:rsidRPr="00972CB0" w:rsidRDefault="003477B3" w:rsidP="006F2FC0">
            <w:pPr>
              <w:jc w:val="center"/>
              <w:rPr>
                <w:rFonts w:eastAsia="Times New Roman" w:cstheme="minorHAnsi"/>
                <w:color w:val="000000"/>
                <w:sz w:val="24"/>
                <w:szCs w:val="24"/>
                <w:lang w:val="en-CA" w:eastAsia="en-CA"/>
              </w:rPr>
            </w:pPr>
          </w:p>
        </w:tc>
      </w:tr>
    </w:tbl>
    <w:p w:rsidR="008D58FA" w:rsidRDefault="008D58FA">
      <w:pPr>
        <w:rPr>
          <w:rFonts w:eastAsia="Times New Roman" w:cstheme="minorHAnsi"/>
          <w:color w:val="000000"/>
          <w:sz w:val="24"/>
          <w:szCs w:val="24"/>
          <w:lang w:val="en-CA" w:eastAsia="en-CA"/>
        </w:rPr>
      </w:pPr>
    </w:p>
    <w:p w:rsidR="00FC4F48" w:rsidRPr="00972CB0" w:rsidRDefault="00FC4F48" w:rsidP="008D58FA">
      <w:pPr>
        <w:pStyle w:val="Heading1"/>
        <w:rPr>
          <w:rFonts w:eastAsia="Times New Roman"/>
          <w:lang w:val="en-CA" w:eastAsia="en-CA"/>
        </w:rPr>
      </w:pPr>
      <w:r w:rsidRPr="00972CB0">
        <w:rPr>
          <w:rFonts w:eastAsia="Times New Roman"/>
          <w:lang w:val="en-CA" w:eastAsia="en-CA"/>
        </w:rPr>
        <w:t>Data Management</w:t>
      </w:r>
    </w:p>
    <w:p w:rsidR="00FC4F48" w:rsidRPr="00972CB0" w:rsidRDefault="00FC4F48" w:rsidP="00FC4F48">
      <w:pPr>
        <w:pStyle w:val="ListParagraph"/>
        <w:numPr>
          <w:ilvl w:val="0"/>
          <w:numId w:val="6"/>
        </w:numPr>
        <w:shd w:val="clear" w:color="auto" w:fill="FFFFFF"/>
        <w:rPr>
          <w:rFonts w:eastAsia="Times New Roman" w:cstheme="minorHAnsi"/>
          <w:color w:val="000000"/>
          <w:sz w:val="24"/>
          <w:szCs w:val="24"/>
          <w:lang w:val="en-CA" w:eastAsia="en-CA"/>
        </w:rPr>
      </w:pPr>
      <w:r w:rsidRPr="00972CB0">
        <w:rPr>
          <w:rFonts w:eastAsia="Times New Roman" w:cstheme="minorHAnsi"/>
          <w:color w:val="000000"/>
          <w:sz w:val="24"/>
          <w:szCs w:val="24"/>
          <w:lang w:val="en-CA" w:eastAsia="en-CA"/>
        </w:rPr>
        <w:t>Person-level data for a cohort whose membership is defined in terms of registrations to the SRAU – approximately 12,000 persons.</w:t>
      </w:r>
    </w:p>
    <w:p w:rsidR="0028614E" w:rsidRPr="00972CB0" w:rsidRDefault="0028614E" w:rsidP="00FC4F48">
      <w:pPr>
        <w:pStyle w:val="ListParagraph"/>
        <w:numPr>
          <w:ilvl w:val="0"/>
          <w:numId w:val="6"/>
        </w:numPr>
        <w:shd w:val="clear" w:color="auto" w:fill="FFFFFF"/>
        <w:rPr>
          <w:rFonts w:eastAsia="Times New Roman" w:cstheme="minorHAnsi"/>
          <w:color w:val="000000"/>
          <w:sz w:val="24"/>
          <w:szCs w:val="24"/>
          <w:lang w:val="en-CA" w:eastAsia="en-CA"/>
        </w:rPr>
      </w:pPr>
      <w:r w:rsidRPr="00972CB0">
        <w:rPr>
          <w:rFonts w:eastAsia="Times New Roman" w:cstheme="minorHAnsi"/>
          <w:color w:val="000000"/>
          <w:sz w:val="24"/>
          <w:szCs w:val="24"/>
          <w:lang w:val="en-CA" w:eastAsia="en-CA"/>
        </w:rPr>
        <w:t xml:space="preserve">Data from any and all data sources will be indexed by PHN in order to facilitate data linkage. </w:t>
      </w:r>
    </w:p>
    <w:p w:rsidR="0028614E" w:rsidRPr="00972CB0" w:rsidRDefault="0028614E" w:rsidP="00FC4F48">
      <w:pPr>
        <w:pStyle w:val="ListParagraph"/>
        <w:numPr>
          <w:ilvl w:val="0"/>
          <w:numId w:val="6"/>
        </w:numPr>
        <w:shd w:val="clear" w:color="auto" w:fill="FFFFFF"/>
        <w:rPr>
          <w:rFonts w:eastAsia="Times New Roman" w:cstheme="minorHAnsi"/>
          <w:color w:val="000000"/>
          <w:sz w:val="24"/>
          <w:szCs w:val="24"/>
          <w:lang w:val="en-CA" w:eastAsia="en-CA"/>
        </w:rPr>
      </w:pPr>
      <w:r w:rsidRPr="00972CB0">
        <w:rPr>
          <w:rFonts w:eastAsia="Times New Roman" w:cstheme="minorHAnsi"/>
          <w:color w:val="000000"/>
          <w:sz w:val="24"/>
          <w:szCs w:val="24"/>
          <w:lang w:val="en-CA" w:eastAsia="en-CA"/>
        </w:rPr>
        <w:t>Data residing in sources outside of the EDW but within the perimeter of the Island Health firewall will be copied directly into the appropriately designated location in the EDW by a designated EDW staff person.  Any data residing outside the Island Health firewall will be transmitted via Kiteworks secure email to a designated EDW staff person.</w:t>
      </w:r>
    </w:p>
    <w:p w:rsidR="001C1D92" w:rsidRPr="00972CB0" w:rsidRDefault="001C1D92" w:rsidP="00FC4F48">
      <w:pPr>
        <w:pStyle w:val="ListParagraph"/>
        <w:numPr>
          <w:ilvl w:val="0"/>
          <w:numId w:val="6"/>
        </w:numPr>
        <w:shd w:val="clear" w:color="auto" w:fill="FFFFFF"/>
        <w:rPr>
          <w:rFonts w:eastAsia="Times New Roman" w:cstheme="minorHAnsi"/>
          <w:color w:val="000000"/>
          <w:sz w:val="24"/>
          <w:szCs w:val="24"/>
          <w:lang w:val="en-CA" w:eastAsia="en-CA"/>
        </w:rPr>
      </w:pPr>
      <w:r w:rsidRPr="00972CB0">
        <w:rPr>
          <w:rFonts w:eastAsia="Times New Roman" w:cstheme="minorHAnsi"/>
          <w:color w:val="000000"/>
          <w:sz w:val="24"/>
          <w:szCs w:val="24"/>
          <w:lang w:val="en-CA" w:eastAsia="en-CA"/>
        </w:rPr>
        <w:t>All data linkage will be performed by the EDW staff person inside the EDW.</w:t>
      </w:r>
    </w:p>
    <w:p w:rsidR="001C1D92" w:rsidRPr="00972CB0" w:rsidRDefault="001C1D92" w:rsidP="00FC4F48">
      <w:pPr>
        <w:pStyle w:val="ListParagraph"/>
        <w:numPr>
          <w:ilvl w:val="0"/>
          <w:numId w:val="6"/>
        </w:numPr>
        <w:shd w:val="clear" w:color="auto" w:fill="FFFFFF"/>
        <w:rPr>
          <w:rFonts w:eastAsia="Times New Roman" w:cstheme="minorHAnsi"/>
          <w:color w:val="000000"/>
          <w:sz w:val="24"/>
          <w:szCs w:val="24"/>
          <w:lang w:val="en-CA" w:eastAsia="en-CA"/>
        </w:rPr>
      </w:pPr>
      <w:r w:rsidRPr="00972CB0">
        <w:rPr>
          <w:rFonts w:eastAsia="Times New Roman" w:cstheme="minorHAnsi"/>
          <w:color w:val="000000"/>
          <w:sz w:val="24"/>
          <w:szCs w:val="24"/>
          <w:lang w:val="en-CA" w:eastAsia="en-CA"/>
        </w:rPr>
        <w:t xml:space="preserve">All dates will be expressed in terms of duration (days) from Day 0, which is set by the patient registration date into the SRAU. </w:t>
      </w:r>
    </w:p>
    <w:p w:rsidR="001C1D92" w:rsidRPr="00972CB0" w:rsidRDefault="001C1D92" w:rsidP="00FC4F48">
      <w:pPr>
        <w:pStyle w:val="ListParagraph"/>
        <w:numPr>
          <w:ilvl w:val="0"/>
          <w:numId w:val="6"/>
        </w:numPr>
        <w:shd w:val="clear" w:color="auto" w:fill="FFFFFF"/>
        <w:rPr>
          <w:rFonts w:eastAsia="Times New Roman" w:cstheme="minorHAnsi"/>
          <w:color w:val="000000"/>
          <w:sz w:val="24"/>
          <w:szCs w:val="24"/>
          <w:lang w:val="en-CA" w:eastAsia="en-CA"/>
        </w:rPr>
      </w:pPr>
      <w:r w:rsidRPr="00972CB0">
        <w:rPr>
          <w:rFonts w:eastAsia="Times New Roman" w:cstheme="minorHAnsi"/>
          <w:color w:val="000000"/>
          <w:sz w:val="24"/>
          <w:szCs w:val="24"/>
          <w:lang w:val="en-CA" w:eastAsia="en-CA"/>
        </w:rPr>
        <w:t>All data elements will be reviewed against the Safe Harbor list of identifiers; all Safe Harbor identifiers will be masked or deleted.  Keys to link the de-identified data to PNHs will be retained by the EDW staff and will not be disclosed to the researchers.</w:t>
      </w:r>
    </w:p>
    <w:p w:rsidR="001C1D92" w:rsidRPr="00972CB0" w:rsidRDefault="001C1D92" w:rsidP="00FC4F48">
      <w:pPr>
        <w:pStyle w:val="ListParagraph"/>
        <w:numPr>
          <w:ilvl w:val="0"/>
          <w:numId w:val="6"/>
        </w:numPr>
        <w:shd w:val="clear" w:color="auto" w:fill="FFFFFF"/>
        <w:rPr>
          <w:rFonts w:eastAsia="Times New Roman" w:cstheme="minorHAnsi"/>
          <w:color w:val="000000"/>
          <w:sz w:val="24"/>
          <w:szCs w:val="24"/>
          <w:lang w:val="en-CA" w:eastAsia="en-CA"/>
        </w:rPr>
      </w:pPr>
      <w:r w:rsidRPr="00972CB0">
        <w:rPr>
          <w:rFonts w:eastAsia="Times New Roman" w:cstheme="minorHAnsi"/>
          <w:color w:val="000000"/>
          <w:sz w:val="24"/>
          <w:szCs w:val="24"/>
          <w:lang w:val="en-CA" w:eastAsia="en-CA"/>
        </w:rPr>
        <w:t>Researchers will only have access to de-identified data.</w:t>
      </w:r>
    </w:p>
    <w:p w:rsidR="001C1D92" w:rsidRPr="00972CB0" w:rsidRDefault="001C1D92" w:rsidP="001C1D92">
      <w:pPr>
        <w:shd w:val="clear" w:color="auto" w:fill="FFFFFF"/>
        <w:rPr>
          <w:rFonts w:eastAsia="Times New Roman" w:cstheme="minorHAnsi"/>
          <w:color w:val="000000"/>
          <w:sz w:val="24"/>
          <w:szCs w:val="24"/>
          <w:lang w:val="en-CA" w:eastAsia="en-CA"/>
        </w:rPr>
      </w:pPr>
    </w:p>
    <w:p w:rsidR="008D58FA" w:rsidRPr="003477B3" w:rsidRDefault="003477B3" w:rsidP="003477B3">
      <w:pPr>
        <w:shd w:val="clear" w:color="auto" w:fill="FFFFFF"/>
        <w:rPr>
          <w:rFonts w:eastAsia="Times New Roman" w:cstheme="minorHAnsi"/>
          <w:i/>
          <w:color w:val="000000"/>
          <w:sz w:val="24"/>
          <w:szCs w:val="24"/>
          <w:lang w:val="en-CA" w:eastAsia="en-CA"/>
        </w:rPr>
      </w:pPr>
      <w:r>
        <w:rPr>
          <w:rFonts w:cstheme="minorHAnsi"/>
          <w:kern w:val="32"/>
        </w:rPr>
        <w:t xml:space="preserve">RE: US Regulations – see </w:t>
      </w:r>
      <w:r w:rsidRPr="008D28CC">
        <w:rPr>
          <w:rFonts w:cstheme="minorHAnsi"/>
          <w:kern w:val="32"/>
        </w:rPr>
        <w:t xml:space="preserve">HIPAA Privacy Rule – </w:t>
      </w:r>
      <w:r w:rsidRPr="003477B3">
        <w:rPr>
          <w:rFonts w:cstheme="minorHAnsi"/>
          <w:i/>
          <w:kern w:val="32"/>
        </w:rPr>
        <w:t>US Code of Federal Regulations (CFR):  45 CFR, Part 160 and Subparts A and E of Part 165.</w:t>
      </w:r>
    </w:p>
    <w:p w:rsidR="003477B3" w:rsidRDefault="003477B3" w:rsidP="008D58FA">
      <w:pPr>
        <w:pStyle w:val="Heading2"/>
        <w:rPr>
          <w:rFonts w:eastAsia="Times New Roman"/>
          <w:lang w:val="en-CA" w:eastAsia="en-CA"/>
        </w:rPr>
      </w:pPr>
    </w:p>
    <w:p w:rsidR="003477B3" w:rsidRDefault="003477B3" w:rsidP="008D58FA">
      <w:pPr>
        <w:pStyle w:val="Heading2"/>
        <w:rPr>
          <w:rFonts w:eastAsia="Times New Roman"/>
          <w:lang w:val="en-CA" w:eastAsia="en-CA"/>
        </w:rPr>
      </w:pPr>
    </w:p>
    <w:p w:rsidR="008D58FA" w:rsidRPr="00972CB0" w:rsidRDefault="008D58FA" w:rsidP="008D58FA">
      <w:pPr>
        <w:pStyle w:val="Heading2"/>
        <w:rPr>
          <w:rFonts w:eastAsia="Times New Roman"/>
          <w:lang w:val="en-CA" w:eastAsia="en-CA"/>
        </w:rPr>
      </w:pPr>
      <w:r>
        <w:rPr>
          <w:rFonts w:eastAsia="Times New Roman"/>
          <w:lang w:val="en-CA" w:eastAsia="en-CA"/>
        </w:rPr>
        <w:t>Safe Harbor Identifiers</w:t>
      </w:r>
    </w:p>
    <w:p w:rsidR="00747DC3" w:rsidRDefault="00747DC3">
      <w:pPr>
        <w:rPr>
          <w:rFonts w:cstheme="minorHAnsi"/>
        </w:rPr>
      </w:pPr>
    </w:p>
    <w:p w:rsidR="00514D60" w:rsidRDefault="008D58FA">
      <w:pPr>
        <w:rPr>
          <w:rFonts w:cstheme="minorHAnsi"/>
          <w:b/>
          <w:lang w:val="en"/>
        </w:rPr>
      </w:pPr>
      <w:r>
        <w:rPr>
          <w:rFonts w:cstheme="minorHAnsi"/>
        </w:rPr>
        <w:t xml:space="preserve">The following material is copied from </w:t>
      </w:r>
      <w:r w:rsidR="00514D60">
        <w:rPr>
          <w:rFonts w:cstheme="minorHAnsi"/>
        </w:rPr>
        <w:t xml:space="preserve">Malin (2012) </w:t>
      </w:r>
      <w:r w:rsidRPr="008D58FA">
        <w:rPr>
          <w:rFonts w:cstheme="minorHAnsi"/>
          <w:b/>
          <w:i/>
          <w:lang w:val="en"/>
        </w:rPr>
        <w:t>Guidance Regarding Methods for De-identification of Protected Health Information in Accordance with the Health Insurance Portability and Accountability Act (HIPAA) Privacy Rule</w:t>
      </w:r>
      <w:r>
        <w:rPr>
          <w:rFonts w:cstheme="minorHAnsi"/>
          <w:b/>
          <w:i/>
          <w:lang w:val="en"/>
        </w:rPr>
        <w:t xml:space="preserve">  </w:t>
      </w:r>
      <w:r w:rsidR="00514D60">
        <w:rPr>
          <w:rFonts w:cstheme="minorHAnsi"/>
          <w:b/>
          <w:i/>
          <w:lang w:val="en"/>
        </w:rPr>
        <w:t>(</w:t>
      </w:r>
      <w:hyperlink r:id="rId9" w:anchor="safeharborguidance" w:history="1">
        <w:r w:rsidR="00514D60" w:rsidRPr="00B57437">
          <w:rPr>
            <w:rStyle w:val="Hyperlink"/>
            <w:rFonts w:cstheme="minorHAnsi"/>
            <w:b/>
            <w:i/>
            <w:lang w:val="en"/>
          </w:rPr>
          <w:t>https://www.hhs.gov/hipaa/for-professionals/privacy/special-topics/de-identification/index.html#safeharborguidance</w:t>
        </w:r>
      </w:hyperlink>
      <w:r w:rsidR="00514D60">
        <w:rPr>
          <w:rFonts w:cstheme="minorHAnsi"/>
          <w:b/>
          <w:i/>
          <w:lang w:val="en"/>
        </w:rPr>
        <w:t xml:space="preserve">) . </w:t>
      </w:r>
      <w:r w:rsidR="00514D60">
        <w:rPr>
          <w:rFonts w:cstheme="minorHAnsi"/>
          <w:b/>
          <w:lang w:val="en"/>
        </w:rPr>
        <w:t xml:space="preserve">For a .pdf version, see </w:t>
      </w:r>
      <w:hyperlink r:id="rId10" w:history="1">
        <w:r w:rsidR="00514D60" w:rsidRPr="00B57437">
          <w:rPr>
            <w:rStyle w:val="Hyperlink"/>
            <w:rFonts w:cstheme="minorHAnsi"/>
            <w:b/>
            <w:lang w:val="en"/>
          </w:rPr>
          <w:t>https://www.hhs.gov/sites/default/files/ocr/privacy/hipaa/understanding/coveredentities/De-identification/hhs_deid_guidance.pdf</w:t>
        </w:r>
      </w:hyperlink>
    </w:p>
    <w:p w:rsidR="00514D60" w:rsidRDefault="00514D60">
      <w:pPr>
        <w:rPr>
          <w:rFonts w:cstheme="minorHAnsi"/>
          <w:b/>
          <w:lang w:val="en"/>
        </w:rPr>
      </w:pPr>
      <w:r>
        <w:rPr>
          <w:rFonts w:cstheme="minorHAnsi"/>
          <w:b/>
          <w:lang w:val="en"/>
        </w:rPr>
        <w:br w:type="page"/>
      </w:r>
    </w:p>
    <w:p w:rsidR="008D58FA" w:rsidRDefault="00514D60">
      <w:pPr>
        <w:rPr>
          <w:rFonts w:cstheme="minorHAnsi"/>
          <w:b/>
          <w:lang w:val="en"/>
        </w:rPr>
      </w:pPr>
      <w:r w:rsidRPr="00514D60">
        <w:rPr>
          <w:rFonts w:cstheme="minorHAnsi"/>
          <w:noProof/>
        </w:rPr>
        <w:lastRenderedPageBreak/>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-152400</wp:posOffset>
                </wp:positionV>
                <wp:extent cx="6029325" cy="1404620"/>
                <wp:effectExtent l="0" t="0" r="28575" b="184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1404620"/>
                        </a:xfrm>
                        <a:prstGeom prst="rect">
                          <a:avLst/>
                        </a:prstGeom>
                        <a:solidFill>
                          <a:srgbClr val="FFFFFF"/>
                        </a:solidFill>
                        <a:ln w="9525">
                          <a:solidFill>
                            <a:srgbClr val="000000"/>
                          </a:solidFill>
                          <a:miter lim="800000"/>
                          <a:headEnd/>
                          <a:tailEnd/>
                        </a:ln>
                      </wps:spPr>
                      <wps:txbx>
                        <w:txbxContent>
                          <w:p w:rsidR="00514D60" w:rsidRPr="008D58FA" w:rsidRDefault="00514D60" w:rsidP="00514D60">
                            <w:pPr>
                              <w:shd w:val="clear" w:color="auto" w:fill="FFFFFF"/>
                              <w:spacing w:before="300" w:after="150"/>
                              <w:outlineLvl w:val="2"/>
                              <w:rPr>
                                <w:rFonts w:ascii="Helvetica" w:eastAsia="Times New Roman" w:hAnsi="Helvetica" w:cs="Helvetica"/>
                                <w:color w:val="000000"/>
                                <w:sz w:val="24"/>
                                <w:szCs w:val="39"/>
                                <w:lang w:val="en" w:eastAsia="en-CA"/>
                              </w:rPr>
                            </w:pPr>
                            <w:r w:rsidRPr="008D58FA">
                              <w:rPr>
                                <w:rFonts w:ascii="Helvetica" w:eastAsia="Times New Roman" w:hAnsi="Helvetica" w:cs="Helvetica"/>
                                <w:color w:val="0053CC"/>
                                <w:sz w:val="24"/>
                                <w:szCs w:val="39"/>
                                <w:u w:val="single"/>
                                <w:lang w:val="en" w:eastAsia="en-CA"/>
                              </w:rPr>
                              <w:t>Guidance on Satisfying the Safe Harbor Method</w:t>
                            </w:r>
                          </w:p>
                          <w:p w:rsidR="00514D60" w:rsidRPr="008D58FA" w:rsidRDefault="00514D60" w:rsidP="00514D60">
                            <w:pPr>
                              <w:shd w:val="clear" w:color="auto" w:fill="FFFFFF"/>
                              <w:spacing w:after="150"/>
                              <w:rPr>
                                <w:rFonts w:ascii="Helvetica" w:eastAsia="Times New Roman" w:hAnsi="Helvetica" w:cs="Helvetica"/>
                                <w:color w:val="000000"/>
                                <w:sz w:val="21"/>
                                <w:szCs w:val="21"/>
                                <w:lang w:val="en" w:eastAsia="en-CA"/>
                              </w:rPr>
                            </w:pPr>
                            <w:r w:rsidRPr="008D58FA">
                              <w:rPr>
                                <w:rFonts w:ascii="Helvetica" w:eastAsia="Times New Roman" w:hAnsi="Helvetica" w:cs="Helvetica"/>
                                <w:color w:val="000000"/>
                                <w:sz w:val="21"/>
                                <w:szCs w:val="21"/>
                                <w:lang w:val="en" w:eastAsia="en-CA"/>
                              </w:rPr>
                              <w:t>In §164.514(b), the Safe Harbor method for de-identification is defined as follows:</w:t>
                            </w:r>
                          </w:p>
                          <w:p w:rsidR="00514D60" w:rsidRPr="008D58FA" w:rsidRDefault="00514D60" w:rsidP="00514D60">
                            <w:pPr>
                              <w:shd w:val="clear" w:color="auto" w:fill="FFFFFF"/>
                              <w:spacing w:after="150"/>
                              <w:rPr>
                                <w:rFonts w:ascii="Helvetica" w:eastAsia="Times New Roman" w:hAnsi="Helvetica" w:cs="Helvetica"/>
                                <w:color w:val="000000"/>
                                <w:sz w:val="21"/>
                                <w:szCs w:val="21"/>
                                <w:lang w:val="en" w:eastAsia="en-CA"/>
                              </w:rPr>
                            </w:pPr>
                            <w:r w:rsidRPr="008D58FA">
                              <w:rPr>
                                <w:rFonts w:ascii="Helvetica" w:eastAsia="Times New Roman" w:hAnsi="Helvetica" w:cs="Helvetica"/>
                                <w:color w:val="000000"/>
                                <w:sz w:val="21"/>
                                <w:szCs w:val="21"/>
                                <w:lang w:val="en" w:eastAsia="en-CA"/>
                              </w:rPr>
                              <w:t>(2)(i) The following identifiers of the individual or of relatives, employers, or household members of the individual, are removed:</w:t>
                            </w:r>
                          </w:p>
                          <w:p w:rsidR="00514D60" w:rsidRPr="008D58FA" w:rsidRDefault="00514D60" w:rsidP="00514D60">
                            <w:pPr>
                              <w:shd w:val="clear" w:color="auto" w:fill="FFFFFF"/>
                              <w:spacing w:after="150"/>
                              <w:rPr>
                                <w:rFonts w:ascii="Helvetica" w:eastAsia="Times New Roman" w:hAnsi="Helvetica" w:cs="Helvetica"/>
                                <w:color w:val="000000"/>
                                <w:sz w:val="21"/>
                                <w:szCs w:val="21"/>
                                <w:lang w:val="en" w:eastAsia="en-CA"/>
                              </w:rPr>
                            </w:pPr>
                            <w:r w:rsidRPr="008D58FA">
                              <w:rPr>
                                <w:rFonts w:ascii="Helvetica" w:eastAsia="Times New Roman" w:hAnsi="Helvetica" w:cs="Helvetica"/>
                                <w:color w:val="000000"/>
                                <w:sz w:val="21"/>
                                <w:szCs w:val="21"/>
                                <w:lang w:val="en" w:eastAsia="en-CA"/>
                              </w:rPr>
                              <w:t>(A) Names</w:t>
                            </w:r>
                          </w:p>
                          <w:p w:rsidR="00514D60" w:rsidRPr="008D58FA" w:rsidRDefault="00514D60" w:rsidP="00514D60">
                            <w:pPr>
                              <w:shd w:val="clear" w:color="auto" w:fill="FFFFFF"/>
                              <w:spacing w:after="150"/>
                              <w:rPr>
                                <w:rFonts w:ascii="Helvetica" w:eastAsia="Times New Roman" w:hAnsi="Helvetica" w:cs="Helvetica"/>
                                <w:color w:val="000000"/>
                                <w:sz w:val="21"/>
                                <w:szCs w:val="21"/>
                                <w:lang w:val="en" w:eastAsia="en-CA"/>
                              </w:rPr>
                            </w:pPr>
                            <w:r w:rsidRPr="008D58FA">
                              <w:rPr>
                                <w:rFonts w:ascii="Helvetica" w:eastAsia="Times New Roman" w:hAnsi="Helvetica" w:cs="Helvetica"/>
                                <w:color w:val="000000"/>
                                <w:sz w:val="21"/>
                                <w:szCs w:val="21"/>
                                <w:lang w:val="en" w:eastAsia="en-CA"/>
                              </w:rPr>
                              <w:t>(B) All geographic subdivisions smaller than a state, including street address, city, county, precinct, ZIP code, and their equivalent geocodes, except for the initial three digits of the ZIP code if, according to the current publicly available data from the Bureau of the Census:</w:t>
                            </w:r>
                            <w:r w:rsidRPr="008D58FA">
                              <w:rPr>
                                <w:rFonts w:ascii="Helvetica" w:eastAsia="Times New Roman" w:hAnsi="Helvetica" w:cs="Helvetica"/>
                                <w:color w:val="000000"/>
                                <w:sz w:val="21"/>
                                <w:szCs w:val="21"/>
                                <w:lang w:val="en" w:eastAsia="en-CA"/>
                              </w:rPr>
                              <w:br/>
                              <w:t>(1) The geographic unit formed by combining all ZIP codes with the same three initial digits contains more than 20,000 people; and</w:t>
                            </w:r>
                            <w:r w:rsidRPr="008D58FA">
                              <w:rPr>
                                <w:rFonts w:ascii="Helvetica" w:eastAsia="Times New Roman" w:hAnsi="Helvetica" w:cs="Helvetica"/>
                                <w:color w:val="000000"/>
                                <w:sz w:val="21"/>
                                <w:szCs w:val="21"/>
                                <w:lang w:val="en" w:eastAsia="en-CA"/>
                              </w:rPr>
                              <w:br/>
                              <w:t>(2) The initial three digits of a ZIP code for all such geographic units containing 20,000 or fewer people is changed to 000</w:t>
                            </w:r>
                          </w:p>
                          <w:p w:rsidR="00514D60" w:rsidRPr="008D58FA" w:rsidRDefault="00514D60" w:rsidP="00514D60">
                            <w:pPr>
                              <w:shd w:val="clear" w:color="auto" w:fill="FFFFFF"/>
                              <w:spacing w:after="150"/>
                              <w:rPr>
                                <w:rFonts w:ascii="Helvetica" w:eastAsia="Times New Roman" w:hAnsi="Helvetica" w:cs="Helvetica"/>
                                <w:color w:val="000000"/>
                                <w:sz w:val="21"/>
                                <w:szCs w:val="21"/>
                                <w:lang w:val="en" w:eastAsia="en-CA"/>
                              </w:rPr>
                            </w:pPr>
                            <w:r w:rsidRPr="008D58FA">
                              <w:rPr>
                                <w:rFonts w:ascii="Helvetica" w:eastAsia="Times New Roman" w:hAnsi="Helvetica" w:cs="Helvetica"/>
                                <w:color w:val="000000"/>
                                <w:sz w:val="21"/>
                                <w:szCs w:val="21"/>
                                <w:lang w:val="en" w:eastAsia="en-CA"/>
                              </w:rPr>
                              <w:t>(C) All elements of dates (except year) for dates that are directly related to an individual, including birth date, admission date, discharge date, death date, and all ages over 89 and all elements of dates (including year) indicative of such age, except that such ages and elements may be aggregated into a single category of age 90 or older</w:t>
                            </w:r>
                          </w:p>
                          <w:p w:rsidR="00514D60" w:rsidRPr="008D58FA" w:rsidRDefault="00514D60" w:rsidP="00514D60">
                            <w:pPr>
                              <w:shd w:val="clear" w:color="auto" w:fill="FFFFFF"/>
                              <w:spacing w:after="150"/>
                              <w:rPr>
                                <w:rFonts w:ascii="Helvetica" w:eastAsia="Times New Roman" w:hAnsi="Helvetica" w:cs="Helvetica"/>
                                <w:color w:val="000000"/>
                                <w:sz w:val="21"/>
                                <w:szCs w:val="21"/>
                                <w:lang w:val="en" w:eastAsia="en-CA"/>
                              </w:rPr>
                            </w:pPr>
                            <w:r w:rsidRPr="008D58FA">
                              <w:rPr>
                                <w:rFonts w:ascii="Helvetica" w:eastAsia="Times New Roman" w:hAnsi="Helvetica" w:cs="Helvetica"/>
                                <w:color w:val="000000"/>
                                <w:sz w:val="21"/>
                                <w:szCs w:val="21"/>
                                <w:lang w:val="en" w:eastAsia="en-CA"/>
                              </w:rPr>
                              <w:t>(D) Telephone numbers</w:t>
                            </w:r>
                          </w:p>
                          <w:p w:rsidR="00514D60" w:rsidRPr="008D58FA" w:rsidRDefault="00514D60" w:rsidP="00514D60">
                            <w:pPr>
                              <w:shd w:val="clear" w:color="auto" w:fill="FFFFFF"/>
                              <w:spacing w:after="150"/>
                              <w:rPr>
                                <w:rFonts w:ascii="Helvetica" w:eastAsia="Times New Roman" w:hAnsi="Helvetica" w:cs="Helvetica"/>
                                <w:color w:val="000000"/>
                                <w:sz w:val="21"/>
                                <w:szCs w:val="21"/>
                                <w:lang w:val="en" w:eastAsia="en-CA"/>
                              </w:rPr>
                            </w:pPr>
                            <w:r w:rsidRPr="008D58FA">
                              <w:rPr>
                                <w:rFonts w:ascii="Helvetica" w:eastAsia="Times New Roman" w:hAnsi="Helvetica" w:cs="Helvetica"/>
                                <w:color w:val="000000"/>
                                <w:sz w:val="21"/>
                                <w:szCs w:val="21"/>
                                <w:lang w:val="en" w:eastAsia="en-CA"/>
                              </w:rPr>
                              <w:t>(L) Vehicle identifiers and serial numbers, including license plate numbers</w:t>
                            </w:r>
                          </w:p>
                          <w:p w:rsidR="00514D60" w:rsidRPr="008D58FA" w:rsidRDefault="00514D60" w:rsidP="00514D60">
                            <w:pPr>
                              <w:shd w:val="clear" w:color="auto" w:fill="FFFFFF"/>
                              <w:spacing w:after="150"/>
                              <w:rPr>
                                <w:rFonts w:ascii="Helvetica" w:eastAsia="Times New Roman" w:hAnsi="Helvetica" w:cs="Helvetica"/>
                                <w:color w:val="000000"/>
                                <w:sz w:val="21"/>
                                <w:szCs w:val="21"/>
                                <w:lang w:val="en" w:eastAsia="en-CA"/>
                              </w:rPr>
                            </w:pPr>
                            <w:r w:rsidRPr="008D58FA">
                              <w:rPr>
                                <w:rFonts w:ascii="Helvetica" w:eastAsia="Times New Roman" w:hAnsi="Helvetica" w:cs="Helvetica"/>
                                <w:color w:val="000000"/>
                                <w:sz w:val="21"/>
                                <w:szCs w:val="21"/>
                                <w:lang w:val="en" w:eastAsia="en-CA"/>
                              </w:rPr>
                              <w:t>(E) Fax numbers</w:t>
                            </w:r>
                          </w:p>
                          <w:p w:rsidR="00514D60" w:rsidRPr="008D58FA" w:rsidRDefault="00514D60" w:rsidP="00514D60">
                            <w:pPr>
                              <w:shd w:val="clear" w:color="auto" w:fill="FFFFFF"/>
                              <w:spacing w:after="150"/>
                              <w:rPr>
                                <w:rFonts w:ascii="Helvetica" w:eastAsia="Times New Roman" w:hAnsi="Helvetica" w:cs="Helvetica"/>
                                <w:color w:val="000000"/>
                                <w:sz w:val="21"/>
                                <w:szCs w:val="21"/>
                                <w:lang w:val="en" w:eastAsia="en-CA"/>
                              </w:rPr>
                            </w:pPr>
                            <w:r w:rsidRPr="008D58FA">
                              <w:rPr>
                                <w:rFonts w:ascii="Helvetica" w:eastAsia="Times New Roman" w:hAnsi="Helvetica" w:cs="Helvetica"/>
                                <w:color w:val="000000"/>
                                <w:sz w:val="21"/>
                                <w:szCs w:val="21"/>
                                <w:lang w:val="en" w:eastAsia="en-CA"/>
                              </w:rPr>
                              <w:t>(M) Device identifiers and serial numbers</w:t>
                            </w:r>
                          </w:p>
                          <w:p w:rsidR="00514D60" w:rsidRPr="008D58FA" w:rsidRDefault="00514D60" w:rsidP="00514D60">
                            <w:pPr>
                              <w:shd w:val="clear" w:color="auto" w:fill="FFFFFF"/>
                              <w:spacing w:after="150"/>
                              <w:rPr>
                                <w:rFonts w:ascii="Helvetica" w:eastAsia="Times New Roman" w:hAnsi="Helvetica" w:cs="Helvetica"/>
                                <w:color w:val="000000"/>
                                <w:sz w:val="21"/>
                                <w:szCs w:val="21"/>
                                <w:lang w:val="en" w:eastAsia="en-CA"/>
                              </w:rPr>
                            </w:pPr>
                            <w:r w:rsidRPr="008D58FA">
                              <w:rPr>
                                <w:rFonts w:ascii="Helvetica" w:eastAsia="Times New Roman" w:hAnsi="Helvetica" w:cs="Helvetica"/>
                                <w:color w:val="000000"/>
                                <w:sz w:val="21"/>
                                <w:szCs w:val="21"/>
                                <w:lang w:val="en" w:eastAsia="en-CA"/>
                              </w:rPr>
                              <w:t>(F) Email addresses</w:t>
                            </w:r>
                          </w:p>
                          <w:p w:rsidR="00514D60" w:rsidRPr="008D58FA" w:rsidRDefault="00514D60" w:rsidP="00514D60">
                            <w:pPr>
                              <w:shd w:val="clear" w:color="auto" w:fill="FFFFFF"/>
                              <w:spacing w:after="150"/>
                              <w:rPr>
                                <w:rFonts w:ascii="Helvetica" w:eastAsia="Times New Roman" w:hAnsi="Helvetica" w:cs="Helvetica"/>
                                <w:color w:val="000000"/>
                                <w:sz w:val="21"/>
                                <w:szCs w:val="21"/>
                                <w:lang w:val="en" w:eastAsia="en-CA"/>
                              </w:rPr>
                            </w:pPr>
                            <w:r w:rsidRPr="008D58FA">
                              <w:rPr>
                                <w:rFonts w:ascii="Helvetica" w:eastAsia="Times New Roman" w:hAnsi="Helvetica" w:cs="Helvetica"/>
                                <w:color w:val="000000"/>
                                <w:sz w:val="21"/>
                                <w:szCs w:val="21"/>
                                <w:lang w:val="en" w:eastAsia="en-CA"/>
                              </w:rPr>
                              <w:t>(N) Web Universal Resource Locators (URLs)</w:t>
                            </w:r>
                          </w:p>
                          <w:p w:rsidR="00514D60" w:rsidRPr="008D58FA" w:rsidRDefault="00514D60" w:rsidP="00514D60">
                            <w:pPr>
                              <w:shd w:val="clear" w:color="auto" w:fill="FFFFFF"/>
                              <w:spacing w:after="150"/>
                              <w:rPr>
                                <w:rFonts w:ascii="Helvetica" w:eastAsia="Times New Roman" w:hAnsi="Helvetica" w:cs="Helvetica"/>
                                <w:color w:val="000000"/>
                                <w:sz w:val="21"/>
                                <w:szCs w:val="21"/>
                                <w:lang w:val="en" w:eastAsia="en-CA"/>
                              </w:rPr>
                            </w:pPr>
                            <w:r w:rsidRPr="008D58FA">
                              <w:rPr>
                                <w:rFonts w:ascii="Helvetica" w:eastAsia="Times New Roman" w:hAnsi="Helvetica" w:cs="Helvetica"/>
                                <w:color w:val="000000"/>
                                <w:sz w:val="21"/>
                                <w:szCs w:val="21"/>
                                <w:lang w:val="en" w:eastAsia="en-CA"/>
                              </w:rPr>
                              <w:t>(G) Social security numbers</w:t>
                            </w:r>
                          </w:p>
                          <w:p w:rsidR="00514D60" w:rsidRPr="008D58FA" w:rsidRDefault="00514D60" w:rsidP="00514D60">
                            <w:pPr>
                              <w:shd w:val="clear" w:color="auto" w:fill="FFFFFF"/>
                              <w:spacing w:after="150"/>
                              <w:rPr>
                                <w:rFonts w:ascii="Helvetica" w:eastAsia="Times New Roman" w:hAnsi="Helvetica" w:cs="Helvetica"/>
                                <w:color w:val="000000"/>
                                <w:sz w:val="21"/>
                                <w:szCs w:val="21"/>
                                <w:lang w:val="en" w:eastAsia="en-CA"/>
                              </w:rPr>
                            </w:pPr>
                            <w:r w:rsidRPr="008D58FA">
                              <w:rPr>
                                <w:rFonts w:ascii="Helvetica" w:eastAsia="Times New Roman" w:hAnsi="Helvetica" w:cs="Helvetica"/>
                                <w:color w:val="000000"/>
                                <w:sz w:val="21"/>
                                <w:szCs w:val="21"/>
                                <w:lang w:val="en" w:eastAsia="en-CA"/>
                              </w:rPr>
                              <w:t>(O) Internet Protocol (IP) addresses</w:t>
                            </w:r>
                          </w:p>
                          <w:p w:rsidR="00514D60" w:rsidRPr="008D58FA" w:rsidRDefault="00514D60" w:rsidP="00514D60">
                            <w:pPr>
                              <w:shd w:val="clear" w:color="auto" w:fill="FFFFFF"/>
                              <w:spacing w:after="150"/>
                              <w:rPr>
                                <w:rFonts w:ascii="Helvetica" w:eastAsia="Times New Roman" w:hAnsi="Helvetica" w:cs="Helvetica"/>
                                <w:color w:val="000000"/>
                                <w:sz w:val="21"/>
                                <w:szCs w:val="21"/>
                                <w:lang w:val="en" w:eastAsia="en-CA"/>
                              </w:rPr>
                            </w:pPr>
                            <w:r w:rsidRPr="008D58FA">
                              <w:rPr>
                                <w:rFonts w:ascii="Helvetica" w:eastAsia="Times New Roman" w:hAnsi="Helvetica" w:cs="Helvetica"/>
                                <w:color w:val="000000"/>
                                <w:sz w:val="21"/>
                                <w:szCs w:val="21"/>
                                <w:lang w:val="en" w:eastAsia="en-CA"/>
                              </w:rPr>
                              <w:t>(H) Medical record numbers</w:t>
                            </w:r>
                          </w:p>
                          <w:p w:rsidR="00514D60" w:rsidRPr="008D58FA" w:rsidRDefault="00514D60" w:rsidP="00514D60">
                            <w:pPr>
                              <w:shd w:val="clear" w:color="auto" w:fill="FFFFFF"/>
                              <w:spacing w:after="150"/>
                              <w:rPr>
                                <w:rFonts w:ascii="Helvetica" w:eastAsia="Times New Roman" w:hAnsi="Helvetica" w:cs="Helvetica"/>
                                <w:color w:val="000000"/>
                                <w:sz w:val="21"/>
                                <w:szCs w:val="21"/>
                                <w:lang w:val="en" w:eastAsia="en-CA"/>
                              </w:rPr>
                            </w:pPr>
                            <w:r w:rsidRPr="008D58FA">
                              <w:rPr>
                                <w:rFonts w:ascii="Helvetica" w:eastAsia="Times New Roman" w:hAnsi="Helvetica" w:cs="Helvetica"/>
                                <w:color w:val="000000"/>
                                <w:sz w:val="21"/>
                                <w:szCs w:val="21"/>
                                <w:lang w:val="en" w:eastAsia="en-CA"/>
                              </w:rPr>
                              <w:t>(P) Biometric identifiers, including finger and voice prints</w:t>
                            </w:r>
                          </w:p>
                          <w:p w:rsidR="00514D60" w:rsidRPr="008D58FA" w:rsidRDefault="00514D60" w:rsidP="00514D60">
                            <w:pPr>
                              <w:shd w:val="clear" w:color="auto" w:fill="FFFFFF"/>
                              <w:spacing w:after="150"/>
                              <w:rPr>
                                <w:rFonts w:ascii="Helvetica" w:eastAsia="Times New Roman" w:hAnsi="Helvetica" w:cs="Helvetica"/>
                                <w:color w:val="000000"/>
                                <w:sz w:val="21"/>
                                <w:szCs w:val="21"/>
                                <w:lang w:val="en" w:eastAsia="en-CA"/>
                              </w:rPr>
                            </w:pPr>
                            <w:r w:rsidRPr="008D58FA">
                              <w:rPr>
                                <w:rFonts w:ascii="Helvetica" w:eastAsia="Times New Roman" w:hAnsi="Helvetica" w:cs="Helvetica"/>
                                <w:color w:val="000000"/>
                                <w:sz w:val="21"/>
                                <w:szCs w:val="21"/>
                                <w:lang w:val="en" w:eastAsia="en-CA"/>
                              </w:rPr>
                              <w:t>(I) Health plan beneficiary numbers</w:t>
                            </w:r>
                          </w:p>
                          <w:p w:rsidR="00514D60" w:rsidRPr="008D58FA" w:rsidRDefault="00514D60" w:rsidP="00514D60">
                            <w:pPr>
                              <w:shd w:val="clear" w:color="auto" w:fill="FFFFFF"/>
                              <w:spacing w:after="150"/>
                              <w:rPr>
                                <w:rFonts w:ascii="Helvetica" w:eastAsia="Times New Roman" w:hAnsi="Helvetica" w:cs="Helvetica"/>
                                <w:color w:val="000000"/>
                                <w:sz w:val="21"/>
                                <w:szCs w:val="21"/>
                                <w:lang w:val="en" w:eastAsia="en-CA"/>
                              </w:rPr>
                            </w:pPr>
                            <w:r w:rsidRPr="008D58FA">
                              <w:rPr>
                                <w:rFonts w:ascii="Helvetica" w:eastAsia="Times New Roman" w:hAnsi="Helvetica" w:cs="Helvetica"/>
                                <w:color w:val="000000"/>
                                <w:sz w:val="21"/>
                                <w:szCs w:val="21"/>
                                <w:lang w:val="en" w:eastAsia="en-CA"/>
                              </w:rPr>
                              <w:t>(Q) Full-face photographs and any comparable images</w:t>
                            </w:r>
                          </w:p>
                          <w:p w:rsidR="00514D60" w:rsidRPr="008D58FA" w:rsidRDefault="00514D60" w:rsidP="00514D60">
                            <w:pPr>
                              <w:shd w:val="clear" w:color="auto" w:fill="FFFFFF"/>
                              <w:spacing w:after="150"/>
                              <w:rPr>
                                <w:rFonts w:ascii="Helvetica" w:eastAsia="Times New Roman" w:hAnsi="Helvetica" w:cs="Helvetica"/>
                                <w:color w:val="000000"/>
                                <w:sz w:val="21"/>
                                <w:szCs w:val="21"/>
                                <w:lang w:val="en" w:eastAsia="en-CA"/>
                              </w:rPr>
                            </w:pPr>
                            <w:r w:rsidRPr="008D58FA">
                              <w:rPr>
                                <w:rFonts w:ascii="Helvetica" w:eastAsia="Times New Roman" w:hAnsi="Helvetica" w:cs="Helvetica"/>
                                <w:color w:val="000000"/>
                                <w:sz w:val="21"/>
                                <w:szCs w:val="21"/>
                                <w:lang w:val="en" w:eastAsia="en-CA"/>
                              </w:rPr>
                              <w:t>(J) Account numbers</w:t>
                            </w:r>
                          </w:p>
                          <w:p w:rsidR="00514D60" w:rsidRPr="008D58FA" w:rsidRDefault="00514D60" w:rsidP="00514D60">
                            <w:pPr>
                              <w:shd w:val="clear" w:color="auto" w:fill="FFFFFF"/>
                              <w:spacing w:after="150"/>
                              <w:rPr>
                                <w:rFonts w:ascii="Helvetica" w:eastAsia="Times New Roman" w:hAnsi="Helvetica" w:cs="Helvetica"/>
                                <w:color w:val="000000"/>
                                <w:sz w:val="21"/>
                                <w:szCs w:val="21"/>
                                <w:lang w:val="en" w:eastAsia="en-CA"/>
                              </w:rPr>
                            </w:pPr>
                            <w:r w:rsidRPr="008D58FA">
                              <w:rPr>
                                <w:rFonts w:ascii="Helvetica" w:eastAsia="Times New Roman" w:hAnsi="Helvetica" w:cs="Helvetica"/>
                                <w:color w:val="000000"/>
                                <w:sz w:val="21"/>
                                <w:szCs w:val="21"/>
                                <w:lang w:val="en" w:eastAsia="en-CA"/>
                              </w:rPr>
                              <w:t>(R) Any other unique identifying number, characteristic, or code, except as permitted by paragraph (c) of this section; and</w:t>
                            </w:r>
                          </w:p>
                          <w:p w:rsidR="00514D60" w:rsidRPr="008D58FA" w:rsidRDefault="00514D60" w:rsidP="00514D60">
                            <w:pPr>
                              <w:shd w:val="clear" w:color="auto" w:fill="FFFFFF"/>
                              <w:spacing w:after="150"/>
                              <w:rPr>
                                <w:rFonts w:ascii="Helvetica" w:eastAsia="Times New Roman" w:hAnsi="Helvetica" w:cs="Helvetica"/>
                                <w:color w:val="000000"/>
                                <w:sz w:val="21"/>
                                <w:szCs w:val="21"/>
                                <w:lang w:val="en" w:eastAsia="en-CA"/>
                              </w:rPr>
                            </w:pPr>
                            <w:r w:rsidRPr="008D58FA">
                              <w:rPr>
                                <w:rFonts w:ascii="Helvetica" w:eastAsia="Times New Roman" w:hAnsi="Helvetica" w:cs="Helvetica"/>
                                <w:color w:val="000000"/>
                                <w:sz w:val="21"/>
                                <w:szCs w:val="21"/>
                                <w:lang w:val="en" w:eastAsia="en-CA"/>
                              </w:rPr>
                              <w:t>(K) Certificate/license numbers</w:t>
                            </w:r>
                          </w:p>
                          <w:p w:rsidR="00514D60" w:rsidRPr="008D58FA" w:rsidRDefault="00514D60" w:rsidP="00514D60">
                            <w:pPr>
                              <w:shd w:val="clear" w:color="auto" w:fill="FFFFFF"/>
                              <w:rPr>
                                <w:rFonts w:ascii="Helvetica" w:eastAsia="Times New Roman" w:hAnsi="Helvetica" w:cs="Helvetica"/>
                                <w:color w:val="000000"/>
                                <w:sz w:val="21"/>
                                <w:szCs w:val="21"/>
                                <w:lang w:val="en" w:eastAsia="en-CA"/>
                              </w:rPr>
                            </w:pPr>
                            <w:r w:rsidRPr="008D58FA">
                              <w:rPr>
                                <w:rFonts w:ascii="Helvetica" w:eastAsia="Times New Roman" w:hAnsi="Helvetica" w:cs="Helvetica"/>
                                <w:color w:val="000000"/>
                                <w:sz w:val="21"/>
                                <w:szCs w:val="21"/>
                                <w:lang w:val="en" w:eastAsia="en-CA"/>
                              </w:rPr>
                              <w:t>(ii) The covered entity does not have actual knowledge that the information could be used alone or in combination with other information to identify an individual who is a subject of the information</w:t>
                            </w:r>
                          </w:p>
                          <w:p w:rsidR="00514D60" w:rsidRPr="00514D60" w:rsidRDefault="00514D60">
                            <w:pPr>
                              <w:rPr>
                                <w:lang w:val="en"/>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margin-left:423.55pt;margin-top:-12pt;width:474.7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">
                <v:textbox style="mso-fit-shape-to-text:t">
                  <w:txbxContent>
                    <w:p w:rsidR="00514D60" w:rsidRPr="008D58FA" w:rsidRDefault="00514D60" w:rsidP="00514D60">
                      <w:pPr>
                        <w:shd w:val="clear" w:color="auto" w:fill="FFFFFF"/>
                        <w:spacing w:before="300" w:after="150"/>
                        <w:outlineLvl w:val="2"/>
                        <w:rPr>
                          <w:rFonts w:ascii="Helvetica" w:eastAsia="Times New Roman" w:hAnsi="Helvetica" w:cs="Helvetica"/>
                          <w:color w:val="000000"/>
                          <w:sz w:val="24"/>
                          <w:szCs w:val="39"/>
                          <w:lang w:val="en" w:eastAsia="en-CA"/>
                        </w:rPr>
                      </w:pPr>
                      <w:r w:rsidRPr="008D58FA">
                        <w:rPr>
                          <w:rFonts w:ascii="Helvetica" w:eastAsia="Times New Roman" w:hAnsi="Helvetica" w:cs="Helvetica"/>
                          <w:color w:val="0053CC"/>
                          <w:sz w:val="24"/>
                          <w:szCs w:val="39"/>
                          <w:u w:val="single"/>
                          <w:lang w:val="en" w:eastAsia="en-CA"/>
                        </w:rPr>
                        <w:t>Guidance on Satisfying the Safe Harbor Method</w:t>
                      </w:r>
                    </w:p>
                    <w:p w:rsidR="00514D60" w:rsidRPr="008D58FA" w:rsidRDefault="00514D60" w:rsidP="00514D60">
                      <w:pPr>
                        <w:shd w:val="clear" w:color="auto" w:fill="FFFFFF"/>
                        <w:spacing w:after="150"/>
                        <w:rPr>
                          <w:rFonts w:ascii="Helvetica" w:eastAsia="Times New Roman" w:hAnsi="Helvetica" w:cs="Helvetica"/>
                          <w:color w:val="000000"/>
                          <w:sz w:val="21"/>
                          <w:szCs w:val="21"/>
                          <w:lang w:val="en" w:eastAsia="en-CA"/>
                        </w:rPr>
                      </w:pPr>
                      <w:r w:rsidRPr="008D58FA">
                        <w:rPr>
                          <w:rFonts w:ascii="Helvetica" w:eastAsia="Times New Roman" w:hAnsi="Helvetica" w:cs="Helvetica"/>
                          <w:color w:val="000000"/>
                          <w:sz w:val="21"/>
                          <w:szCs w:val="21"/>
                          <w:lang w:val="en" w:eastAsia="en-CA"/>
                        </w:rPr>
                        <w:t xml:space="preserve">In §164.514(b), the Safe Harbor method for de-identification </w:t>
                      </w:r>
                      <w:proofErr w:type="gramStart"/>
                      <w:r w:rsidRPr="008D58FA">
                        <w:rPr>
                          <w:rFonts w:ascii="Helvetica" w:eastAsia="Times New Roman" w:hAnsi="Helvetica" w:cs="Helvetica"/>
                          <w:color w:val="000000"/>
                          <w:sz w:val="21"/>
                          <w:szCs w:val="21"/>
                          <w:lang w:val="en" w:eastAsia="en-CA"/>
                        </w:rPr>
                        <w:t>is defined</w:t>
                      </w:r>
                      <w:proofErr w:type="gramEnd"/>
                      <w:r w:rsidRPr="008D58FA">
                        <w:rPr>
                          <w:rFonts w:ascii="Helvetica" w:eastAsia="Times New Roman" w:hAnsi="Helvetica" w:cs="Helvetica"/>
                          <w:color w:val="000000"/>
                          <w:sz w:val="21"/>
                          <w:szCs w:val="21"/>
                          <w:lang w:val="en" w:eastAsia="en-CA"/>
                        </w:rPr>
                        <w:t xml:space="preserve"> as follows:</w:t>
                      </w:r>
                    </w:p>
                    <w:p w:rsidR="00514D60" w:rsidRPr="008D58FA" w:rsidRDefault="00514D60" w:rsidP="00514D60">
                      <w:pPr>
                        <w:shd w:val="clear" w:color="auto" w:fill="FFFFFF"/>
                        <w:spacing w:after="150"/>
                        <w:rPr>
                          <w:rFonts w:ascii="Helvetica" w:eastAsia="Times New Roman" w:hAnsi="Helvetica" w:cs="Helvetica"/>
                          <w:color w:val="000000"/>
                          <w:sz w:val="21"/>
                          <w:szCs w:val="21"/>
                          <w:lang w:val="en" w:eastAsia="en-CA"/>
                        </w:rPr>
                      </w:pPr>
                      <w:r w:rsidRPr="008D58FA">
                        <w:rPr>
                          <w:rFonts w:ascii="Helvetica" w:eastAsia="Times New Roman" w:hAnsi="Helvetica" w:cs="Helvetica"/>
                          <w:color w:val="000000"/>
                          <w:sz w:val="21"/>
                          <w:szCs w:val="21"/>
                          <w:lang w:val="en" w:eastAsia="en-CA"/>
                        </w:rPr>
                        <w:t>(2)(</w:t>
                      </w:r>
                      <w:proofErr w:type="spellStart"/>
                      <w:r w:rsidRPr="008D58FA">
                        <w:rPr>
                          <w:rFonts w:ascii="Helvetica" w:eastAsia="Times New Roman" w:hAnsi="Helvetica" w:cs="Helvetica"/>
                          <w:color w:val="000000"/>
                          <w:sz w:val="21"/>
                          <w:szCs w:val="21"/>
                          <w:lang w:val="en" w:eastAsia="en-CA"/>
                        </w:rPr>
                        <w:t>i</w:t>
                      </w:r>
                      <w:proofErr w:type="spellEnd"/>
                      <w:r w:rsidRPr="008D58FA">
                        <w:rPr>
                          <w:rFonts w:ascii="Helvetica" w:eastAsia="Times New Roman" w:hAnsi="Helvetica" w:cs="Helvetica"/>
                          <w:color w:val="000000"/>
                          <w:sz w:val="21"/>
                          <w:szCs w:val="21"/>
                          <w:lang w:val="en" w:eastAsia="en-CA"/>
                        </w:rPr>
                        <w:t xml:space="preserve">) The following identifiers of the individual or of relatives, employers, or household members of the individual, </w:t>
                      </w:r>
                      <w:proofErr w:type="gramStart"/>
                      <w:r w:rsidRPr="008D58FA">
                        <w:rPr>
                          <w:rFonts w:ascii="Helvetica" w:eastAsia="Times New Roman" w:hAnsi="Helvetica" w:cs="Helvetica"/>
                          <w:color w:val="000000"/>
                          <w:sz w:val="21"/>
                          <w:szCs w:val="21"/>
                          <w:lang w:val="en" w:eastAsia="en-CA"/>
                        </w:rPr>
                        <w:t>are removed</w:t>
                      </w:r>
                      <w:proofErr w:type="gramEnd"/>
                      <w:r w:rsidRPr="008D58FA">
                        <w:rPr>
                          <w:rFonts w:ascii="Helvetica" w:eastAsia="Times New Roman" w:hAnsi="Helvetica" w:cs="Helvetica"/>
                          <w:color w:val="000000"/>
                          <w:sz w:val="21"/>
                          <w:szCs w:val="21"/>
                          <w:lang w:val="en" w:eastAsia="en-CA"/>
                        </w:rPr>
                        <w:t>:</w:t>
                      </w:r>
                    </w:p>
                    <w:p w:rsidR="00514D60" w:rsidRPr="008D58FA" w:rsidRDefault="00514D60" w:rsidP="00514D60">
                      <w:pPr>
                        <w:shd w:val="clear" w:color="auto" w:fill="FFFFFF"/>
                        <w:spacing w:after="150"/>
                        <w:rPr>
                          <w:rFonts w:ascii="Helvetica" w:eastAsia="Times New Roman" w:hAnsi="Helvetica" w:cs="Helvetica"/>
                          <w:color w:val="000000"/>
                          <w:sz w:val="21"/>
                          <w:szCs w:val="21"/>
                          <w:lang w:val="en" w:eastAsia="en-CA"/>
                        </w:rPr>
                      </w:pPr>
                      <w:r w:rsidRPr="008D58FA">
                        <w:rPr>
                          <w:rFonts w:ascii="Helvetica" w:eastAsia="Times New Roman" w:hAnsi="Helvetica" w:cs="Helvetica"/>
                          <w:color w:val="000000"/>
                          <w:sz w:val="21"/>
                          <w:szCs w:val="21"/>
                          <w:lang w:val="en" w:eastAsia="en-CA"/>
                        </w:rPr>
                        <w:t>(A) Names</w:t>
                      </w:r>
                    </w:p>
                    <w:p w:rsidR="00514D60" w:rsidRPr="008D58FA" w:rsidRDefault="00514D60" w:rsidP="00514D60">
                      <w:pPr>
                        <w:shd w:val="clear" w:color="auto" w:fill="FFFFFF"/>
                        <w:spacing w:after="150"/>
                        <w:rPr>
                          <w:rFonts w:ascii="Helvetica" w:eastAsia="Times New Roman" w:hAnsi="Helvetica" w:cs="Helvetica"/>
                          <w:color w:val="000000"/>
                          <w:sz w:val="21"/>
                          <w:szCs w:val="21"/>
                          <w:lang w:val="en" w:eastAsia="en-CA"/>
                        </w:rPr>
                      </w:pPr>
                      <w:proofErr w:type="gramStart"/>
                      <w:r w:rsidRPr="008D58FA">
                        <w:rPr>
                          <w:rFonts w:ascii="Helvetica" w:eastAsia="Times New Roman" w:hAnsi="Helvetica" w:cs="Helvetica"/>
                          <w:color w:val="000000"/>
                          <w:sz w:val="21"/>
                          <w:szCs w:val="21"/>
                          <w:lang w:val="en" w:eastAsia="en-CA"/>
                        </w:rPr>
                        <w:t>(B) All geographic subdivisions smaller than a state, including street address, city, county, precinct, ZIP code, and their equivalent geocodes, except for the initial three digits of the ZIP code if, according to the current publicly available data from the Bureau of the Census:</w:t>
                      </w:r>
                      <w:r w:rsidRPr="008D58FA">
                        <w:rPr>
                          <w:rFonts w:ascii="Helvetica" w:eastAsia="Times New Roman" w:hAnsi="Helvetica" w:cs="Helvetica"/>
                          <w:color w:val="000000"/>
                          <w:sz w:val="21"/>
                          <w:szCs w:val="21"/>
                          <w:lang w:val="en" w:eastAsia="en-CA"/>
                        </w:rPr>
                        <w:br/>
                        <w:t>(1) The geographic unit formed by combining all ZIP codes with the same three initial digits contains more than 20,000 people; and</w:t>
                      </w:r>
                      <w:r w:rsidRPr="008D58FA">
                        <w:rPr>
                          <w:rFonts w:ascii="Helvetica" w:eastAsia="Times New Roman" w:hAnsi="Helvetica" w:cs="Helvetica"/>
                          <w:color w:val="000000"/>
                          <w:sz w:val="21"/>
                          <w:szCs w:val="21"/>
                          <w:lang w:val="en" w:eastAsia="en-CA"/>
                        </w:rPr>
                        <w:br/>
                        <w:t>(2) The initial three digits of a ZIP code for all such geographic units containing 20,000 or fewer people is changed to 000</w:t>
                      </w:r>
                      <w:proofErr w:type="gramEnd"/>
                    </w:p>
                    <w:p w:rsidR="00514D60" w:rsidRPr="008D58FA" w:rsidRDefault="00514D60" w:rsidP="00514D60">
                      <w:pPr>
                        <w:shd w:val="clear" w:color="auto" w:fill="FFFFFF"/>
                        <w:spacing w:after="150"/>
                        <w:rPr>
                          <w:rFonts w:ascii="Helvetica" w:eastAsia="Times New Roman" w:hAnsi="Helvetica" w:cs="Helvetica"/>
                          <w:color w:val="000000"/>
                          <w:sz w:val="21"/>
                          <w:szCs w:val="21"/>
                          <w:lang w:val="en" w:eastAsia="en-CA"/>
                        </w:rPr>
                      </w:pPr>
                      <w:r w:rsidRPr="008D58FA">
                        <w:rPr>
                          <w:rFonts w:ascii="Helvetica" w:eastAsia="Times New Roman" w:hAnsi="Helvetica" w:cs="Helvetica"/>
                          <w:color w:val="000000"/>
                          <w:sz w:val="21"/>
                          <w:szCs w:val="21"/>
                          <w:lang w:val="en" w:eastAsia="en-CA"/>
                        </w:rPr>
                        <w:t>(C) All elements of dates (except year) for dates that are directly related to an individual, including birth date, admission date, discharge date, death date, and all ages over 89 and all elements of dates (including year) indicative of such age, except that such ages and elements may be aggregated into a single category of age 90 or older</w:t>
                      </w:r>
                    </w:p>
                    <w:p w:rsidR="00514D60" w:rsidRPr="008D58FA" w:rsidRDefault="00514D60" w:rsidP="00514D60">
                      <w:pPr>
                        <w:shd w:val="clear" w:color="auto" w:fill="FFFFFF"/>
                        <w:spacing w:after="150"/>
                        <w:rPr>
                          <w:rFonts w:ascii="Helvetica" w:eastAsia="Times New Roman" w:hAnsi="Helvetica" w:cs="Helvetica"/>
                          <w:color w:val="000000"/>
                          <w:sz w:val="21"/>
                          <w:szCs w:val="21"/>
                          <w:lang w:val="en" w:eastAsia="en-CA"/>
                        </w:rPr>
                      </w:pPr>
                      <w:r w:rsidRPr="008D58FA">
                        <w:rPr>
                          <w:rFonts w:ascii="Helvetica" w:eastAsia="Times New Roman" w:hAnsi="Helvetica" w:cs="Helvetica"/>
                          <w:color w:val="000000"/>
                          <w:sz w:val="21"/>
                          <w:szCs w:val="21"/>
                          <w:lang w:val="en" w:eastAsia="en-CA"/>
                        </w:rPr>
                        <w:t>(D) Telephone numbers</w:t>
                      </w:r>
                    </w:p>
                    <w:p w:rsidR="00514D60" w:rsidRPr="008D58FA" w:rsidRDefault="00514D60" w:rsidP="00514D60">
                      <w:pPr>
                        <w:shd w:val="clear" w:color="auto" w:fill="FFFFFF"/>
                        <w:spacing w:after="150"/>
                        <w:rPr>
                          <w:rFonts w:ascii="Helvetica" w:eastAsia="Times New Roman" w:hAnsi="Helvetica" w:cs="Helvetica"/>
                          <w:color w:val="000000"/>
                          <w:sz w:val="21"/>
                          <w:szCs w:val="21"/>
                          <w:lang w:val="en" w:eastAsia="en-CA"/>
                        </w:rPr>
                      </w:pPr>
                      <w:r w:rsidRPr="008D58FA">
                        <w:rPr>
                          <w:rFonts w:ascii="Helvetica" w:eastAsia="Times New Roman" w:hAnsi="Helvetica" w:cs="Helvetica"/>
                          <w:color w:val="000000"/>
                          <w:sz w:val="21"/>
                          <w:szCs w:val="21"/>
                          <w:lang w:val="en" w:eastAsia="en-CA"/>
                        </w:rPr>
                        <w:t>(L) Vehicle identifiers and serial numbers, including license plate numbers</w:t>
                      </w:r>
                    </w:p>
                    <w:p w:rsidR="00514D60" w:rsidRPr="008D58FA" w:rsidRDefault="00514D60" w:rsidP="00514D60">
                      <w:pPr>
                        <w:shd w:val="clear" w:color="auto" w:fill="FFFFFF"/>
                        <w:spacing w:after="150"/>
                        <w:rPr>
                          <w:rFonts w:ascii="Helvetica" w:eastAsia="Times New Roman" w:hAnsi="Helvetica" w:cs="Helvetica"/>
                          <w:color w:val="000000"/>
                          <w:sz w:val="21"/>
                          <w:szCs w:val="21"/>
                          <w:lang w:val="en" w:eastAsia="en-CA"/>
                        </w:rPr>
                      </w:pPr>
                      <w:r w:rsidRPr="008D58FA">
                        <w:rPr>
                          <w:rFonts w:ascii="Helvetica" w:eastAsia="Times New Roman" w:hAnsi="Helvetica" w:cs="Helvetica"/>
                          <w:color w:val="000000"/>
                          <w:sz w:val="21"/>
                          <w:szCs w:val="21"/>
                          <w:lang w:val="en" w:eastAsia="en-CA"/>
                        </w:rPr>
                        <w:t>(E) Fax numbers</w:t>
                      </w:r>
                    </w:p>
                    <w:p w:rsidR="00514D60" w:rsidRPr="008D58FA" w:rsidRDefault="00514D60" w:rsidP="00514D60">
                      <w:pPr>
                        <w:shd w:val="clear" w:color="auto" w:fill="FFFFFF"/>
                        <w:spacing w:after="150"/>
                        <w:rPr>
                          <w:rFonts w:ascii="Helvetica" w:eastAsia="Times New Roman" w:hAnsi="Helvetica" w:cs="Helvetica"/>
                          <w:color w:val="000000"/>
                          <w:sz w:val="21"/>
                          <w:szCs w:val="21"/>
                          <w:lang w:val="en" w:eastAsia="en-CA"/>
                        </w:rPr>
                      </w:pPr>
                      <w:r w:rsidRPr="008D58FA">
                        <w:rPr>
                          <w:rFonts w:ascii="Helvetica" w:eastAsia="Times New Roman" w:hAnsi="Helvetica" w:cs="Helvetica"/>
                          <w:color w:val="000000"/>
                          <w:sz w:val="21"/>
                          <w:szCs w:val="21"/>
                          <w:lang w:val="en" w:eastAsia="en-CA"/>
                        </w:rPr>
                        <w:t>(M) Device identifiers and serial numbers</w:t>
                      </w:r>
                    </w:p>
                    <w:p w:rsidR="00514D60" w:rsidRPr="008D58FA" w:rsidRDefault="00514D60" w:rsidP="00514D60">
                      <w:pPr>
                        <w:shd w:val="clear" w:color="auto" w:fill="FFFFFF"/>
                        <w:spacing w:after="150"/>
                        <w:rPr>
                          <w:rFonts w:ascii="Helvetica" w:eastAsia="Times New Roman" w:hAnsi="Helvetica" w:cs="Helvetica"/>
                          <w:color w:val="000000"/>
                          <w:sz w:val="21"/>
                          <w:szCs w:val="21"/>
                          <w:lang w:val="en" w:eastAsia="en-CA"/>
                        </w:rPr>
                      </w:pPr>
                      <w:r w:rsidRPr="008D58FA">
                        <w:rPr>
                          <w:rFonts w:ascii="Helvetica" w:eastAsia="Times New Roman" w:hAnsi="Helvetica" w:cs="Helvetica"/>
                          <w:color w:val="000000"/>
                          <w:sz w:val="21"/>
                          <w:szCs w:val="21"/>
                          <w:lang w:val="en" w:eastAsia="en-CA"/>
                        </w:rPr>
                        <w:t>(F) Email addresses</w:t>
                      </w:r>
                    </w:p>
                    <w:p w:rsidR="00514D60" w:rsidRPr="008D58FA" w:rsidRDefault="00514D60" w:rsidP="00514D60">
                      <w:pPr>
                        <w:shd w:val="clear" w:color="auto" w:fill="FFFFFF"/>
                        <w:spacing w:after="150"/>
                        <w:rPr>
                          <w:rFonts w:ascii="Helvetica" w:eastAsia="Times New Roman" w:hAnsi="Helvetica" w:cs="Helvetica"/>
                          <w:color w:val="000000"/>
                          <w:sz w:val="21"/>
                          <w:szCs w:val="21"/>
                          <w:lang w:val="en" w:eastAsia="en-CA"/>
                        </w:rPr>
                      </w:pPr>
                      <w:r w:rsidRPr="008D58FA">
                        <w:rPr>
                          <w:rFonts w:ascii="Helvetica" w:eastAsia="Times New Roman" w:hAnsi="Helvetica" w:cs="Helvetica"/>
                          <w:color w:val="000000"/>
                          <w:sz w:val="21"/>
                          <w:szCs w:val="21"/>
                          <w:lang w:val="en" w:eastAsia="en-CA"/>
                        </w:rPr>
                        <w:t>(N) Web Universal Resource Locators (URLs)</w:t>
                      </w:r>
                    </w:p>
                    <w:p w:rsidR="00514D60" w:rsidRPr="008D58FA" w:rsidRDefault="00514D60" w:rsidP="00514D60">
                      <w:pPr>
                        <w:shd w:val="clear" w:color="auto" w:fill="FFFFFF"/>
                        <w:spacing w:after="150"/>
                        <w:rPr>
                          <w:rFonts w:ascii="Helvetica" w:eastAsia="Times New Roman" w:hAnsi="Helvetica" w:cs="Helvetica"/>
                          <w:color w:val="000000"/>
                          <w:sz w:val="21"/>
                          <w:szCs w:val="21"/>
                          <w:lang w:val="en" w:eastAsia="en-CA"/>
                        </w:rPr>
                      </w:pPr>
                      <w:r w:rsidRPr="008D58FA">
                        <w:rPr>
                          <w:rFonts w:ascii="Helvetica" w:eastAsia="Times New Roman" w:hAnsi="Helvetica" w:cs="Helvetica"/>
                          <w:color w:val="000000"/>
                          <w:sz w:val="21"/>
                          <w:szCs w:val="21"/>
                          <w:lang w:val="en" w:eastAsia="en-CA"/>
                        </w:rPr>
                        <w:t>(G) Social security numbers</w:t>
                      </w:r>
                    </w:p>
                    <w:p w:rsidR="00514D60" w:rsidRPr="008D58FA" w:rsidRDefault="00514D60" w:rsidP="00514D60">
                      <w:pPr>
                        <w:shd w:val="clear" w:color="auto" w:fill="FFFFFF"/>
                        <w:spacing w:after="150"/>
                        <w:rPr>
                          <w:rFonts w:ascii="Helvetica" w:eastAsia="Times New Roman" w:hAnsi="Helvetica" w:cs="Helvetica"/>
                          <w:color w:val="000000"/>
                          <w:sz w:val="21"/>
                          <w:szCs w:val="21"/>
                          <w:lang w:val="en" w:eastAsia="en-CA"/>
                        </w:rPr>
                      </w:pPr>
                      <w:r w:rsidRPr="008D58FA">
                        <w:rPr>
                          <w:rFonts w:ascii="Helvetica" w:eastAsia="Times New Roman" w:hAnsi="Helvetica" w:cs="Helvetica"/>
                          <w:color w:val="000000"/>
                          <w:sz w:val="21"/>
                          <w:szCs w:val="21"/>
                          <w:lang w:val="en" w:eastAsia="en-CA"/>
                        </w:rPr>
                        <w:t>(O) Internet Protocol (IP) addresses</w:t>
                      </w:r>
                    </w:p>
                    <w:p w:rsidR="00514D60" w:rsidRPr="008D58FA" w:rsidRDefault="00514D60" w:rsidP="00514D60">
                      <w:pPr>
                        <w:shd w:val="clear" w:color="auto" w:fill="FFFFFF"/>
                        <w:spacing w:after="150"/>
                        <w:rPr>
                          <w:rFonts w:ascii="Helvetica" w:eastAsia="Times New Roman" w:hAnsi="Helvetica" w:cs="Helvetica"/>
                          <w:color w:val="000000"/>
                          <w:sz w:val="21"/>
                          <w:szCs w:val="21"/>
                          <w:lang w:val="en" w:eastAsia="en-CA"/>
                        </w:rPr>
                      </w:pPr>
                      <w:r w:rsidRPr="008D58FA">
                        <w:rPr>
                          <w:rFonts w:ascii="Helvetica" w:eastAsia="Times New Roman" w:hAnsi="Helvetica" w:cs="Helvetica"/>
                          <w:color w:val="000000"/>
                          <w:sz w:val="21"/>
                          <w:szCs w:val="21"/>
                          <w:lang w:val="en" w:eastAsia="en-CA"/>
                        </w:rPr>
                        <w:t>(H) Medical record numbers</w:t>
                      </w:r>
                    </w:p>
                    <w:p w:rsidR="00514D60" w:rsidRPr="008D58FA" w:rsidRDefault="00514D60" w:rsidP="00514D60">
                      <w:pPr>
                        <w:shd w:val="clear" w:color="auto" w:fill="FFFFFF"/>
                        <w:spacing w:after="150"/>
                        <w:rPr>
                          <w:rFonts w:ascii="Helvetica" w:eastAsia="Times New Roman" w:hAnsi="Helvetica" w:cs="Helvetica"/>
                          <w:color w:val="000000"/>
                          <w:sz w:val="21"/>
                          <w:szCs w:val="21"/>
                          <w:lang w:val="en" w:eastAsia="en-CA"/>
                        </w:rPr>
                      </w:pPr>
                      <w:r w:rsidRPr="008D58FA">
                        <w:rPr>
                          <w:rFonts w:ascii="Helvetica" w:eastAsia="Times New Roman" w:hAnsi="Helvetica" w:cs="Helvetica"/>
                          <w:color w:val="000000"/>
                          <w:sz w:val="21"/>
                          <w:szCs w:val="21"/>
                          <w:lang w:val="en" w:eastAsia="en-CA"/>
                        </w:rPr>
                        <w:t xml:space="preserve">(P) Biometric identifiers, including finger and </w:t>
                      </w:r>
                      <w:proofErr w:type="gramStart"/>
                      <w:r w:rsidRPr="008D58FA">
                        <w:rPr>
                          <w:rFonts w:ascii="Helvetica" w:eastAsia="Times New Roman" w:hAnsi="Helvetica" w:cs="Helvetica"/>
                          <w:color w:val="000000"/>
                          <w:sz w:val="21"/>
                          <w:szCs w:val="21"/>
                          <w:lang w:val="en" w:eastAsia="en-CA"/>
                        </w:rPr>
                        <w:t>voice prints</w:t>
                      </w:r>
                      <w:proofErr w:type="gramEnd"/>
                    </w:p>
                    <w:p w:rsidR="00514D60" w:rsidRPr="008D58FA" w:rsidRDefault="00514D60" w:rsidP="00514D60">
                      <w:pPr>
                        <w:shd w:val="clear" w:color="auto" w:fill="FFFFFF"/>
                        <w:spacing w:after="150"/>
                        <w:rPr>
                          <w:rFonts w:ascii="Helvetica" w:eastAsia="Times New Roman" w:hAnsi="Helvetica" w:cs="Helvetica"/>
                          <w:color w:val="000000"/>
                          <w:sz w:val="21"/>
                          <w:szCs w:val="21"/>
                          <w:lang w:val="en" w:eastAsia="en-CA"/>
                        </w:rPr>
                      </w:pPr>
                      <w:r w:rsidRPr="008D58FA">
                        <w:rPr>
                          <w:rFonts w:ascii="Helvetica" w:eastAsia="Times New Roman" w:hAnsi="Helvetica" w:cs="Helvetica"/>
                          <w:color w:val="000000"/>
                          <w:sz w:val="21"/>
                          <w:szCs w:val="21"/>
                          <w:lang w:val="en" w:eastAsia="en-CA"/>
                        </w:rPr>
                        <w:t>(I) Health plan beneficiary numbers</w:t>
                      </w:r>
                    </w:p>
                    <w:p w:rsidR="00514D60" w:rsidRPr="008D58FA" w:rsidRDefault="00514D60" w:rsidP="00514D60">
                      <w:pPr>
                        <w:shd w:val="clear" w:color="auto" w:fill="FFFFFF"/>
                        <w:spacing w:after="150"/>
                        <w:rPr>
                          <w:rFonts w:ascii="Helvetica" w:eastAsia="Times New Roman" w:hAnsi="Helvetica" w:cs="Helvetica"/>
                          <w:color w:val="000000"/>
                          <w:sz w:val="21"/>
                          <w:szCs w:val="21"/>
                          <w:lang w:val="en" w:eastAsia="en-CA"/>
                        </w:rPr>
                      </w:pPr>
                      <w:r w:rsidRPr="008D58FA">
                        <w:rPr>
                          <w:rFonts w:ascii="Helvetica" w:eastAsia="Times New Roman" w:hAnsi="Helvetica" w:cs="Helvetica"/>
                          <w:color w:val="000000"/>
                          <w:sz w:val="21"/>
                          <w:szCs w:val="21"/>
                          <w:lang w:val="en" w:eastAsia="en-CA"/>
                        </w:rPr>
                        <w:t>(Q) Full-face photographs and any comparable images</w:t>
                      </w:r>
                    </w:p>
                    <w:p w:rsidR="00514D60" w:rsidRPr="008D58FA" w:rsidRDefault="00514D60" w:rsidP="00514D60">
                      <w:pPr>
                        <w:shd w:val="clear" w:color="auto" w:fill="FFFFFF"/>
                        <w:spacing w:after="150"/>
                        <w:rPr>
                          <w:rFonts w:ascii="Helvetica" w:eastAsia="Times New Roman" w:hAnsi="Helvetica" w:cs="Helvetica"/>
                          <w:color w:val="000000"/>
                          <w:sz w:val="21"/>
                          <w:szCs w:val="21"/>
                          <w:lang w:val="en" w:eastAsia="en-CA"/>
                        </w:rPr>
                      </w:pPr>
                      <w:r w:rsidRPr="008D58FA">
                        <w:rPr>
                          <w:rFonts w:ascii="Helvetica" w:eastAsia="Times New Roman" w:hAnsi="Helvetica" w:cs="Helvetica"/>
                          <w:color w:val="000000"/>
                          <w:sz w:val="21"/>
                          <w:szCs w:val="21"/>
                          <w:lang w:val="en" w:eastAsia="en-CA"/>
                        </w:rPr>
                        <w:t>(J) Account numbers</w:t>
                      </w:r>
                    </w:p>
                    <w:p w:rsidR="00514D60" w:rsidRPr="008D58FA" w:rsidRDefault="00514D60" w:rsidP="00514D60">
                      <w:pPr>
                        <w:shd w:val="clear" w:color="auto" w:fill="FFFFFF"/>
                        <w:spacing w:after="150"/>
                        <w:rPr>
                          <w:rFonts w:ascii="Helvetica" w:eastAsia="Times New Roman" w:hAnsi="Helvetica" w:cs="Helvetica"/>
                          <w:color w:val="000000"/>
                          <w:sz w:val="21"/>
                          <w:szCs w:val="21"/>
                          <w:lang w:val="en" w:eastAsia="en-CA"/>
                        </w:rPr>
                      </w:pPr>
                      <w:r w:rsidRPr="008D58FA">
                        <w:rPr>
                          <w:rFonts w:ascii="Helvetica" w:eastAsia="Times New Roman" w:hAnsi="Helvetica" w:cs="Helvetica"/>
                          <w:color w:val="000000"/>
                          <w:sz w:val="21"/>
                          <w:szCs w:val="21"/>
                          <w:lang w:val="en" w:eastAsia="en-CA"/>
                        </w:rPr>
                        <w:t>(R) Any other unique identifying number, characteristic, or code, except as permitted by paragraph (c) of this section; and</w:t>
                      </w:r>
                    </w:p>
                    <w:p w:rsidR="00514D60" w:rsidRPr="008D58FA" w:rsidRDefault="00514D60" w:rsidP="00514D60">
                      <w:pPr>
                        <w:shd w:val="clear" w:color="auto" w:fill="FFFFFF"/>
                        <w:spacing w:after="150"/>
                        <w:rPr>
                          <w:rFonts w:ascii="Helvetica" w:eastAsia="Times New Roman" w:hAnsi="Helvetica" w:cs="Helvetica"/>
                          <w:color w:val="000000"/>
                          <w:sz w:val="21"/>
                          <w:szCs w:val="21"/>
                          <w:lang w:val="en" w:eastAsia="en-CA"/>
                        </w:rPr>
                      </w:pPr>
                      <w:r w:rsidRPr="008D58FA">
                        <w:rPr>
                          <w:rFonts w:ascii="Helvetica" w:eastAsia="Times New Roman" w:hAnsi="Helvetica" w:cs="Helvetica"/>
                          <w:color w:val="000000"/>
                          <w:sz w:val="21"/>
                          <w:szCs w:val="21"/>
                          <w:lang w:val="en" w:eastAsia="en-CA"/>
                        </w:rPr>
                        <w:t>(K) Certificate/license numbers</w:t>
                      </w:r>
                    </w:p>
                    <w:p w:rsidR="00514D60" w:rsidRPr="008D58FA" w:rsidRDefault="00514D60" w:rsidP="00514D60">
                      <w:pPr>
                        <w:shd w:val="clear" w:color="auto" w:fill="FFFFFF"/>
                        <w:rPr>
                          <w:rFonts w:ascii="Helvetica" w:eastAsia="Times New Roman" w:hAnsi="Helvetica" w:cs="Helvetica"/>
                          <w:color w:val="000000"/>
                          <w:sz w:val="21"/>
                          <w:szCs w:val="21"/>
                          <w:lang w:val="en" w:eastAsia="en-CA"/>
                        </w:rPr>
                      </w:pPr>
                      <w:r w:rsidRPr="008D58FA">
                        <w:rPr>
                          <w:rFonts w:ascii="Helvetica" w:eastAsia="Times New Roman" w:hAnsi="Helvetica" w:cs="Helvetica"/>
                          <w:color w:val="000000"/>
                          <w:sz w:val="21"/>
                          <w:szCs w:val="21"/>
                          <w:lang w:val="en" w:eastAsia="en-CA"/>
                        </w:rPr>
                        <w:t xml:space="preserve">(ii) The covered entity does not have actual knowledge that the information </w:t>
                      </w:r>
                      <w:proofErr w:type="gramStart"/>
                      <w:r w:rsidRPr="008D58FA">
                        <w:rPr>
                          <w:rFonts w:ascii="Helvetica" w:eastAsia="Times New Roman" w:hAnsi="Helvetica" w:cs="Helvetica"/>
                          <w:color w:val="000000"/>
                          <w:sz w:val="21"/>
                          <w:szCs w:val="21"/>
                          <w:lang w:val="en" w:eastAsia="en-CA"/>
                        </w:rPr>
                        <w:t>could be used</w:t>
                      </w:r>
                      <w:proofErr w:type="gramEnd"/>
                      <w:r w:rsidRPr="008D58FA">
                        <w:rPr>
                          <w:rFonts w:ascii="Helvetica" w:eastAsia="Times New Roman" w:hAnsi="Helvetica" w:cs="Helvetica"/>
                          <w:color w:val="000000"/>
                          <w:sz w:val="21"/>
                          <w:szCs w:val="21"/>
                          <w:lang w:val="en" w:eastAsia="en-CA"/>
                        </w:rPr>
                        <w:t xml:space="preserve"> alone or in combination with other information to identify an individual who is a subject of the information</w:t>
                      </w:r>
                    </w:p>
                    <w:p w:rsidR="00514D60" w:rsidRPr="00514D60" w:rsidRDefault="00514D60">
                      <w:pPr>
                        <w:rPr>
                          <w:lang w:val="en"/>
                        </w:rPr>
                      </w:pPr>
                    </w:p>
                  </w:txbxContent>
                </v:textbox>
                <w10:wrap anchorx="margin"/>
              </v:shape>
            </w:pict>
          </mc:Fallback>
        </mc:AlternateContent>
      </w:r>
    </w:p>
    <w:p w:rsidR="00514D60" w:rsidRDefault="00514D60">
      <w:pPr>
        <w:rPr>
          <w:rFonts w:cstheme="minorHAnsi"/>
          <w:lang w:val="en"/>
        </w:rPr>
      </w:pPr>
    </w:p>
    <w:p w:rsidR="00514D60" w:rsidRDefault="00514D60">
      <w:pPr>
        <w:rPr>
          <w:rFonts w:cstheme="minorHAnsi"/>
          <w:lang w:val="en"/>
        </w:rPr>
      </w:pPr>
    </w:p>
    <w:p w:rsidR="00514D60" w:rsidRPr="00514D60" w:rsidRDefault="00514D60">
      <w:pPr>
        <w:rPr>
          <w:rFonts w:cstheme="minorHAnsi"/>
          <w:lang w:val="en"/>
        </w:rPr>
      </w:pPr>
    </w:p>
    <w:p w:rsidR="00514D60" w:rsidRDefault="00514D60" w:rsidP="008D58FA">
      <w:pPr>
        <w:shd w:val="clear" w:color="auto" w:fill="FFFFFF"/>
        <w:spacing w:before="300" w:after="150"/>
        <w:outlineLvl w:val="2"/>
        <w:rPr>
          <w:rFonts w:ascii="Helvetica" w:eastAsia="Times New Roman" w:hAnsi="Helvetica" w:cs="Helvetica"/>
          <w:color w:val="0053CC"/>
          <w:sz w:val="24"/>
          <w:szCs w:val="39"/>
          <w:u w:val="single"/>
          <w:lang w:val="en" w:eastAsia="en-CA"/>
        </w:rPr>
      </w:pPr>
      <w:bookmarkStart w:id="1" w:name="safeharborguidance"/>
    </w:p>
    <w:p w:rsidR="00514D60" w:rsidRDefault="00514D60" w:rsidP="008D58FA">
      <w:pPr>
        <w:shd w:val="clear" w:color="auto" w:fill="FFFFFF"/>
        <w:spacing w:before="300" w:after="150"/>
        <w:outlineLvl w:val="2"/>
        <w:rPr>
          <w:rFonts w:ascii="Helvetica" w:eastAsia="Times New Roman" w:hAnsi="Helvetica" w:cs="Helvetica"/>
          <w:color w:val="0053CC"/>
          <w:sz w:val="24"/>
          <w:szCs w:val="39"/>
          <w:u w:val="single"/>
          <w:lang w:val="en" w:eastAsia="en-CA"/>
        </w:rPr>
      </w:pPr>
    </w:p>
    <w:p w:rsidR="00514D60" w:rsidRDefault="00514D60" w:rsidP="008D58FA">
      <w:pPr>
        <w:shd w:val="clear" w:color="auto" w:fill="FFFFFF"/>
        <w:spacing w:before="300" w:after="150"/>
        <w:outlineLvl w:val="2"/>
        <w:rPr>
          <w:rFonts w:ascii="Helvetica" w:eastAsia="Times New Roman" w:hAnsi="Helvetica" w:cs="Helvetica"/>
          <w:color w:val="0053CC"/>
          <w:sz w:val="24"/>
          <w:szCs w:val="39"/>
          <w:u w:val="single"/>
          <w:lang w:val="en" w:eastAsia="en-CA"/>
        </w:rPr>
      </w:pPr>
    </w:p>
    <w:bookmarkEnd w:id="1"/>
    <w:p w:rsidR="008D58FA" w:rsidRPr="008D58FA" w:rsidRDefault="008D58FA">
      <w:pPr>
        <w:rPr>
          <w:rFonts w:cstheme="minorHAnsi"/>
          <w:lang w:val="en"/>
        </w:rPr>
      </w:pPr>
    </w:p>
    <w:sectPr w:rsidR="008D58FA" w:rsidRPr="008D58FA">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1E8E" w:rsidRDefault="001C1E8E" w:rsidP="008D58FA">
      <w:r>
        <w:separator/>
      </w:r>
    </w:p>
  </w:endnote>
  <w:endnote w:type="continuationSeparator" w:id="0">
    <w:p w:rsidR="001C1E8E" w:rsidRDefault="001C1E8E" w:rsidP="008D5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966849"/>
      <w:docPartObj>
        <w:docPartGallery w:val="Page Numbers (Bottom of Page)"/>
        <w:docPartUnique/>
      </w:docPartObj>
    </w:sdtPr>
    <w:sdtEndPr>
      <w:rPr>
        <w:noProof/>
      </w:rPr>
    </w:sdtEndPr>
    <w:sdtContent>
      <w:p w:rsidR="008D58FA" w:rsidRDefault="008D58FA">
        <w:pPr>
          <w:pStyle w:val="Footer"/>
          <w:jc w:val="right"/>
        </w:pPr>
        <w:r>
          <w:fldChar w:fldCharType="begin"/>
        </w:r>
        <w:r>
          <w:instrText xml:space="preserve"> PAGE   \* MERGEFORMAT </w:instrText>
        </w:r>
        <w:r>
          <w:fldChar w:fldCharType="separate"/>
        </w:r>
        <w:r w:rsidR="00F22F8B">
          <w:rPr>
            <w:noProof/>
          </w:rPr>
          <w:t>4</w:t>
        </w:r>
        <w:r>
          <w:rPr>
            <w:noProof/>
          </w:rPr>
          <w:fldChar w:fldCharType="end"/>
        </w:r>
      </w:p>
    </w:sdtContent>
  </w:sdt>
  <w:p w:rsidR="008D58FA" w:rsidRDefault="008D58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1E8E" w:rsidRDefault="001C1E8E" w:rsidP="008D58FA">
      <w:r>
        <w:separator/>
      </w:r>
    </w:p>
  </w:footnote>
  <w:footnote w:type="continuationSeparator" w:id="0">
    <w:p w:rsidR="001C1E8E" w:rsidRDefault="001C1E8E" w:rsidP="008D58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B28F3"/>
    <w:multiLevelType w:val="hybridMultilevel"/>
    <w:tmpl w:val="7B96CA8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FA6E41"/>
    <w:multiLevelType w:val="hybridMultilevel"/>
    <w:tmpl w:val="03C615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6B8484C"/>
    <w:multiLevelType w:val="hybridMultilevel"/>
    <w:tmpl w:val="95F675FC"/>
    <w:lvl w:ilvl="0" w:tplc="9AC03EA2">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D1E4815"/>
    <w:multiLevelType w:val="hybridMultilevel"/>
    <w:tmpl w:val="9052FC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D6B536F"/>
    <w:multiLevelType w:val="hybridMultilevel"/>
    <w:tmpl w:val="0B3AFF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02C72A5"/>
    <w:multiLevelType w:val="hybridMultilevel"/>
    <w:tmpl w:val="EFCE55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43D7954"/>
    <w:multiLevelType w:val="hybridMultilevel"/>
    <w:tmpl w:val="640EC8F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5A55341"/>
    <w:multiLevelType w:val="hybridMultilevel"/>
    <w:tmpl w:val="57CA62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B432F44"/>
    <w:multiLevelType w:val="hybridMultilevel"/>
    <w:tmpl w:val="0AFCB6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5046B5F"/>
    <w:multiLevelType w:val="hybridMultilevel"/>
    <w:tmpl w:val="82986FE2"/>
    <w:lvl w:ilvl="0" w:tplc="B7C6B0F8">
      <w:start w:val="1"/>
      <w:numFmt w:val="decimal"/>
      <w:pStyle w:val="Heading1"/>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BCD4E2D"/>
    <w:multiLevelType w:val="hybridMultilevel"/>
    <w:tmpl w:val="A4E466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625164B"/>
    <w:multiLevelType w:val="hybridMultilevel"/>
    <w:tmpl w:val="A5C03D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0"/>
  </w:num>
  <w:num w:numId="5">
    <w:abstractNumId w:val="8"/>
  </w:num>
  <w:num w:numId="6">
    <w:abstractNumId w:val="11"/>
  </w:num>
  <w:num w:numId="7">
    <w:abstractNumId w:val="5"/>
  </w:num>
  <w:num w:numId="8">
    <w:abstractNumId w:val="9"/>
  </w:num>
  <w:num w:numId="9">
    <w:abstractNumId w:val="10"/>
  </w:num>
  <w:num w:numId="10">
    <w:abstractNumId w:val="7"/>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5D9"/>
    <w:rsid w:val="00027B70"/>
    <w:rsid w:val="00080D6C"/>
    <w:rsid w:val="000878E0"/>
    <w:rsid w:val="00104B7A"/>
    <w:rsid w:val="00113A54"/>
    <w:rsid w:val="00152109"/>
    <w:rsid w:val="001C1D92"/>
    <w:rsid w:val="001C1E8E"/>
    <w:rsid w:val="001C4767"/>
    <w:rsid w:val="001C4AB3"/>
    <w:rsid w:val="001E3053"/>
    <w:rsid w:val="001E3C11"/>
    <w:rsid w:val="00217576"/>
    <w:rsid w:val="00234CC2"/>
    <w:rsid w:val="00265EE5"/>
    <w:rsid w:val="0028614E"/>
    <w:rsid w:val="00295D3C"/>
    <w:rsid w:val="002A1928"/>
    <w:rsid w:val="002D0727"/>
    <w:rsid w:val="002E1D3A"/>
    <w:rsid w:val="00300139"/>
    <w:rsid w:val="00305DE0"/>
    <w:rsid w:val="00332CF7"/>
    <w:rsid w:val="003434CE"/>
    <w:rsid w:val="003477B3"/>
    <w:rsid w:val="003A7B22"/>
    <w:rsid w:val="003C03F9"/>
    <w:rsid w:val="003F69B5"/>
    <w:rsid w:val="00454BEE"/>
    <w:rsid w:val="004629B3"/>
    <w:rsid w:val="00475AFC"/>
    <w:rsid w:val="004A19C2"/>
    <w:rsid w:val="004B2E55"/>
    <w:rsid w:val="00514D60"/>
    <w:rsid w:val="005768AA"/>
    <w:rsid w:val="00600E88"/>
    <w:rsid w:val="00603BE4"/>
    <w:rsid w:val="006420E5"/>
    <w:rsid w:val="00695B2E"/>
    <w:rsid w:val="006F2FC0"/>
    <w:rsid w:val="006F6308"/>
    <w:rsid w:val="00716409"/>
    <w:rsid w:val="00727A8F"/>
    <w:rsid w:val="00747DC3"/>
    <w:rsid w:val="00792292"/>
    <w:rsid w:val="00794E29"/>
    <w:rsid w:val="00795880"/>
    <w:rsid w:val="008D58FA"/>
    <w:rsid w:val="00952D05"/>
    <w:rsid w:val="00972CB0"/>
    <w:rsid w:val="00980D31"/>
    <w:rsid w:val="00984C9D"/>
    <w:rsid w:val="009D197E"/>
    <w:rsid w:val="009F1631"/>
    <w:rsid w:val="00AA4182"/>
    <w:rsid w:val="00C65138"/>
    <w:rsid w:val="00C705D9"/>
    <w:rsid w:val="00C7242D"/>
    <w:rsid w:val="00CB0D8C"/>
    <w:rsid w:val="00CB727C"/>
    <w:rsid w:val="00D0646D"/>
    <w:rsid w:val="00D33399"/>
    <w:rsid w:val="00D80DC7"/>
    <w:rsid w:val="00DB0558"/>
    <w:rsid w:val="00E73310"/>
    <w:rsid w:val="00E82A46"/>
    <w:rsid w:val="00F22F8B"/>
    <w:rsid w:val="00FC4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666C57-0AC9-4E99-ABB5-E2CFDEDAF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78E0"/>
    <w:pPr>
      <w:keepNext/>
      <w:keepLines/>
      <w:numPr>
        <w:numId w:val="8"/>
      </w:numPr>
      <w:spacing w:before="240"/>
      <w:ind w:left="450" w:hanging="45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8E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C70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C705D9"/>
    <w:rPr>
      <w:rFonts w:ascii="Courier New" w:eastAsia="Times New Roman" w:hAnsi="Courier New" w:cs="Courier New"/>
      <w:sz w:val="20"/>
      <w:szCs w:val="20"/>
      <w:lang w:val="en-CA" w:eastAsia="en-CA"/>
    </w:rPr>
  </w:style>
  <w:style w:type="character" w:customStyle="1" w:styleId="gghfmyibgob">
    <w:name w:val="gghfmyibgob"/>
    <w:basedOn w:val="DefaultParagraphFont"/>
    <w:rsid w:val="00C705D9"/>
  </w:style>
  <w:style w:type="paragraph" w:styleId="NormalWeb">
    <w:name w:val="Normal (Web)"/>
    <w:basedOn w:val="Normal"/>
    <w:uiPriority w:val="99"/>
    <w:semiHidden/>
    <w:unhideWhenUsed/>
    <w:rsid w:val="00AA4182"/>
    <w:pPr>
      <w:spacing w:before="100" w:beforeAutospacing="1" w:after="100" w:afterAutospacing="1"/>
    </w:pPr>
    <w:rPr>
      <w:rFonts w:ascii="Times New Roman" w:eastAsia="Times New Roman" w:hAnsi="Times New Roman" w:cs="Times New Roman"/>
      <w:sz w:val="24"/>
      <w:szCs w:val="24"/>
      <w:lang w:val="en-CA" w:eastAsia="en-CA"/>
    </w:rPr>
  </w:style>
  <w:style w:type="character" w:customStyle="1" w:styleId="apple-converted-space">
    <w:name w:val="apple-converted-space"/>
    <w:basedOn w:val="DefaultParagraphFont"/>
    <w:rsid w:val="00AA4182"/>
  </w:style>
  <w:style w:type="table" w:styleId="TableGrid">
    <w:name w:val="Table Grid"/>
    <w:basedOn w:val="TableNormal"/>
    <w:uiPriority w:val="39"/>
    <w:rsid w:val="003434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92292"/>
    <w:pPr>
      <w:autoSpaceDE w:val="0"/>
      <w:autoSpaceDN w:val="0"/>
      <w:adjustRightInd w:val="0"/>
    </w:pPr>
    <w:rPr>
      <w:rFonts w:ascii="Cambria" w:hAnsi="Cambria" w:cs="Cambria"/>
      <w:color w:val="000000"/>
      <w:sz w:val="24"/>
      <w:szCs w:val="24"/>
      <w:lang w:val="en-CA"/>
    </w:rPr>
  </w:style>
  <w:style w:type="paragraph" w:styleId="Header">
    <w:name w:val="header"/>
    <w:basedOn w:val="Normal"/>
    <w:link w:val="HeaderChar"/>
    <w:uiPriority w:val="99"/>
    <w:unhideWhenUsed/>
    <w:rsid w:val="008D58FA"/>
    <w:pPr>
      <w:tabs>
        <w:tab w:val="center" w:pos="4680"/>
        <w:tab w:val="right" w:pos="9360"/>
      </w:tabs>
    </w:pPr>
  </w:style>
  <w:style w:type="character" w:customStyle="1" w:styleId="HeaderChar">
    <w:name w:val="Header Char"/>
    <w:basedOn w:val="DefaultParagraphFont"/>
    <w:link w:val="Header"/>
    <w:uiPriority w:val="99"/>
    <w:rsid w:val="008D58FA"/>
  </w:style>
  <w:style w:type="paragraph" w:styleId="Footer">
    <w:name w:val="footer"/>
    <w:basedOn w:val="Normal"/>
    <w:link w:val="FooterChar"/>
    <w:uiPriority w:val="99"/>
    <w:unhideWhenUsed/>
    <w:rsid w:val="008D58FA"/>
    <w:pPr>
      <w:tabs>
        <w:tab w:val="center" w:pos="4680"/>
        <w:tab w:val="right" w:pos="9360"/>
      </w:tabs>
    </w:pPr>
  </w:style>
  <w:style w:type="character" w:customStyle="1" w:styleId="FooterChar">
    <w:name w:val="Footer Char"/>
    <w:basedOn w:val="DefaultParagraphFont"/>
    <w:link w:val="Footer"/>
    <w:uiPriority w:val="99"/>
    <w:rsid w:val="008D58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811761">
      <w:bodyDiv w:val="1"/>
      <w:marLeft w:val="0"/>
      <w:marRight w:val="0"/>
      <w:marTop w:val="0"/>
      <w:marBottom w:val="0"/>
      <w:divBdr>
        <w:top w:val="none" w:sz="0" w:space="0" w:color="auto"/>
        <w:left w:val="none" w:sz="0" w:space="0" w:color="auto"/>
        <w:bottom w:val="none" w:sz="0" w:space="0" w:color="auto"/>
        <w:right w:val="none" w:sz="0" w:space="0" w:color="auto"/>
      </w:divBdr>
    </w:div>
    <w:div w:id="1494681814">
      <w:bodyDiv w:val="1"/>
      <w:marLeft w:val="0"/>
      <w:marRight w:val="0"/>
      <w:marTop w:val="0"/>
      <w:marBottom w:val="0"/>
      <w:divBdr>
        <w:top w:val="none" w:sz="0" w:space="0" w:color="auto"/>
        <w:left w:val="none" w:sz="0" w:space="0" w:color="auto"/>
        <w:bottom w:val="none" w:sz="0" w:space="0" w:color="auto"/>
        <w:right w:val="none" w:sz="0" w:space="0" w:color="auto"/>
      </w:divBdr>
      <w:divsChild>
        <w:div w:id="1120148688">
          <w:marLeft w:val="0"/>
          <w:marRight w:val="0"/>
          <w:marTop w:val="0"/>
          <w:marBottom w:val="0"/>
          <w:divBdr>
            <w:top w:val="none" w:sz="0" w:space="0" w:color="auto"/>
            <w:left w:val="none" w:sz="0" w:space="0" w:color="auto"/>
            <w:bottom w:val="none" w:sz="0" w:space="0" w:color="auto"/>
            <w:right w:val="none" w:sz="0" w:space="0" w:color="auto"/>
          </w:divBdr>
          <w:divsChild>
            <w:div w:id="1306620878">
              <w:marLeft w:val="0"/>
              <w:marRight w:val="0"/>
              <w:marTop w:val="0"/>
              <w:marBottom w:val="0"/>
              <w:divBdr>
                <w:top w:val="none" w:sz="0" w:space="0" w:color="auto"/>
                <w:left w:val="none" w:sz="0" w:space="0" w:color="auto"/>
                <w:bottom w:val="none" w:sz="0" w:space="0" w:color="auto"/>
                <w:right w:val="none" w:sz="0" w:space="0" w:color="auto"/>
              </w:divBdr>
              <w:divsChild>
                <w:div w:id="1732922425">
                  <w:marLeft w:val="0"/>
                  <w:marRight w:val="0"/>
                  <w:marTop w:val="0"/>
                  <w:marBottom w:val="375"/>
                  <w:divBdr>
                    <w:top w:val="none" w:sz="0" w:space="0" w:color="auto"/>
                    <w:left w:val="none" w:sz="0" w:space="0" w:color="auto"/>
                    <w:bottom w:val="none" w:sz="0" w:space="0" w:color="auto"/>
                    <w:right w:val="none" w:sz="0" w:space="0" w:color="auto"/>
                  </w:divBdr>
                  <w:divsChild>
                    <w:div w:id="756638116">
                      <w:marLeft w:val="0"/>
                      <w:marRight w:val="0"/>
                      <w:marTop w:val="0"/>
                      <w:marBottom w:val="0"/>
                      <w:divBdr>
                        <w:top w:val="none" w:sz="0" w:space="0" w:color="auto"/>
                        <w:left w:val="none" w:sz="0" w:space="0" w:color="auto"/>
                        <w:bottom w:val="none" w:sz="0" w:space="0" w:color="auto"/>
                        <w:right w:val="none" w:sz="0" w:space="0" w:color="auto"/>
                      </w:divBdr>
                      <w:divsChild>
                        <w:div w:id="1930235769">
                          <w:marLeft w:val="0"/>
                          <w:marRight w:val="0"/>
                          <w:marTop w:val="0"/>
                          <w:marBottom w:val="0"/>
                          <w:divBdr>
                            <w:top w:val="none" w:sz="0" w:space="0" w:color="auto"/>
                            <w:left w:val="none" w:sz="0" w:space="0" w:color="auto"/>
                            <w:bottom w:val="none" w:sz="0" w:space="0" w:color="auto"/>
                            <w:right w:val="none" w:sz="0" w:space="0" w:color="auto"/>
                          </w:divBdr>
                          <w:divsChild>
                            <w:div w:id="404454208">
                              <w:marLeft w:val="0"/>
                              <w:marRight w:val="0"/>
                              <w:marTop w:val="0"/>
                              <w:marBottom w:val="0"/>
                              <w:divBdr>
                                <w:top w:val="none" w:sz="0" w:space="0" w:color="auto"/>
                                <w:left w:val="none" w:sz="0" w:space="0" w:color="auto"/>
                                <w:bottom w:val="none" w:sz="0" w:space="0" w:color="auto"/>
                                <w:right w:val="none" w:sz="0" w:space="0" w:color="auto"/>
                              </w:divBdr>
                              <w:divsChild>
                                <w:div w:id="921646785">
                                  <w:marLeft w:val="0"/>
                                  <w:marRight w:val="0"/>
                                  <w:marTop w:val="0"/>
                                  <w:marBottom w:val="0"/>
                                  <w:divBdr>
                                    <w:top w:val="none" w:sz="0" w:space="0" w:color="auto"/>
                                    <w:left w:val="none" w:sz="0" w:space="0" w:color="auto"/>
                                    <w:bottom w:val="none" w:sz="0" w:space="0" w:color="auto"/>
                                    <w:right w:val="none" w:sz="0" w:space="0" w:color="auto"/>
                                  </w:divBdr>
                                  <w:divsChild>
                                    <w:div w:id="338657040">
                                      <w:marLeft w:val="0"/>
                                      <w:marRight w:val="0"/>
                                      <w:marTop w:val="0"/>
                                      <w:marBottom w:val="0"/>
                                      <w:divBdr>
                                        <w:top w:val="none" w:sz="0" w:space="0" w:color="auto"/>
                                        <w:left w:val="none" w:sz="0" w:space="0" w:color="auto"/>
                                        <w:bottom w:val="none" w:sz="0" w:space="0" w:color="auto"/>
                                        <w:right w:val="none" w:sz="0" w:space="0" w:color="auto"/>
                                      </w:divBdr>
                                      <w:divsChild>
                                        <w:div w:id="40673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8236129">
      <w:bodyDiv w:val="1"/>
      <w:marLeft w:val="0"/>
      <w:marRight w:val="0"/>
      <w:marTop w:val="0"/>
      <w:marBottom w:val="0"/>
      <w:divBdr>
        <w:top w:val="none" w:sz="0" w:space="0" w:color="auto"/>
        <w:left w:val="none" w:sz="0" w:space="0" w:color="auto"/>
        <w:bottom w:val="none" w:sz="0" w:space="0" w:color="auto"/>
        <w:right w:val="none" w:sz="0" w:space="0" w:color="auto"/>
      </w:divBdr>
      <w:divsChild>
        <w:div w:id="357394699">
          <w:marLeft w:val="0"/>
          <w:marRight w:val="0"/>
          <w:marTop w:val="0"/>
          <w:marBottom w:val="0"/>
          <w:divBdr>
            <w:top w:val="none" w:sz="0" w:space="0" w:color="auto"/>
            <w:left w:val="none" w:sz="0" w:space="0" w:color="auto"/>
            <w:bottom w:val="none" w:sz="0" w:space="0" w:color="auto"/>
            <w:right w:val="none" w:sz="0" w:space="0" w:color="auto"/>
          </w:divBdr>
          <w:divsChild>
            <w:div w:id="1302610902">
              <w:marLeft w:val="0"/>
              <w:marRight w:val="0"/>
              <w:marTop w:val="0"/>
              <w:marBottom w:val="0"/>
              <w:divBdr>
                <w:top w:val="single" w:sz="8" w:space="3" w:color="B5C4DF"/>
                <w:left w:val="none" w:sz="0" w:space="0" w:color="auto"/>
                <w:bottom w:val="none" w:sz="0" w:space="0" w:color="auto"/>
                <w:right w:val="none" w:sz="0" w:space="0" w:color="auto"/>
              </w:divBdr>
            </w:div>
          </w:divsChild>
        </w:div>
        <w:div w:id="429087808">
          <w:marLeft w:val="0"/>
          <w:marRight w:val="0"/>
          <w:marTop w:val="0"/>
          <w:marBottom w:val="0"/>
          <w:divBdr>
            <w:top w:val="none" w:sz="0" w:space="0" w:color="auto"/>
            <w:left w:val="none" w:sz="0" w:space="0" w:color="auto"/>
            <w:bottom w:val="none" w:sz="0" w:space="0" w:color="auto"/>
            <w:right w:val="none" w:sz="0" w:space="0" w:color="auto"/>
          </w:divBdr>
          <w:divsChild>
            <w:div w:id="1873758574">
              <w:marLeft w:val="0"/>
              <w:marRight w:val="0"/>
              <w:marTop w:val="0"/>
              <w:marBottom w:val="0"/>
              <w:divBdr>
                <w:top w:val="single" w:sz="8" w:space="3" w:color="B5C4DF"/>
                <w:left w:val="none" w:sz="0" w:space="0" w:color="auto"/>
                <w:bottom w:val="none" w:sz="0" w:space="0" w:color="auto"/>
                <w:right w:val="none" w:sz="0" w:space="0" w:color="auto"/>
              </w:divBdr>
            </w:div>
          </w:divsChild>
        </w:div>
        <w:div w:id="374278718">
          <w:marLeft w:val="0"/>
          <w:marRight w:val="0"/>
          <w:marTop w:val="0"/>
          <w:marBottom w:val="0"/>
          <w:divBdr>
            <w:top w:val="none" w:sz="0" w:space="0" w:color="auto"/>
            <w:left w:val="none" w:sz="0" w:space="0" w:color="auto"/>
            <w:bottom w:val="none" w:sz="0" w:space="0" w:color="auto"/>
            <w:right w:val="none" w:sz="0" w:space="0" w:color="auto"/>
          </w:divBdr>
          <w:divsChild>
            <w:div w:id="1567450854">
              <w:marLeft w:val="0"/>
              <w:marRight w:val="0"/>
              <w:marTop w:val="0"/>
              <w:marBottom w:val="0"/>
              <w:divBdr>
                <w:top w:val="none" w:sz="0" w:space="0" w:color="auto"/>
                <w:left w:val="none" w:sz="0" w:space="0" w:color="auto"/>
                <w:bottom w:val="none" w:sz="0" w:space="0" w:color="auto"/>
                <w:right w:val="none" w:sz="0" w:space="0" w:color="auto"/>
              </w:divBdr>
              <w:divsChild>
                <w:div w:id="816190237">
                  <w:marLeft w:val="0"/>
                  <w:marRight w:val="0"/>
                  <w:marTop w:val="0"/>
                  <w:marBottom w:val="0"/>
                  <w:divBdr>
                    <w:top w:val="none" w:sz="0" w:space="0" w:color="auto"/>
                    <w:left w:val="none" w:sz="0" w:space="0" w:color="auto"/>
                    <w:bottom w:val="none" w:sz="0" w:space="0" w:color="auto"/>
                    <w:right w:val="none" w:sz="0" w:space="0" w:color="auto"/>
                  </w:divBdr>
                </w:div>
              </w:divsChild>
            </w:div>
            <w:div w:id="858936573">
              <w:marLeft w:val="0"/>
              <w:marRight w:val="0"/>
              <w:marTop w:val="0"/>
              <w:marBottom w:val="0"/>
              <w:divBdr>
                <w:top w:val="none" w:sz="0" w:space="0" w:color="auto"/>
                <w:left w:val="none" w:sz="0" w:space="0" w:color="auto"/>
                <w:bottom w:val="none" w:sz="0" w:space="0" w:color="auto"/>
                <w:right w:val="none" w:sz="0" w:space="0" w:color="auto"/>
              </w:divBdr>
              <w:divsChild>
                <w:div w:id="1965574731">
                  <w:marLeft w:val="0"/>
                  <w:marRight w:val="0"/>
                  <w:marTop w:val="0"/>
                  <w:marBottom w:val="0"/>
                  <w:divBdr>
                    <w:top w:val="none" w:sz="0" w:space="0" w:color="auto"/>
                    <w:left w:val="none" w:sz="0" w:space="0" w:color="auto"/>
                    <w:bottom w:val="none" w:sz="0" w:space="0" w:color="auto"/>
                    <w:right w:val="none" w:sz="0" w:space="0" w:color="auto"/>
                  </w:divBdr>
                  <w:divsChild>
                    <w:div w:id="1715735733">
                      <w:marLeft w:val="0"/>
                      <w:marRight w:val="0"/>
                      <w:marTop w:val="0"/>
                      <w:marBottom w:val="0"/>
                      <w:divBdr>
                        <w:top w:val="none" w:sz="0" w:space="0" w:color="auto"/>
                        <w:left w:val="none" w:sz="0" w:space="0" w:color="auto"/>
                        <w:bottom w:val="none" w:sz="0" w:space="0" w:color="auto"/>
                        <w:right w:val="none" w:sz="0" w:space="0" w:color="auto"/>
                      </w:divBdr>
                      <w:divsChild>
                        <w:div w:id="1047950574">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www.hhs.gov/sites/default/files/ocr/privacy/hipaa/understanding/coveredentities/De-identification/hhs_deid_guidance.pdf" TargetMode="External"/><Relationship Id="rId4" Type="http://schemas.openxmlformats.org/officeDocument/2006/relationships/styles" Target="styles.xml"/><Relationship Id="rId9" Type="http://schemas.openxmlformats.org/officeDocument/2006/relationships/hyperlink" Target="https://www.hhs.gov/hipaa/for-professionals/privacy/special-topics/de-identification/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20Mosell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00B90D6C-19E9-4335-B417-920B42F64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TotalTime>
  <Pages>4</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Moselle</dc:creator>
  <cp:keywords/>
  <dc:description/>
  <cp:lastModifiedBy>Andrey Koval</cp:lastModifiedBy>
  <cp:revision>2</cp:revision>
  <dcterms:created xsi:type="dcterms:W3CDTF">2017-06-15T20:34:00Z</dcterms:created>
  <dcterms:modified xsi:type="dcterms:W3CDTF">2017-06-15T20:34:00Z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