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79" w:rsidRPr="0034286D" w:rsidRDefault="00B26A79" w:rsidP="00B26A79">
      <w:pPr>
        <w:jc w:val="both"/>
        <w:rPr>
          <w:rFonts w:asciiTheme="minorHAnsi" w:hAnsiTheme="minorHAnsi" w:cs="Arial"/>
          <w:b/>
          <w:i/>
          <w:color w:val="0033CC"/>
        </w:rPr>
      </w:pPr>
      <w:bookmarkStart w:id="0" w:name="Text1"/>
    </w:p>
    <w:p w:rsidR="00B26A79" w:rsidRPr="0034286D" w:rsidRDefault="00B26A79" w:rsidP="00B26A79">
      <w:pPr>
        <w:jc w:val="both"/>
        <w:rPr>
          <w:rFonts w:asciiTheme="minorHAnsi" w:hAnsiTheme="minorHAnsi" w:cs="Arial"/>
          <w:b/>
          <w:i/>
          <w:color w:val="0033CC"/>
        </w:rPr>
      </w:pPr>
    </w:p>
    <w:p w:rsidR="00B26A79" w:rsidRPr="0034286D" w:rsidRDefault="00B26A79" w:rsidP="00B26A79">
      <w:pPr>
        <w:rPr>
          <w:rFonts w:asciiTheme="minorHAnsi" w:hAnsiTheme="minorHAnsi" w:cs="Arial"/>
          <w:b/>
        </w:rPr>
      </w:pPr>
    </w:p>
    <w:bookmarkEnd w:id="0"/>
    <w:p w:rsidR="00B26A79" w:rsidRPr="0034286D" w:rsidRDefault="00B26A79" w:rsidP="00B26A79">
      <w:pPr>
        <w:jc w:val="center"/>
        <w:rPr>
          <w:rFonts w:asciiTheme="minorHAnsi" w:hAnsiTheme="minorHAnsi"/>
          <w:b/>
          <w:i/>
          <w:color w:val="0000FF"/>
        </w:rPr>
      </w:pPr>
    </w:p>
    <w:p w:rsidR="00B26A79" w:rsidRPr="00856271" w:rsidRDefault="00B26A79" w:rsidP="00B26A79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i/>
        </w:rPr>
        <w:t>PROTOCOL TITLE</w:t>
      </w:r>
    </w:p>
    <w:p w:rsidR="00B26A79" w:rsidRDefault="00B26A79" w:rsidP="00B26A79">
      <w:pPr>
        <w:jc w:val="center"/>
        <w:rPr>
          <w:rFonts w:asciiTheme="minorHAnsi" w:hAnsiTheme="minorHAnsi"/>
          <w:b/>
          <w:i/>
        </w:rPr>
      </w:pPr>
    </w:p>
    <w:p w:rsidR="00B26A79" w:rsidRDefault="00B26A79" w:rsidP="00B26A79">
      <w:pPr>
        <w:jc w:val="center"/>
        <w:rPr>
          <w:rFonts w:asciiTheme="minorHAnsi" w:hAnsiTheme="minorHAnsi"/>
          <w:b/>
          <w:i/>
          <w:color w:val="0000FF"/>
        </w:rPr>
      </w:pPr>
    </w:p>
    <w:p w:rsidR="00B26A79" w:rsidRPr="0034286D" w:rsidRDefault="00B26A79" w:rsidP="00B26A79">
      <w:pPr>
        <w:jc w:val="center"/>
        <w:rPr>
          <w:rFonts w:asciiTheme="minorHAnsi" w:hAnsiTheme="minorHAnsi"/>
          <w:i/>
          <w:color w:val="0000FF"/>
        </w:rPr>
      </w:pPr>
      <w:r w:rsidRPr="004E074C">
        <w:rPr>
          <w:rFonts w:asciiTheme="minorHAnsi" w:hAnsiTheme="minorHAnsi"/>
          <w:b/>
          <w:i/>
          <w:color w:val="0000FF"/>
        </w:rPr>
        <w:t xml:space="preserve"> </w:t>
      </w:r>
    </w:p>
    <w:p w:rsidR="00B26A79" w:rsidRPr="0034286D" w:rsidRDefault="00B26A79" w:rsidP="00B26A79">
      <w:pPr>
        <w:rPr>
          <w:rFonts w:asciiTheme="minorHAnsi" w:hAnsiTheme="minorHAnsi"/>
          <w:i/>
          <w:color w:val="0000FF"/>
        </w:rPr>
      </w:pPr>
    </w:p>
    <w:p w:rsidR="00B26A79" w:rsidRPr="0034286D" w:rsidRDefault="00B26A79" w:rsidP="00B26A79">
      <w:pPr>
        <w:rPr>
          <w:rFonts w:asciiTheme="minorHAnsi" w:hAnsiTheme="minorHAnsi"/>
          <w:i/>
          <w:color w:val="0000FF"/>
        </w:rPr>
      </w:pPr>
    </w:p>
    <w:p w:rsidR="00B26A79" w:rsidRPr="0034286D" w:rsidRDefault="00B26A79" w:rsidP="00B26A79">
      <w:pPr>
        <w:rPr>
          <w:rFonts w:asciiTheme="minorHAnsi" w:hAnsiTheme="minorHAnsi"/>
          <w:i/>
          <w:color w:val="0000FF"/>
          <w:u w:val="single"/>
        </w:rPr>
      </w:pPr>
      <w:r w:rsidRPr="0034286D">
        <w:rPr>
          <w:rFonts w:asciiTheme="minorHAnsi" w:hAnsiTheme="minorHAnsi"/>
          <w:i/>
          <w:color w:val="0000FF"/>
          <w:u w:val="single"/>
        </w:rPr>
        <w:t xml:space="preserve"> </w:t>
      </w:r>
    </w:p>
    <w:p w:rsidR="00B26A79" w:rsidRPr="0034286D" w:rsidRDefault="00B26A79" w:rsidP="00B26A79">
      <w:pPr>
        <w:rPr>
          <w:rFonts w:asciiTheme="minorHAnsi" w:hAnsiTheme="minorHAnsi"/>
          <w:i/>
          <w:color w:val="0000FF"/>
          <w:u w:val="single"/>
        </w:rPr>
      </w:pPr>
    </w:p>
    <w:p w:rsidR="00B26A79" w:rsidRPr="0034286D" w:rsidRDefault="00B26A79" w:rsidP="00B26A79">
      <w:pPr>
        <w:rPr>
          <w:rFonts w:asciiTheme="minorHAnsi" w:hAnsiTheme="minorHAnsi"/>
          <w:i/>
          <w:color w:val="0000FF"/>
          <w:u w:val="single"/>
        </w:rPr>
      </w:pPr>
    </w:p>
    <w:p w:rsidR="00B26A79" w:rsidRPr="0034286D" w:rsidRDefault="00B26A79" w:rsidP="00B26A79">
      <w:pPr>
        <w:rPr>
          <w:rFonts w:asciiTheme="minorHAnsi" w:hAnsiTheme="minorHAnsi"/>
          <w:i/>
          <w:color w:val="0000FF"/>
          <w:u w:val="single"/>
        </w:rPr>
      </w:pPr>
    </w:p>
    <w:p w:rsidR="00B26A79" w:rsidRPr="009A7C31" w:rsidRDefault="00B26A79" w:rsidP="00B26A79">
      <w:pPr>
        <w:rPr>
          <w:rFonts w:asciiTheme="minorHAnsi" w:hAnsiTheme="minorHAnsi"/>
          <w:b/>
        </w:rPr>
      </w:pPr>
      <w:r w:rsidRPr="0034286D">
        <w:rPr>
          <w:rFonts w:asciiTheme="minorHAnsi" w:hAnsiTheme="minorHAnsi"/>
          <w:b/>
        </w:rPr>
        <w:t>Project Acronym or Short Study Title: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ab/>
      </w:r>
      <w:r w:rsidRPr="006A18DF">
        <w:rPr>
          <w:rFonts w:asciiTheme="minorHAnsi" w:hAnsiTheme="minorHAnsi"/>
          <w:b/>
          <w:sz w:val="24"/>
        </w:rPr>
        <w:t xml:space="preserve"> </w:t>
      </w:r>
    </w:p>
    <w:p w:rsidR="00B26A79" w:rsidRPr="0034286D" w:rsidRDefault="00B26A79" w:rsidP="00B26A79">
      <w:pPr>
        <w:rPr>
          <w:rFonts w:asciiTheme="minorHAnsi" w:hAnsiTheme="minorHAnsi"/>
          <w:i/>
          <w:color w:val="0000FF"/>
        </w:rPr>
      </w:pPr>
    </w:p>
    <w:p w:rsidR="00B26A79" w:rsidRPr="0034286D" w:rsidRDefault="00B26A79" w:rsidP="00B26A79">
      <w:pPr>
        <w:rPr>
          <w:rFonts w:asciiTheme="minorHAnsi" w:hAnsiTheme="minorHAnsi"/>
          <w:i/>
          <w:color w:val="0000FF"/>
        </w:rPr>
      </w:pPr>
    </w:p>
    <w:p w:rsidR="00B26A79" w:rsidRDefault="00B26A79" w:rsidP="00B26A79">
      <w:pPr>
        <w:rPr>
          <w:rFonts w:asciiTheme="minorHAnsi" w:hAnsiTheme="minorHAnsi"/>
          <w:i/>
        </w:rPr>
      </w:pPr>
      <w:r w:rsidRPr="0034286D">
        <w:rPr>
          <w:rFonts w:asciiTheme="minorHAnsi" w:hAnsiTheme="minorHAnsi"/>
          <w:b/>
        </w:rPr>
        <w:t>Principal Investigator</w:t>
      </w:r>
      <w:r>
        <w:rPr>
          <w:rFonts w:asciiTheme="minorHAnsi" w:hAnsiTheme="minorHAnsi"/>
          <w:b/>
        </w:rPr>
        <w:tab/>
      </w:r>
      <w:r w:rsidRPr="0034286D">
        <w:rPr>
          <w:rFonts w:asciiTheme="minorHAnsi" w:hAnsiTheme="minorHAnsi"/>
          <w:b/>
        </w:rPr>
        <w:tab/>
      </w:r>
      <w:r w:rsidRPr="00953C66">
        <w:rPr>
          <w:rFonts w:asciiTheme="minorHAnsi" w:hAnsiTheme="minorHAnsi"/>
          <w:i/>
        </w:rPr>
        <w:t xml:space="preserve"> </w:t>
      </w:r>
    </w:p>
    <w:p w:rsidR="00B26A79" w:rsidRPr="00953C66" w:rsidRDefault="00B26A79" w:rsidP="00B26A79">
      <w:pPr>
        <w:rPr>
          <w:rFonts w:asciiTheme="minorHAnsi" w:hAnsiTheme="minorHAnsi"/>
          <w:i/>
        </w:rPr>
      </w:pPr>
      <w:r w:rsidRPr="00953C66">
        <w:rPr>
          <w:rFonts w:asciiTheme="minorHAnsi" w:hAnsiTheme="minorHAnsi"/>
          <w:b/>
        </w:rPr>
        <w:t>Co-Investigators</w:t>
      </w:r>
      <w:r>
        <w:rPr>
          <w:rFonts w:asciiTheme="minorHAnsi" w:hAnsiTheme="minorHAnsi"/>
          <w:i/>
        </w:rPr>
        <w:t xml:space="preserve">: </w:t>
      </w:r>
      <w:r>
        <w:rPr>
          <w:rFonts w:asciiTheme="minorHAnsi" w:hAnsiTheme="minorHAnsi"/>
          <w:i/>
        </w:rPr>
        <w:tab/>
      </w:r>
      <w:r>
        <w:rPr>
          <w:rFonts w:asciiTheme="minorHAnsi" w:hAnsiTheme="minorHAnsi"/>
          <w:i/>
        </w:rPr>
        <w:tab/>
      </w:r>
    </w:p>
    <w:p w:rsidR="00B26A79" w:rsidRPr="0034286D" w:rsidRDefault="00B26A79" w:rsidP="00B26A79">
      <w:pPr>
        <w:ind w:left="2880" w:hanging="2880"/>
        <w:rPr>
          <w:rFonts w:asciiTheme="minorHAnsi" w:hAnsiTheme="minorHAnsi"/>
          <w:b/>
        </w:rPr>
      </w:pPr>
    </w:p>
    <w:p w:rsidR="00B26A79" w:rsidRPr="0034286D" w:rsidRDefault="00B26A79" w:rsidP="00B26A79">
      <w:pPr>
        <w:ind w:left="2880" w:hanging="2880"/>
        <w:rPr>
          <w:rFonts w:asciiTheme="minorHAnsi" w:hAnsiTheme="minorHAnsi"/>
          <w:i/>
          <w:color w:val="0000FF"/>
        </w:rPr>
      </w:pPr>
      <w:r w:rsidRPr="0034286D">
        <w:rPr>
          <w:rFonts w:asciiTheme="minorHAnsi" w:hAnsiTheme="minorHAnsi"/>
          <w:b/>
        </w:rPr>
        <w:t>Institutions:</w:t>
      </w:r>
      <w:r w:rsidRPr="0034286D">
        <w:rPr>
          <w:rFonts w:asciiTheme="minorHAnsi" w:hAnsiTheme="minorHAnsi"/>
          <w:b/>
        </w:rPr>
        <w:tab/>
      </w:r>
      <w:r w:rsidRPr="00953C66">
        <w:rPr>
          <w:rFonts w:asciiTheme="minorHAnsi" w:hAnsiTheme="minorHAnsi"/>
          <w:i/>
        </w:rPr>
        <w:t xml:space="preserve">Island Health (Vancouver Island Health Authority); Cerner Math (Cerner Corporation) </w:t>
      </w:r>
    </w:p>
    <w:p w:rsidR="00B26A79" w:rsidRPr="0034286D" w:rsidRDefault="00B26A79" w:rsidP="00B26A79">
      <w:pPr>
        <w:rPr>
          <w:rFonts w:asciiTheme="minorHAnsi" w:hAnsiTheme="minorHAnsi"/>
          <w:i/>
          <w:color w:val="0000FF"/>
        </w:rPr>
      </w:pPr>
    </w:p>
    <w:p w:rsidR="00B26A79" w:rsidRPr="0034286D" w:rsidRDefault="00B26A79" w:rsidP="00B26A79">
      <w:pPr>
        <w:rPr>
          <w:rFonts w:asciiTheme="minorHAnsi" w:hAnsiTheme="minorHAnsi"/>
        </w:rPr>
      </w:pPr>
    </w:p>
    <w:p w:rsidR="00B26A79" w:rsidRPr="0034286D" w:rsidRDefault="00B26A79" w:rsidP="00B26A79">
      <w:pPr>
        <w:rPr>
          <w:rFonts w:asciiTheme="minorHAnsi" w:hAnsiTheme="minorHAnsi"/>
          <w:b/>
        </w:rPr>
      </w:pPr>
      <w:r w:rsidRPr="0034286D">
        <w:rPr>
          <w:rFonts w:asciiTheme="minorHAnsi" w:hAnsiTheme="minorHAnsi"/>
          <w:b/>
        </w:rPr>
        <w:t xml:space="preserve">Protocol version number/version date: </w:t>
      </w:r>
      <w:r>
        <w:rPr>
          <w:rFonts w:asciiTheme="minorHAnsi" w:hAnsiTheme="minorHAnsi"/>
          <w:b/>
        </w:rPr>
        <w:t xml:space="preserve"> </w:t>
      </w:r>
    </w:p>
    <w:p w:rsidR="00B26A79" w:rsidRPr="0034286D" w:rsidRDefault="00B26A79" w:rsidP="00B26A79">
      <w:pPr>
        <w:rPr>
          <w:rFonts w:asciiTheme="minorHAnsi" w:hAnsiTheme="minorHAnsi"/>
        </w:rPr>
      </w:pPr>
    </w:p>
    <w:p w:rsidR="00B26A79" w:rsidRPr="0034286D" w:rsidRDefault="00B26A79" w:rsidP="00B26A79">
      <w:pPr>
        <w:rPr>
          <w:rFonts w:asciiTheme="minorHAnsi" w:hAnsiTheme="minorHAnsi"/>
        </w:rPr>
      </w:pPr>
    </w:p>
    <w:p w:rsidR="00B26A79" w:rsidRPr="0034286D" w:rsidRDefault="00B26A79" w:rsidP="00B26A79">
      <w:pPr>
        <w:rPr>
          <w:rFonts w:asciiTheme="minorHAnsi" w:hAnsiTheme="minorHAnsi" w:cs="Arial"/>
        </w:rPr>
      </w:pPr>
    </w:p>
    <w:p w:rsidR="00B26A79" w:rsidRPr="0034286D" w:rsidRDefault="00B26A79" w:rsidP="00B26A79">
      <w:pPr>
        <w:jc w:val="center"/>
        <w:rPr>
          <w:rFonts w:asciiTheme="minorHAnsi" w:hAnsiTheme="minorHAnsi" w:cs="Arial"/>
        </w:rPr>
      </w:pPr>
    </w:p>
    <w:p w:rsidR="00B26A79" w:rsidRPr="0034286D" w:rsidRDefault="00B26A79" w:rsidP="00B26A79">
      <w:pPr>
        <w:jc w:val="center"/>
        <w:rPr>
          <w:rFonts w:asciiTheme="minorHAnsi" w:hAnsiTheme="minorHAnsi" w:cs="Arial"/>
        </w:rPr>
      </w:pPr>
    </w:p>
    <w:p w:rsidR="00B26A79" w:rsidRDefault="00B26A79" w:rsidP="00B26A79">
      <w:pPr>
        <w:jc w:val="center"/>
        <w:rPr>
          <w:rFonts w:asciiTheme="minorHAnsi" w:hAnsiTheme="minorHAnsi" w:cs="Arial"/>
        </w:rPr>
        <w:sectPr w:rsidR="00B26A79" w:rsidSect="00A560E4">
          <w:footerReference w:type="even" r:id="rId5"/>
          <w:footerReference w:type="default" r:id="rId6"/>
          <w:pgSz w:w="12240" w:h="15840"/>
          <w:pgMar w:top="1440" w:right="1440" w:bottom="1440" w:left="1440" w:header="720" w:footer="405" w:gutter="0"/>
          <w:pgNumType w:start="1"/>
          <w:cols w:space="720"/>
          <w:titlePg/>
          <w:docGrid w:linePitch="299"/>
        </w:sectPr>
      </w:pPr>
    </w:p>
    <w:p w:rsidR="00B26A79" w:rsidRPr="0034286D" w:rsidRDefault="00B26A79" w:rsidP="00B26A79">
      <w:pPr>
        <w:pStyle w:val="Heading1"/>
      </w:pPr>
      <w:r w:rsidRPr="0034286D">
        <w:lastRenderedPageBreak/>
        <w:t>Protocol Synopsis</w:t>
      </w:r>
    </w:p>
    <w:p w:rsidR="00B26A79" w:rsidRPr="0034286D" w:rsidRDefault="006E4B1D" w:rsidP="00B26A79">
      <w:pPr>
        <w:pStyle w:val="Heading1"/>
      </w:pPr>
      <w:r>
        <w:t>Background &amp; Rationale</w:t>
      </w:r>
    </w:p>
    <w:p w:rsidR="00B26A79" w:rsidRDefault="00B26A79" w:rsidP="00B26A79">
      <w:pPr>
        <w:pStyle w:val="Heading1"/>
      </w:pPr>
      <w:r w:rsidRPr="00434C51">
        <w:t>Objectives</w:t>
      </w:r>
      <w:r>
        <w:t xml:space="preserve"> </w:t>
      </w:r>
    </w:p>
    <w:p w:rsidR="006E4B1D" w:rsidRDefault="006E4B1D" w:rsidP="006E4B1D">
      <w:pPr>
        <w:ind w:left="432"/>
      </w:pPr>
      <w:r>
        <w:t>Related to problems</w:t>
      </w:r>
    </w:p>
    <w:p w:rsidR="006E4B1D" w:rsidRDefault="006E4B1D" w:rsidP="006E4B1D">
      <w:pPr>
        <w:ind w:left="432"/>
      </w:pPr>
      <w:r>
        <w:t>Related to questions</w:t>
      </w:r>
    </w:p>
    <w:p w:rsidR="006E4B1D" w:rsidRPr="006E4B1D" w:rsidRDefault="006E4B1D" w:rsidP="006E4B1D">
      <w:pPr>
        <w:ind w:left="432"/>
      </w:pPr>
      <w:r>
        <w:t>Practical/pragmatic – applied components (where does the knowledge fit within a Target Information Architecture)</w:t>
      </w:r>
      <w:bookmarkStart w:id="1" w:name="_GoBack"/>
      <w:bookmarkEnd w:id="1"/>
    </w:p>
    <w:p w:rsidR="00B26A79" w:rsidRPr="0034286D" w:rsidRDefault="00B26A79" w:rsidP="00B26A79">
      <w:pPr>
        <w:pStyle w:val="Heading1"/>
      </w:pPr>
      <w:r w:rsidRPr="0034286D">
        <w:t>Major Research Hypothesis and Associated Research Questions</w:t>
      </w:r>
    </w:p>
    <w:p w:rsidR="00B26A79" w:rsidRPr="009218F7" w:rsidRDefault="00B26A79" w:rsidP="00B26A79">
      <w:pPr>
        <w:pStyle w:val="Heading1"/>
      </w:pPr>
      <w:r w:rsidRPr="009218F7">
        <w:t>Study Approach, Design</w:t>
      </w:r>
    </w:p>
    <w:p w:rsidR="00B26A79" w:rsidRDefault="00B26A79" w:rsidP="00B26A79">
      <w:pPr>
        <w:pStyle w:val="Heading2"/>
        <w:numPr>
          <w:ilvl w:val="0"/>
          <w:numId w:val="0"/>
        </w:numPr>
        <w:rPr>
          <w:b w:val="0"/>
        </w:rPr>
      </w:pPr>
      <w:r w:rsidRPr="009218F7">
        <w:rPr>
          <w:b w:val="0"/>
        </w:rPr>
        <w:t xml:space="preserve">[[If the study has a practical intent and an envisioned context in which the results will be applied, you might want to think in terms of phases, </w:t>
      </w:r>
      <w:proofErr w:type="spellStart"/>
      <w:r w:rsidRPr="009218F7">
        <w:rPr>
          <w:b w:val="0"/>
        </w:rPr>
        <w:t>e.g</w:t>
      </w:r>
      <w:proofErr w:type="spellEnd"/>
      <w:proofErr w:type="gramStart"/>
      <w:r w:rsidRPr="009218F7">
        <w:rPr>
          <w:b w:val="0"/>
        </w:rPr>
        <w:t>,.</w:t>
      </w:r>
      <w:proofErr w:type="gramEnd"/>
      <w:r w:rsidRPr="009218F7">
        <w:rPr>
          <w:b w:val="0"/>
        </w:rPr>
        <w:t xml:space="preserve">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1 - </w:t>
      </w:r>
      <w:r w:rsidRPr="009218F7">
        <w:rPr>
          <w:b w:val="0"/>
        </w:rPr>
        <w:t xml:space="preserve">Develop models;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2 - </w:t>
      </w:r>
      <w:r w:rsidRPr="009218F7">
        <w:rPr>
          <w:b w:val="0"/>
        </w:rPr>
        <w:t xml:space="preserve">Validate models;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3 - </w:t>
      </w:r>
      <w:r w:rsidRPr="009218F7">
        <w:rPr>
          <w:b w:val="0"/>
        </w:rPr>
        <w:t xml:space="preserve">Field trial the tools that use the research knowledge to support whatever functions that knowledge is intended to support;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4 - </w:t>
      </w:r>
      <w:r w:rsidRPr="009218F7">
        <w:rPr>
          <w:b w:val="0"/>
        </w:rPr>
        <w:t>Deploy a production version of the tools (</w:t>
      </w:r>
      <w:proofErr w:type="spellStart"/>
      <w:r w:rsidRPr="009218F7">
        <w:rPr>
          <w:b w:val="0"/>
        </w:rPr>
        <w:t>e.g</w:t>
      </w:r>
      <w:proofErr w:type="spellEnd"/>
      <w:proofErr w:type="gramStart"/>
      <w:r w:rsidRPr="009218F7">
        <w:rPr>
          <w:b w:val="0"/>
        </w:rPr>
        <w:t>,.</w:t>
      </w:r>
      <w:proofErr w:type="gramEnd"/>
      <w:r w:rsidRPr="009218F7">
        <w:rPr>
          <w:b w:val="0"/>
        </w:rPr>
        <w:t xml:space="preserve"> ready for full deployment in some context);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5 - </w:t>
      </w:r>
      <w:r w:rsidRPr="009218F7">
        <w:rPr>
          <w:b w:val="0"/>
        </w:rPr>
        <w:t xml:space="preserve">Validation that the production versions are working as expected; </w:t>
      </w:r>
    </w:p>
    <w:p w:rsidR="00B26A79" w:rsidRDefault="00B26A79" w:rsidP="00B26A79">
      <w:pPr>
        <w:pStyle w:val="Heading2"/>
        <w:numPr>
          <w:ilvl w:val="0"/>
          <w:numId w:val="2"/>
        </w:numPr>
        <w:spacing w:before="0" w:after="0"/>
        <w:rPr>
          <w:b w:val="0"/>
        </w:rPr>
      </w:pPr>
      <w:r>
        <w:rPr>
          <w:b w:val="0"/>
        </w:rPr>
        <w:t xml:space="preserve">Phase </w:t>
      </w:r>
      <w:proofErr w:type="gramStart"/>
      <w:r>
        <w:rPr>
          <w:b w:val="0"/>
        </w:rPr>
        <w:t>6</w:t>
      </w:r>
      <w:proofErr w:type="gramEnd"/>
      <w:r>
        <w:rPr>
          <w:b w:val="0"/>
        </w:rPr>
        <w:t xml:space="preserve"> – Implement s</w:t>
      </w:r>
      <w:r w:rsidRPr="009218F7">
        <w:rPr>
          <w:b w:val="0"/>
        </w:rPr>
        <w:t xml:space="preserve">trategy for ‘care and feeding’ of the tools, e.g., refreshing prediction models at XX intervals. </w:t>
      </w:r>
      <w:r>
        <w:rPr>
          <w:b w:val="0"/>
        </w:rPr>
        <w:t>]]</w:t>
      </w:r>
    </w:p>
    <w:p w:rsidR="00B26A79" w:rsidRDefault="00B26A79" w:rsidP="00B26A79"/>
    <w:p w:rsidR="00B26A79" w:rsidRDefault="00B26A79" w:rsidP="00B26A79">
      <w:r>
        <w:t xml:space="preserve">Include – </w:t>
      </w:r>
    </w:p>
    <w:p w:rsidR="00B26A79" w:rsidRDefault="00B26A79" w:rsidP="00B26A79">
      <w:pPr>
        <w:pStyle w:val="ListParagraph"/>
        <w:numPr>
          <w:ilvl w:val="0"/>
          <w:numId w:val="3"/>
        </w:numPr>
      </w:pPr>
      <w:r>
        <w:t>Design, methodology</w:t>
      </w:r>
    </w:p>
    <w:p w:rsidR="00B26A79" w:rsidRDefault="00B26A79" w:rsidP="00B26A79">
      <w:pPr>
        <w:pStyle w:val="ListParagraph"/>
        <w:numPr>
          <w:ilvl w:val="0"/>
          <w:numId w:val="4"/>
        </w:numPr>
      </w:pPr>
      <w:r>
        <w:t>Defining the cohort</w:t>
      </w:r>
    </w:p>
    <w:p w:rsidR="00B26A79" w:rsidRDefault="00B26A79" w:rsidP="00B26A79">
      <w:pPr>
        <w:pStyle w:val="ListParagraph"/>
        <w:numPr>
          <w:ilvl w:val="1"/>
          <w:numId w:val="4"/>
        </w:numPr>
      </w:pPr>
      <w:r>
        <w:t>Conceptually – who</w:t>
      </w:r>
    </w:p>
    <w:p w:rsidR="00B26A79" w:rsidRDefault="00B26A79" w:rsidP="00B26A79">
      <w:pPr>
        <w:pStyle w:val="ListParagraph"/>
        <w:numPr>
          <w:ilvl w:val="1"/>
          <w:numId w:val="4"/>
        </w:numPr>
      </w:pPr>
      <w:r>
        <w:t xml:space="preserve">Operationally – what are the inclusion/exclusion criteria? How will you know whether they </w:t>
      </w:r>
      <w:proofErr w:type="gramStart"/>
      <w:r>
        <w:t>have been met/not met</w:t>
      </w:r>
      <w:proofErr w:type="gramEnd"/>
      <w:r>
        <w:t>?</w:t>
      </w:r>
    </w:p>
    <w:p w:rsidR="00B26A79" w:rsidRDefault="00B26A79" w:rsidP="00B26A79">
      <w:pPr>
        <w:pStyle w:val="ListParagraph"/>
        <w:numPr>
          <w:ilvl w:val="0"/>
          <w:numId w:val="4"/>
        </w:numPr>
      </w:pPr>
      <w:r>
        <w:t>Sample size, power considerations</w:t>
      </w:r>
    </w:p>
    <w:p w:rsidR="00B26A79" w:rsidRDefault="00B26A79" w:rsidP="00B26A79">
      <w:pPr>
        <w:pStyle w:val="ListParagraph"/>
        <w:numPr>
          <w:ilvl w:val="0"/>
          <w:numId w:val="4"/>
        </w:numPr>
      </w:pPr>
      <w:r>
        <w:t>Statistical approach</w:t>
      </w:r>
    </w:p>
    <w:p w:rsidR="00B26A79" w:rsidRDefault="00B26A79" w:rsidP="00B26A79">
      <w:pPr>
        <w:pStyle w:val="ListParagraph"/>
        <w:numPr>
          <w:ilvl w:val="0"/>
          <w:numId w:val="4"/>
        </w:numPr>
      </w:pPr>
      <w:r>
        <w:t>Data elements – broken out by source system (e.g., X, Y, Z from Island Health data warehouse; A, B, C supplied by researcher)</w:t>
      </w:r>
    </w:p>
    <w:p w:rsidR="00B26A79" w:rsidRDefault="00B26A79" w:rsidP="00B26A79">
      <w:pPr>
        <w:pStyle w:val="ListParagraph"/>
        <w:numPr>
          <w:ilvl w:val="0"/>
          <w:numId w:val="4"/>
        </w:numPr>
      </w:pPr>
      <w:r>
        <w:t>Products – [for ‘pure’ research the product is answers. For applied research, the product will be evidence-based tools that relate to cohorts and/or programs and or functions performed by programs or professionals.</w:t>
      </w:r>
    </w:p>
    <w:p w:rsidR="00B26A79" w:rsidRPr="00B26A79" w:rsidRDefault="00B26A79" w:rsidP="00B26A79">
      <w:pPr>
        <w:pStyle w:val="Heading1"/>
      </w:pPr>
      <w:r w:rsidRPr="00B26A79">
        <w:t>Data management</w:t>
      </w:r>
    </w:p>
    <w:p w:rsidR="00B26A79" w:rsidRDefault="00B26A79" w:rsidP="00B26A79">
      <w:pPr>
        <w:pStyle w:val="ListParagraph"/>
        <w:numPr>
          <w:ilvl w:val="0"/>
          <w:numId w:val="5"/>
        </w:numPr>
      </w:pPr>
      <w:r>
        <w:t>What are the technologies, sources of the data (</w:t>
      </w:r>
      <w:proofErr w:type="spellStart"/>
      <w:r>
        <w:t>e.g</w:t>
      </w:r>
      <w:proofErr w:type="spellEnd"/>
      <w:r>
        <w:t xml:space="preserve">, X, Y and Z from the data warehouse; A, B &amp; C supplied directly by subjects using web-based tools that store data in the Island Health instance of </w:t>
      </w:r>
      <w:proofErr w:type="spellStart"/>
      <w:r>
        <w:t>REDCap</w:t>
      </w:r>
      <w:proofErr w:type="spellEnd"/>
      <w:r>
        <w:t xml:space="preserve">; </w:t>
      </w:r>
      <w:proofErr w:type="spellStart"/>
      <w:r>
        <w:t>etc</w:t>
      </w:r>
      <w:proofErr w:type="spellEnd"/>
      <w:r>
        <w:t>)</w:t>
      </w:r>
    </w:p>
    <w:p w:rsidR="00B26A79" w:rsidRDefault="00B26A79" w:rsidP="00B26A79">
      <w:pPr>
        <w:pStyle w:val="ListParagraph"/>
        <w:numPr>
          <w:ilvl w:val="0"/>
          <w:numId w:val="5"/>
        </w:numPr>
      </w:pPr>
      <w:r>
        <w:t xml:space="preserve">Where will the data be housed – where researchers interact with the data, </w:t>
      </w:r>
      <w:proofErr w:type="spellStart"/>
      <w:r>
        <w:t>e.g</w:t>
      </w:r>
      <w:proofErr w:type="spellEnd"/>
      <w:r>
        <w:t xml:space="preserve">, inside the Island Health Secure Research Environment; inside the Microsoft Azure Cloud environment; on a laptop (not likely to be viewed </w:t>
      </w:r>
      <w:proofErr w:type="spellStart"/>
      <w:r>
        <w:t>favourably</w:t>
      </w:r>
      <w:proofErr w:type="spellEnd"/>
      <w:proofErr w:type="gramStart"/>
      <w:r>
        <w:t>!!)</w:t>
      </w:r>
      <w:proofErr w:type="gramEnd"/>
    </w:p>
    <w:p w:rsidR="00B26A79" w:rsidRDefault="00B26A79" w:rsidP="00B26A79">
      <w:pPr>
        <w:pStyle w:val="ListParagraph"/>
        <w:numPr>
          <w:ilvl w:val="0"/>
          <w:numId w:val="5"/>
        </w:numPr>
      </w:pPr>
      <w:r>
        <w:t>Data flow diagram</w:t>
      </w:r>
    </w:p>
    <w:p w:rsidR="00B26A79" w:rsidRDefault="00B26A79" w:rsidP="00B26A79">
      <w:pPr>
        <w:pStyle w:val="ListParagraph"/>
        <w:numPr>
          <w:ilvl w:val="0"/>
          <w:numId w:val="5"/>
        </w:numPr>
      </w:pPr>
      <w:r>
        <w:t xml:space="preserve">Steps involved in preparing the data – who does what, in which </w:t>
      </w:r>
      <w:r w:rsidR="006E4B1D">
        <w:t>environments</w:t>
      </w:r>
    </w:p>
    <w:p w:rsidR="00B26A79" w:rsidRDefault="00B26A79" w:rsidP="00B26A79">
      <w:pPr>
        <w:pStyle w:val="ListParagraph"/>
        <w:numPr>
          <w:ilvl w:val="0"/>
          <w:numId w:val="5"/>
        </w:numPr>
      </w:pPr>
      <w:r>
        <w:lastRenderedPageBreak/>
        <w:t>What are the activities that are performed to access the data, de-identify the data and locate the data in the environment where the data will be accessed</w:t>
      </w:r>
    </w:p>
    <w:p w:rsidR="00B26A79" w:rsidRDefault="00B26A79" w:rsidP="00B26A79">
      <w:pPr>
        <w:pStyle w:val="ListParagraph"/>
        <w:numPr>
          <w:ilvl w:val="1"/>
          <w:numId w:val="5"/>
        </w:numPr>
      </w:pPr>
      <w:r>
        <w:t>Data flow diagram</w:t>
      </w:r>
    </w:p>
    <w:p w:rsidR="00B26A79" w:rsidRDefault="00B26A79" w:rsidP="00B26A79">
      <w:pPr>
        <w:pStyle w:val="ListParagraph"/>
        <w:numPr>
          <w:ilvl w:val="1"/>
          <w:numId w:val="5"/>
        </w:numPr>
      </w:pPr>
      <w:r>
        <w:t>Steps involved in preparing the data – who does what, in which environments</w:t>
      </w:r>
    </w:p>
    <w:p w:rsidR="00B26A79" w:rsidRPr="003B57C9" w:rsidRDefault="00B26A79" w:rsidP="00B26A79">
      <w:pPr>
        <w:pStyle w:val="ListParagraph"/>
        <w:numPr>
          <w:ilvl w:val="1"/>
          <w:numId w:val="5"/>
        </w:numPr>
      </w:pPr>
      <w:r w:rsidRPr="003B57C9">
        <w:rPr>
          <w:rFonts w:asciiTheme="minorHAnsi" w:hAnsiTheme="minorHAnsi"/>
        </w:rPr>
        <w:t>Protection of Privacy</w:t>
      </w:r>
    </w:p>
    <w:p w:rsidR="00F75D2E" w:rsidRDefault="00B26A79" w:rsidP="00B26A79">
      <w:pPr>
        <w:pStyle w:val="Heading1"/>
      </w:pPr>
      <w:r>
        <w:t>Consent, Protection of Privacy</w:t>
      </w:r>
    </w:p>
    <w:p w:rsidR="00B26A79" w:rsidRDefault="00B26A79" w:rsidP="00B26A79">
      <w:pPr>
        <w:pStyle w:val="ListParagraph"/>
        <w:numPr>
          <w:ilvl w:val="0"/>
          <w:numId w:val="6"/>
        </w:numPr>
      </w:pPr>
      <w:r>
        <w:t>Consent</w:t>
      </w:r>
    </w:p>
    <w:p w:rsidR="00B26A79" w:rsidRDefault="00B26A79" w:rsidP="00B26A79">
      <w:pPr>
        <w:pStyle w:val="ListParagraph"/>
        <w:numPr>
          <w:ilvl w:val="0"/>
          <w:numId w:val="6"/>
        </w:numPr>
      </w:pPr>
      <w:r>
        <w:t xml:space="preserve">What are the activities that are performed to </w:t>
      </w:r>
      <w:r>
        <w:t>de-identify the data</w:t>
      </w:r>
    </w:p>
    <w:p w:rsidR="00B26A79" w:rsidRDefault="00B26A79" w:rsidP="00B26A79"/>
    <w:p w:rsidR="00B26A79" w:rsidRDefault="00B26A79" w:rsidP="00B26A79">
      <w:pPr>
        <w:pStyle w:val="Heading1"/>
      </w:pPr>
      <w:r>
        <w:t>Data retention</w:t>
      </w:r>
    </w:p>
    <w:p w:rsidR="00B26A79" w:rsidRDefault="00B26A79" w:rsidP="00B26A79">
      <w:pPr>
        <w:pStyle w:val="Heading1"/>
      </w:pPr>
      <w:r>
        <w:t>Publication of Results</w:t>
      </w:r>
    </w:p>
    <w:p w:rsidR="003520BB" w:rsidRDefault="003520BB" w:rsidP="003520BB">
      <w:pPr>
        <w:pStyle w:val="Heading1"/>
      </w:pPr>
      <w:r>
        <w:t>References</w:t>
      </w:r>
    </w:p>
    <w:p w:rsidR="00B26A79" w:rsidRDefault="00B26A79">
      <w:pPr>
        <w:spacing w:after="160" w:line="259" w:lineRule="auto"/>
      </w:pPr>
    </w:p>
    <w:p w:rsidR="00B26A79" w:rsidRDefault="00B26A79">
      <w:pPr>
        <w:spacing w:after="160" w:line="259" w:lineRule="auto"/>
        <w:rPr>
          <w:rFonts w:asciiTheme="minorHAnsi" w:hAnsiTheme="minorHAnsi"/>
          <w:b/>
          <w:kern w:val="32"/>
          <w:sz w:val="28"/>
          <w:szCs w:val="20"/>
        </w:rPr>
        <w:sectPr w:rsidR="00B26A7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26A79" w:rsidRDefault="00B26A79">
      <w:pPr>
        <w:spacing w:after="160" w:line="259" w:lineRule="auto"/>
        <w:rPr>
          <w:rFonts w:asciiTheme="minorHAnsi" w:hAnsiTheme="minorHAnsi"/>
          <w:b/>
          <w:kern w:val="32"/>
          <w:sz w:val="28"/>
          <w:szCs w:val="20"/>
        </w:rPr>
      </w:pPr>
    </w:p>
    <w:p w:rsidR="00B26A79" w:rsidRDefault="00B26A79" w:rsidP="00B26A79">
      <w:pPr>
        <w:pStyle w:val="Heading1"/>
        <w:numPr>
          <w:ilvl w:val="0"/>
          <w:numId w:val="0"/>
        </w:numPr>
        <w:ind w:left="432"/>
      </w:pPr>
      <w:r>
        <w:t>Sample data flow diagram</w:t>
      </w:r>
    </w:p>
    <w:p w:rsidR="00B26A79" w:rsidRPr="00B26A79" w:rsidRDefault="00B26A79" w:rsidP="00B26A79"/>
    <w:p w:rsidR="00B26A79" w:rsidRDefault="00B26A79" w:rsidP="00B26A79">
      <w:r>
        <w:rPr>
          <w:i/>
          <w:noProof/>
          <w:sz w:val="23"/>
          <w:szCs w:val="23"/>
          <w:lang w:val="en-CA" w:eastAsia="en-CA"/>
        </w:rPr>
        <w:drawing>
          <wp:inline distT="0" distB="0" distL="0" distR="0" wp14:anchorId="6C0E6B48" wp14:editId="00369E93">
            <wp:extent cx="8229600" cy="5688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 flow diagram Smart Antibiogram - revised February 10 20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7F" w:rsidRDefault="00372A7F" w:rsidP="00B26A79"/>
    <w:p w:rsidR="00372A7F" w:rsidRPr="00DD21EB" w:rsidRDefault="00372A7F" w:rsidP="00372A7F">
      <w:pPr>
        <w:tabs>
          <w:tab w:val="left" w:pos="1185"/>
        </w:tabs>
      </w:pPr>
      <w:r w:rsidRPr="00F100BF">
        <w:rPr>
          <w:b/>
        </w:rPr>
        <w:t xml:space="preserve">Table </w:t>
      </w:r>
      <w:proofErr w:type="gramStart"/>
      <w:r w:rsidRPr="00F100BF">
        <w:rPr>
          <w:b/>
        </w:rPr>
        <w:t>I</w:t>
      </w:r>
      <w:proofErr w:type="gramEnd"/>
      <w:r w:rsidRPr="00F100BF">
        <w:rPr>
          <w:b/>
        </w:rPr>
        <w:t xml:space="preserve">.  </w:t>
      </w:r>
      <w:r w:rsidRPr="000578FA">
        <w:t>Creation of Analysis-Ready De-Identified Research Data Set in Island Health Data Disclosure Environment</w:t>
      </w:r>
    </w:p>
    <w:tbl>
      <w:tblPr>
        <w:tblStyle w:val="TableGrid"/>
        <w:tblW w:w="13357" w:type="dxa"/>
        <w:tblLook w:val="04A0" w:firstRow="1" w:lastRow="0" w:firstColumn="1" w:lastColumn="0" w:noHBand="0" w:noVBand="1"/>
      </w:tblPr>
      <w:tblGrid>
        <w:gridCol w:w="626"/>
        <w:gridCol w:w="7783"/>
        <w:gridCol w:w="4948"/>
      </w:tblGrid>
      <w:tr w:rsidR="00372A7F" w:rsidTr="006E7446">
        <w:tc>
          <w:tcPr>
            <w:tcW w:w="626" w:type="dxa"/>
            <w:vMerge w:val="restart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rPr>
                <w:b/>
              </w:rPr>
            </w:pPr>
            <w:r w:rsidRPr="006A76CD">
              <w:rPr>
                <w:b/>
              </w:rPr>
              <w:t>Step</w:t>
            </w:r>
          </w:p>
        </w:tc>
        <w:tc>
          <w:tcPr>
            <w:tcW w:w="7783" w:type="dxa"/>
            <w:vMerge w:val="restart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rPr>
                <w:b/>
              </w:rPr>
            </w:pPr>
            <w:r w:rsidRPr="006A76CD">
              <w:rPr>
                <w:b/>
              </w:rPr>
              <w:t>Activity</w:t>
            </w:r>
          </w:p>
        </w:tc>
        <w:tc>
          <w:tcPr>
            <w:tcW w:w="4948" w:type="dxa"/>
            <w:shd w:val="clear" w:color="auto" w:fill="DEEAF6" w:themeFill="accent1" w:themeFillTint="33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 w:rsidRPr="006A76CD">
              <w:rPr>
                <w:b/>
              </w:rPr>
              <w:t>Parties Involved</w:t>
            </w:r>
          </w:p>
        </w:tc>
      </w:tr>
    </w:tbl>
    <w:tbl>
      <w:tblPr>
        <w:tblStyle w:val="ListParagraph"/>
        <w:tblW w:w="13357" w:type="dxa"/>
        <w:tblLook w:val="04A0" w:firstRow="1" w:lastRow="0" w:firstColumn="1" w:lastColumn="0" w:noHBand="0" w:noVBand="1"/>
      </w:tblPr>
      <w:tblGrid>
        <w:gridCol w:w="461"/>
        <w:gridCol w:w="4702"/>
        <w:gridCol w:w="1326"/>
        <w:gridCol w:w="1276"/>
        <w:gridCol w:w="1230"/>
        <w:gridCol w:w="1345"/>
        <w:gridCol w:w="1493"/>
        <w:gridCol w:w="1524"/>
      </w:tblGrid>
      <w:tr w:rsidR="00372A7F" w:rsidTr="006E7446">
        <w:trPr>
          <w:trHeight w:val="431"/>
        </w:trPr>
        <w:tc>
          <w:tcPr>
            <w:tcW w:w="626" w:type="dxa"/>
            <w:vMerge/>
            <w:shd w:val="clear" w:color="auto" w:fill="DEEAF6" w:themeFill="accent1" w:themeFillTint="33"/>
          </w:tcPr>
          <w:p w:rsidR="00372A7F" w:rsidRPr="006A76CD" w:rsidRDefault="00372A7F" w:rsidP="006E7446">
            <w:pPr>
              <w:rPr>
                <w:b/>
              </w:rPr>
            </w:pPr>
          </w:p>
        </w:tc>
        <w:tc>
          <w:tcPr>
            <w:tcW w:w="7783" w:type="dxa"/>
            <w:vMerge/>
            <w:shd w:val="clear" w:color="auto" w:fill="DEEAF6" w:themeFill="accent1" w:themeFillTint="33"/>
          </w:tcPr>
          <w:p w:rsidR="00372A7F" w:rsidRPr="006A76CD" w:rsidRDefault="00372A7F" w:rsidP="006E7446">
            <w:pPr>
              <w:rPr>
                <w:b/>
              </w:rPr>
            </w:pPr>
          </w:p>
        </w:tc>
        <w:tc>
          <w:tcPr>
            <w:tcW w:w="824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  <w:sz w:val="20"/>
              </w:rPr>
            </w:pPr>
            <w:r w:rsidRPr="006A76CD">
              <w:rPr>
                <w:b/>
                <w:sz w:val="20"/>
              </w:rPr>
              <w:t>IH DW Staff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  <w:sz w:val="20"/>
              </w:rPr>
            </w:pPr>
            <w:r w:rsidRPr="006A76CD">
              <w:rPr>
                <w:b/>
                <w:sz w:val="20"/>
              </w:rPr>
              <w:t>IH Dir ACR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  <w:sz w:val="20"/>
              </w:rPr>
            </w:pPr>
            <w:r w:rsidRPr="006A76CD">
              <w:rPr>
                <w:b/>
                <w:sz w:val="20"/>
              </w:rPr>
              <w:t>HI Res</w:t>
            </w:r>
          </w:p>
        </w:tc>
        <w:tc>
          <w:tcPr>
            <w:tcW w:w="824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  <w:sz w:val="20"/>
              </w:rPr>
            </w:pPr>
            <w:r w:rsidRPr="006A76CD">
              <w:rPr>
                <w:b/>
                <w:sz w:val="20"/>
              </w:rPr>
              <w:t>UVIC Res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  <w:sz w:val="20"/>
              </w:rPr>
            </w:pPr>
            <w:r w:rsidRPr="006A76CD">
              <w:rPr>
                <w:b/>
                <w:sz w:val="20"/>
              </w:rPr>
              <w:t>Cerner Res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tabs>
                <w:tab w:val="left" w:pos="321"/>
              </w:tabs>
              <w:jc w:val="center"/>
              <w:rPr>
                <w:b/>
                <w:sz w:val="20"/>
              </w:rPr>
            </w:pPr>
            <w:proofErr w:type="spellStart"/>
            <w:r w:rsidRPr="006A76CD">
              <w:rPr>
                <w:b/>
                <w:sz w:val="20"/>
              </w:rPr>
              <w:t>O’sight</w:t>
            </w:r>
            <w:proofErr w:type="spellEnd"/>
            <w:r w:rsidRPr="006A76CD">
              <w:rPr>
                <w:b/>
                <w:sz w:val="20"/>
              </w:rPr>
              <w:t xml:space="preserve"> Group</w:t>
            </w:r>
          </w:p>
        </w:tc>
      </w:tr>
    </w:tbl>
    <w:tbl>
      <w:tblPr>
        <w:tblStyle w:val="TableGrid"/>
        <w:tblW w:w="13357" w:type="dxa"/>
        <w:tblLook w:val="04A0" w:firstRow="1" w:lastRow="0" w:firstColumn="1" w:lastColumn="0" w:noHBand="0" w:noVBand="1"/>
      </w:tblPr>
      <w:tblGrid>
        <w:gridCol w:w="626"/>
        <w:gridCol w:w="7783"/>
        <w:gridCol w:w="824"/>
        <w:gridCol w:w="825"/>
        <w:gridCol w:w="825"/>
        <w:gridCol w:w="824"/>
        <w:gridCol w:w="825"/>
        <w:gridCol w:w="825"/>
      </w:tblGrid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EDW attaches fully anonymized identifier to information coming into the data warehouse from Island Health source data systems and removes Direct Identifiers.  EDW retains the key to enable re-identification of data but never discloses to Researchers. Research data </w:t>
            </w:r>
            <w:proofErr w:type="gramStart"/>
            <w:r>
              <w:t>are drawn</w:t>
            </w:r>
            <w:proofErr w:type="gramEnd"/>
            <w:r>
              <w:t xml:space="preserve"> from this larger body of anonymized data in the EDW.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2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Supply EDW team with detailed data requirements for research, reflecting research questions, proposed analyses and data requirements as delineated in research protocol.  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3</w:t>
            </w:r>
          </w:p>
        </w:tc>
        <w:tc>
          <w:tcPr>
            <w:tcW w:w="7783" w:type="dxa"/>
          </w:tcPr>
          <w:p w:rsidR="00372A7F" w:rsidRDefault="00372A7F" w:rsidP="006E7446">
            <w:r w:rsidRPr="00291E12">
              <w:t xml:space="preserve">Generate </w:t>
            </w:r>
            <w:r>
              <w:t>SQL</w:t>
            </w:r>
            <w:r w:rsidRPr="00291E12">
              <w:t xml:space="preserve"> </w:t>
            </w:r>
            <w:r>
              <w:t xml:space="preserve">queries </w:t>
            </w:r>
            <w:r w:rsidRPr="00291E12">
              <w:t>to create a delimited body of data elements that are required to address the research questions &amp; carry out research modeling activities.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4</w:t>
            </w:r>
          </w:p>
        </w:tc>
        <w:tc>
          <w:tcPr>
            <w:tcW w:w="7783" w:type="dxa"/>
          </w:tcPr>
          <w:p w:rsidR="00372A7F" w:rsidRDefault="00372A7F" w:rsidP="006E7446">
            <w:r w:rsidRPr="00566EEF">
              <w:t xml:space="preserve">Validate that SQL queries have correctly translated documented data requirements with holdings in the </w:t>
            </w:r>
            <w:r>
              <w:t>EDW</w:t>
            </w:r>
            <w:r w:rsidRPr="00566EEF">
              <w:t>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5</w:t>
            </w:r>
          </w:p>
        </w:tc>
        <w:tc>
          <w:tcPr>
            <w:tcW w:w="7783" w:type="dxa"/>
          </w:tcPr>
          <w:p w:rsidR="00372A7F" w:rsidRDefault="00372A7F" w:rsidP="006E7446">
            <w:r w:rsidRPr="00291E12">
              <w:t xml:space="preserve">Execute </w:t>
            </w:r>
            <w:r>
              <w:t>SQL queries</w:t>
            </w:r>
            <w:r w:rsidRPr="00291E12">
              <w:t xml:space="preserve"> to create a copy of required data elements in a secure database inside the Island Health firewall.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6</w:t>
            </w:r>
          </w:p>
        </w:tc>
        <w:tc>
          <w:tcPr>
            <w:tcW w:w="7783" w:type="dxa"/>
          </w:tcPr>
          <w:p w:rsidR="00372A7F" w:rsidRDefault="00372A7F" w:rsidP="006E7446">
            <w:r>
              <w:t>Replace anonymized EDW identifier with a fully anonymized study-specific ID. EDW retains the key to enable linking of research data with other contents in the EDW.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7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Bring BC provincial </w:t>
            </w:r>
            <w:proofErr w:type="spellStart"/>
            <w:r>
              <w:t>PharmaNet</w:t>
            </w:r>
            <w:proofErr w:type="spellEnd"/>
            <w:r>
              <w:t xml:space="preserve"> data into Island Health DDE as per protocol detailed in Table II </w:t>
            </w:r>
          </w:p>
        </w:tc>
        <w:tc>
          <w:tcPr>
            <w:tcW w:w="4948" w:type="dxa"/>
            <w:gridSpan w:val="6"/>
            <w:vMerge w:val="restart"/>
            <w:vAlign w:val="center"/>
          </w:tcPr>
          <w:p w:rsidR="00372A7F" w:rsidRDefault="00372A7F" w:rsidP="006E7446">
            <w:pPr>
              <w:jc w:val="center"/>
            </w:pPr>
            <w:r>
              <w:t>See Table II (Linking Island Health Data with Externally-Supplied Pharmacy and Lab Data Inside the Island Health Data Disclosure Environment)</w:t>
            </w: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8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Bring BC community Lab data into Island Health DDE as per protocol detailed in Table II. </w:t>
            </w:r>
          </w:p>
        </w:tc>
        <w:tc>
          <w:tcPr>
            <w:tcW w:w="4948" w:type="dxa"/>
            <w:gridSpan w:val="6"/>
            <w:vMerge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9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Employing meta-data associated with research data elements, partition research data into two sub-sets, using the following scheme: </w:t>
            </w:r>
          </w:p>
          <w:p w:rsidR="00372A7F" w:rsidRDefault="00372A7F" w:rsidP="00372A7F">
            <w:pPr>
              <w:pStyle w:val="ListParagraph"/>
              <w:numPr>
                <w:ilvl w:val="1"/>
                <w:numId w:val="7"/>
              </w:numPr>
              <w:ind w:left="702" w:hanging="270"/>
            </w:pPr>
            <w:r>
              <w:t>Indirect Identifiers (Quasi-Identifiers)</w:t>
            </w:r>
          </w:p>
          <w:p w:rsidR="00372A7F" w:rsidRDefault="00372A7F" w:rsidP="00372A7F">
            <w:pPr>
              <w:pStyle w:val="ListParagraph"/>
              <w:numPr>
                <w:ilvl w:val="1"/>
                <w:numId w:val="7"/>
              </w:numPr>
              <w:ind w:left="702" w:hanging="270"/>
            </w:pPr>
            <w:r>
              <w:t xml:space="preserve">Attribute Values that could conceivably be linked to Unique Identifiers via the intermediary of actual knowledge that </w:t>
            </w:r>
            <w:proofErr w:type="gramStart"/>
            <w:r>
              <w:t>is either</w:t>
            </w:r>
            <w:proofErr w:type="gramEnd"/>
            <w:r>
              <w:t xml:space="preserve"> held by members of the Research Team or could be acquired by members of the research team. 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10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Apply random transformation to dates in the body of Research Information in the DDE in such a way that sequence and duration </w:t>
            </w:r>
            <w:proofErr w:type="gramStart"/>
            <w:r>
              <w:t>are preserved</w:t>
            </w:r>
            <w:proofErr w:type="gramEnd"/>
            <w:r>
              <w:t xml:space="preserve"> at an individual case level. The protocol routinely employed by the Cerner Math group will be followed by the Island Health parties performing these activities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11</w:t>
            </w:r>
          </w:p>
        </w:tc>
        <w:tc>
          <w:tcPr>
            <w:tcW w:w="7783" w:type="dxa"/>
          </w:tcPr>
          <w:p w:rsidR="00372A7F" w:rsidRDefault="00372A7F" w:rsidP="006E7446">
            <w:r w:rsidRPr="00566EEF">
              <w:t>Employ Statistical Disclosure Control (SDC) methods to evaluate risks for Re-Identification</w:t>
            </w:r>
            <w:r>
              <w:t>:</w:t>
            </w:r>
          </w:p>
          <w:p w:rsidR="00372A7F" w:rsidRPr="00566EEF" w:rsidRDefault="00372A7F" w:rsidP="00372A7F">
            <w:pPr>
              <w:pStyle w:val="ListParagraph"/>
              <w:numPr>
                <w:ilvl w:val="0"/>
                <w:numId w:val="8"/>
              </w:numPr>
              <w:ind w:left="702" w:hanging="270"/>
            </w:pPr>
            <w:r w:rsidRPr="00566EEF">
              <w:t>Risks associated with Indirect Identifiers</w:t>
            </w:r>
          </w:p>
          <w:p w:rsidR="00372A7F" w:rsidRDefault="00372A7F" w:rsidP="00372A7F">
            <w:pPr>
              <w:pStyle w:val="ListParagraph"/>
              <w:numPr>
                <w:ilvl w:val="0"/>
                <w:numId w:val="8"/>
              </w:numPr>
              <w:ind w:left="702" w:hanging="270"/>
            </w:pPr>
            <w:r w:rsidRPr="00566EEF">
              <w:t xml:space="preserve">Risks associated with subset of Attribute Values that </w:t>
            </w:r>
            <w:proofErr w:type="gramStart"/>
            <w:r w:rsidRPr="00566EEF">
              <w:t>have been deemed</w:t>
            </w:r>
            <w:proofErr w:type="gramEnd"/>
            <w:r w:rsidRPr="00566EEF">
              <w:t xml:space="preserve"> to hold some potential to function as Indirect Identifiers.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12</w:t>
            </w:r>
          </w:p>
        </w:tc>
        <w:tc>
          <w:tcPr>
            <w:tcW w:w="7783" w:type="dxa"/>
          </w:tcPr>
          <w:p w:rsidR="00372A7F" w:rsidRDefault="00372A7F" w:rsidP="006E7446">
            <w:r>
              <w:t>Apply transformations to the body of Research Information research data file to address quantified risks for Re-Identification. Options include Perturbative and Non-Perturbative changes, with Non-Perturbative changes regarded as the preferred option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13</w:t>
            </w:r>
          </w:p>
        </w:tc>
        <w:tc>
          <w:tcPr>
            <w:tcW w:w="7783" w:type="dxa"/>
          </w:tcPr>
          <w:p w:rsidR="00372A7F" w:rsidRDefault="00372A7F" w:rsidP="006E7446">
            <w:r w:rsidRPr="00291E12">
              <w:t>Generate document detailing: (</w:t>
            </w:r>
            <w:r>
              <w:t>a</w:t>
            </w:r>
            <w:r w:rsidRPr="00291E12">
              <w:t xml:space="preserve">) all of the transformations that have been applied to the research data in order to achieve acceptable levels of risk for </w:t>
            </w:r>
            <w:r>
              <w:t>R</w:t>
            </w:r>
            <w:r w:rsidRPr="00291E12">
              <w:t>e-</w:t>
            </w:r>
            <w:r>
              <w:t>I</w:t>
            </w:r>
            <w:r w:rsidRPr="00291E12">
              <w:t>denti</w:t>
            </w:r>
            <w:r w:rsidRPr="008E453A">
              <w:t>fication, and (</w:t>
            </w:r>
            <w:r>
              <w:t>b</w:t>
            </w:r>
            <w:r w:rsidRPr="008E453A">
              <w:t xml:space="preserve">) all of the analyses conducted to quantify risk for </w:t>
            </w:r>
            <w:r>
              <w:t>R</w:t>
            </w:r>
            <w:r w:rsidRPr="008E453A">
              <w:t>e-</w:t>
            </w:r>
            <w:r>
              <w:t>I</w:t>
            </w:r>
            <w:r w:rsidRPr="008E453A">
              <w:t>dentification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14</w:t>
            </w:r>
          </w:p>
        </w:tc>
        <w:tc>
          <w:tcPr>
            <w:tcW w:w="7783" w:type="dxa"/>
          </w:tcPr>
          <w:p w:rsidR="00372A7F" w:rsidRDefault="00372A7F" w:rsidP="006E7446">
            <w:r>
              <w:t>C</w:t>
            </w:r>
            <w:r w:rsidRPr="008E453A">
              <w:t>irculate</w:t>
            </w:r>
            <w:r>
              <w:t xml:space="preserve"> documentation of</w:t>
            </w:r>
            <w:r w:rsidRPr="008E453A">
              <w:t xml:space="preserve"> results to the </w:t>
            </w:r>
            <w:r>
              <w:t xml:space="preserve">Smart </w:t>
            </w:r>
            <w:proofErr w:type="spellStart"/>
            <w:r>
              <w:t>Antibiogram</w:t>
            </w:r>
            <w:proofErr w:type="spellEnd"/>
            <w:r w:rsidRPr="008E453A">
              <w:t xml:space="preserve"> project Analytics Oversight Group to adjudicate on whether an adequate level of residual risk for </w:t>
            </w:r>
            <w:r>
              <w:t>R</w:t>
            </w:r>
            <w:r w:rsidRPr="008E453A">
              <w:t>e-</w:t>
            </w:r>
            <w:r>
              <w:t>I</w:t>
            </w:r>
            <w:r w:rsidRPr="008E453A">
              <w:t xml:space="preserve">dentification has </w:t>
            </w:r>
            <w:r>
              <w:t xml:space="preserve">met island Health and Cerner Math standards. Minutes generated by the Island Health Director, Applied Clinical Research. </w:t>
            </w:r>
          </w:p>
          <w:p w:rsidR="00372A7F" w:rsidRDefault="00372A7F" w:rsidP="006E7446">
            <w:pPr>
              <w:ind w:left="720"/>
            </w:pPr>
            <w:r>
              <w:t xml:space="preserve">If the data are not approved for disclosure to Researchers – GOTO Step 12.  </w:t>
            </w:r>
          </w:p>
          <w:p w:rsidR="00372A7F" w:rsidRDefault="00372A7F" w:rsidP="006E7446">
            <w:pPr>
              <w:ind w:left="720"/>
            </w:pPr>
            <w:r>
              <w:t>If the data are approved for disclosure to Researchers – GOTO Step 15.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proofErr w:type="spellStart"/>
            <w:r>
              <w:t>Adj</w:t>
            </w:r>
            <w:proofErr w:type="spellEnd"/>
            <w:r>
              <w:t>/ App</w:t>
            </w: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15</w:t>
            </w:r>
          </w:p>
        </w:tc>
        <w:tc>
          <w:tcPr>
            <w:tcW w:w="7783" w:type="dxa"/>
          </w:tcPr>
          <w:p w:rsidR="00372A7F" w:rsidRDefault="00372A7F" w:rsidP="006E7446">
            <w:r w:rsidRPr="00291E12">
              <w:t xml:space="preserve">Authorize Island Health Information Management/Information Technology to activate accounts for </w:t>
            </w:r>
            <w:r>
              <w:t xml:space="preserve">Cerner Math Researchers. This enables these Researchers to interact with the Smart </w:t>
            </w:r>
            <w:proofErr w:type="spellStart"/>
            <w:r>
              <w:t>Antibiogram</w:t>
            </w:r>
            <w:proofErr w:type="spellEnd"/>
            <w:r>
              <w:t xml:space="preserve"> Research Information </w:t>
            </w:r>
            <w:r w:rsidRPr="00291E12">
              <w:t xml:space="preserve">through a </w:t>
            </w:r>
            <w:r w:rsidRPr="008E453A">
              <w:t xml:space="preserve">VPN tunnel into the </w:t>
            </w:r>
            <w:r>
              <w:t>DDE</w:t>
            </w:r>
            <w:r w:rsidRPr="008E453A">
              <w:t xml:space="preserve"> in the Island Health firewall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16</w:t>
            </w:r>
          </w:p>
        </w:tc>
        <w:tc>
          <w:tcPr>
            <w:tcW w:w="7783" w:type="dxa"/>
          </w:tcPr>
          <w:p w:rsidR="00372A7F" w:rsidRDefault="00372A7F" w:rsidP="006E7446">
            <w:r>
              <w:t xml:space="preserve">Island Health Data Warehouse Staff add Researchers to the authorization groups associated with contents and locations of the Smart </w:t>
            </w:r>
            <w:proofErr w:type="spellStart"/>
            <w:r>
              <w:t>Antibiogram</w:t>
            </w:r>
            <w:proofErr w:type="spellEnd"/>
            <w:r>
              <w:t xml:space="preserve"> data)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</w:tbl>
    <w:p w:rsidR="00372A7F" w:rsidRDefault="00372A7F" w:rsidP="00372A7F"/>
    <w:p w:rsidR="00372A7F" w:rsidRPr="000578FA" w:rsidRDefault="00372A7F" w:rsidP="00372A7F">
      <w:r>
        <w:br w:type="page"/>
      </w:r>
      <w:r w:rsidRPr="00F100BF">
        <w:rPr>
          <w:b/>
        </w:rPr>
        <w:t xml:space="preserve">Table </w:t>
      </w:r>
      <w:r>
        <w:rPr>
          <w:b/>
        </w:rPr>
        <w:t>2</w:t>
      </w:r>
      <w:r w:rsidRPr="00F100BF">
        <w:rPr>
          <w:b/>
        </w:rPr>
        <w:t xml:space="preserve">. </w:t>
      </w:r>
      <w:r w:rsidRPr="000578FA">
        <w:t>Linking Island Health Data with Externally-Supplied Pharmacy and Lab Data inside the Island Health Data Disclosure Environment</w:t>
      </w:r>
    </w:p>
    <w:tbl>
      <w:tblPr>
        <w:tblStyle w:val="TableGrid"/>
        <w:tblW w:w="12879" w:type="dxa"/>
        <w:tblLook w:val="04A0" w:firstRow="1" w:lastRow="0" w:firstColumn="1" w:lastColumn="0" w:noHBand="0" w:noVBand="1"/>
      </w:tblPr>
      <w:tblGrid>
        <w:gridCol w:w="626"/>
        <w:gridCol w:w="6479"/>
        <w:gridCol w:w="825"/>
        <w:gridCol w:w="825"/>
        <w:gridCol w:w="825"/>
        <w:gridCol w:w="824"/>
        <w:gridCol w:w="825"/>
        <w:gridCol w:w="825"/>
        <w:gridCol w:w="825"/>
      </w:tblGrid>
      <w:tr w:rsidR="00372A7F" w:rsidTr="006E7446">
        <w:tc>
          <w:tcPr>
            <w:tcW w:w="626" w:type="dxa"/>
            <w:vMerge w:val="restart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rPr>
                <w:b/>
              </w:rPr>
            </w:pPr>
            <w:r w:rsidRPr="006A76CD">
              <w:rPr>
                <w:b/>
              </w:rPr>
              <w:t>Step</w:t>
            </w:r>
          </w:p>
        </w:tc>
        <w:tc>
          <w:tcPr>
            <w:tcW w:w="6479" w:type="dxa"/>
            <w:vMerge w:val="restart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rPr>
                <w:b/>
              </w:rPr>
            </w:pPr>
            <w:r w:rsidRPr="006A76CD">
              <w:rPr>
                <w:b/>
              </w:rPr>
              <w:t>Activity</w:t>
            </w:r>
          </w:p>
        </w:tc>
        <w:tc>
          <w:tcPr>
            <w:tcW w:w="825" w:type="dxa"/>
            <w:shd w:val="clear" w:color="auto" w:fill="DEEAF6" w:themeFill="accent1" w:themeFillTint="33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</w:p>
        </w:tc>
        <w:tc>
          <w:tcPr>
            <w:tcW w:w="4949" w:type="dxa"/>
            <w:gridSpan w:val="6"/>
            <w:shd w:val="clear" w:color="auto" w:fill="DEEAF6" w:themeFill="accent1" w:themeFillTint="33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 w:rsidRPr="006A76CD">
              <w:rPr>
                <w:b/>
              </w:rPr>
              <w:t>Parties Involved</w:t>
            </w:r>
          </w:p>
        </w:tc>
      </w:tr>
      <w:tr w:rsidR="00372A7F" w:rsidTr="006E7446">
        <w:tc>
          <w:tcPr>
            <w:tcW w:w="626" w:type="dxa"/>
            <w:vMerge/>
            <w:shd w:val="clear" w:color="auto" w:fill="DEEAF6" w:themeFill="accent1" w:themeFillTint="33"/>
          </w:tcPr>
          <w:p w:rsidR="00372A7F" w:rsidRPr="006A76CD" w:rsidRDefault="00372A7F" w:rsidP="006E7446">
            <w:pPr>
              <w:rPr>
                <w:b/>
              </w:rPr>
            </w:pPr>
          </w:p>
        </w:tc>
        <w:tc>
          <w:tcPr>
            <w:tcW w:w="6479" w:type="dxa"/>
            <w:vMerge/>
            <w:shd w:val="clear" w:color="auto" w:fill="DEEAF6" w:themeFill="accent1" w:themeFillTint="33"/>
          </w:tcPr>
          <w:p w:rsidR="00372A7F" w:rsidRPr="006A76CD" w:rsidRDefault="00372A7F" w:rsidP="006E7446">
            <w:pPr>
              <w:rPr>
                <w:b/>
              </w:rPr>
            </w:pP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 w:rsidRPr="006A76CD">
              <w:rPr>
                <w:b/>
              </w:rPr>
              <w:t>IH DW Staff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 w:rsidRPr="006A76CD">
              <w:rPr>
                <w:b/>
              </w:rPr>
              <w:t>IH Dir ACR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>
              <w:rPr>
                <w:b/>
              </w:rPr>
              <w:t>IH</w:t>
            </w:r>
            <w:r w:rsidRPr="006A76CD">
              <w:rPr>
                <w:b/>
              </w:rPr>
              <w:t xml:space="preserve"> Res</w:t>
            </w:r>
          </w:p>
        </w:tc>
        <w:tc>
          <w:tcPr>
            <w:tcW w:w="824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MoH</w:t>
            </w:r>
            <w:proofErr w:type="spellEnd"/>
          </w:p>
        </w:tc>
        <w:tc>
          <w:tcPr>
            <w:tcW w:w="825" w:type="dxa"/>
            <w:shd w:val="clear" w:color="auto" w:fill="DEEAF6" w:themeFill="accent1" w:themeFillTint="33"/>
          </w:tcPr>
          <w:p w:rsidR="00372A7F" w:rsidRDefault="00372A7F" w:rsidP="006E744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Com’ty</w:t>
            </w:r>
            <w:proofErr w:type="spellEnd"/>
          </w:p>
          <w:p w:rsidR="00372A7F" w:rsidRPr="006A76CD" w:rsidRDefault="00372A7F" w:rsidP="006E7446">
            <w:pPr>
              <w:jc w:val="center"/>
              <w:rPr>
                <w:b/>
              </w:rPr>
            </w:pPr>
            <w:r>
              <w:rPr>
                <w:b/>
              </w:rPr>
              <w:t>Labs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jc w:val="center"/>
              <w:rPr>
                <w:b/>
              </w:rPr>
            </w:pPr>
            <w:r w:rsidRPr="006A76CD">
              <w:rPr>
                <w:b/>
              </w:rPr>
              <w:t>Cerner Res</w:t>
            </w:r>
          </w:p>
        </w:tc>
        <w:tc>
          <w:tcPr>
            <w:tcW w:w="825" w:type="dxa"/>
            <w:shd w:val="clear" w:color="auto" w:fill="DEEAF6" w:themeFill="accent1" w:themeFillTint="33"/>
            <w:vAlign w:val="bottom"/>
          </w:tcPr>
          <w:p w:rsidR="00372A7F" w:rsidRPr="006A76CD" w:rsidRDefault="00372A7F" w:rsidP="006E7446">
            <w:pPr>
              <w:tabs>
                <w:tab w:val="left" w:pos="321"/>
              </w:tabs>
              <w:jc w:val="center"/>
              <w:rPr>
                <w:b/>
              </w:rPr>
            </w:pPr>
            <w:proofErr w:type="spellStart"/>
            <w:r w:rsidRPr="006A76CD">
              <w:rPr>
                <w:b/>
              </w:rPr>
              <w:t>O’sight</w:t>
            </w:r>
            <w:proofErr w:type="spellEnd"/>
            <w:r w:rsidRPr="006A76CD">
              <w:rPr>
                <w:b/>
              </w:rPr>
              <w:t xml:space="preserve"> Group</w:t>
            </w: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creates the REB-approved study population and a list of anonymized Study </w:t>
            </w:r>
            <w:proofErr w:type="gramStart"/>
            <w:r>
              <w:t>ID’s</w:t>
            </w:r>
            <w:proofErr w:type="gramEnd"/>
            <w:r>
              <w:t xml:space="preserve"> associated with that population.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creates temporary anonymized Study ID’s that map onto the Island Health Study </w:t>
            </w:r>
            <w:proofErr w:type="gramStart"/>
            <w:r>
              <w:t>ID’s</w:t>
            </w:r>
            <w:proofErr w:type="gramEnd"/>
            <w:r>
              <w:t xml:space="preserve"> used inside the Smart </w:t>
            </w:r>
            <w:proofErr w:type="spellStart"/>
            <w:r>
              <w:t>Antibiogram</w:t>
            </w:r>
            <w:proofErr w:type="spellEnd"/>
            <w:r>
              <w:t xml:space="preserve"> data holding.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72A7F" w:rsidRDefault="00372A7F" w:rsidP="006E7446">
            <w:r>
              <w:t>Island Health maps temporary Study ID’s onto PHN’s.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provides </w:t>
            </w:r>
            <w:proofErr w:type="spellStart"/>
            <w:r>
              <w:t>MoH</w:t>
            </w:r>
            <w:proofErr w:type="spellEnd"/>
            <w:r>
              <w:t xml:space="preserve"> or holder of Community Lab data with a linkage file consisting of a list of temporary Study ID’s and PHNs. 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5</w:t>
            </w:r>
          </w:p>
        </w:tc>
        <w:tc>
          <w:tcPr>
            <w:tcW w:w="6479" w:type="dxa"/>
          </w:tcPr>
          <w:p w:rsidR="00372A7F" w:rsidRDefault="00372A7F" w:rsidP="006E7446">
            <w:proofErr w:type="spellStart"/>
            <w:r>
              <w:t>MoH</w:t>
            </w:r>
            <w:proofErr w:type="spellEnd"/>
            <w:r>
              <w:t xml:space="preserve"> or holder of Community Lab data attaches Pharmacy/Lab data to </w:t>
            </w:r>
            <w:proofErr w:type="gramStart"/>
            <w:r>
              <w:t>PHN’s  and</w:t>
            </w:r>
            <w:proofErr w:type="gramEnd"/>
            <w:r>
              <w:t xml:space="preserve"> then substitutes temporary Study ID’s for PHN’s, deleting the PHN’s from the files to be returned to Island Health.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6</w:t>
            </w:r>
          </w:p>
        </w:tc>
        <w:tc>
          <w:tcPr>
            <w:tcW w:w="6479" w:type="dxa"/>
          </w:tcPr>
          <w:p w:rsidR="00372A7F" w:rsidRDefault="00372A7F" w:rsidP="006E7446">
            <w:proofErr w:type="spellStart"/>
            <w:r>
              <w:t>MoH</w:t>
            </w:r>
            <w:proofErr w:type="spellEnd"/>
            <w:r>
              <w:t xml:space="preserve"> or holder of Community Lab data sends Island Health data warehouse staff the requested, REB-approved data, with temporary Study </w:t>
            </w:r>
            <w:proofErr w:type="gramStart"/>
            <w:r>
              <w:t>ID’s</w:t>
            </w:r>
            <w:proofErr w:type="gramEnd"/>
            <w:r>
              <w:t xml:space="preserve"> associated with the Records. A Secure File Transfer protocol approved by all parties involved in the disclosure </w:t>
            </w:r>
            <w:proofErr w:type="gramStart"/>
            <w:r>
              <w:t>is employed</w:t>
            </w:r>
            <w:proofErr w:type="gramEnd"/>
            <w:r>
              <w:t>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7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attaches </w:t>
            </w:r>
            <w:proofErr w:type="spellStart"/>
            <w:r>
              <w:t>MoH</w:t>
            </w:r>
            <w:proofErr w:type="spellEnd"/>
            <w:r>
              <w:t xml:space="preserve"> or holder of Community Lab data to Smart </w:t>
            </w:r>
            <w:proofErr w:type="spellStart"/>
            <w:r>
              <w:t>Antibiogram</w:t>
            </w:r>
            <w:proofErr w:type="spellEnd"/>
            <w:r>
              <w:t xml:space="preserve"> study population using the Island Health key that links temporary Study </w:t>
            </w:r>
            <w:proofErr w:type="gramStart"/>
            <w:r>
              <w:t>ID’s</w:t>
            </w:r>
            <w:proofErr w:type="gramEnd"/>
            <w:r>
              <w:t xml:space="preserve"> to the Study ID’s employed in Smart </w:t>
            </w:r>
            <w:proofErr w:type="spellStart"/>
            <w:r>
              <w:t>Antibiogram</w:t>
            </w:r>
            <w:proofErr w:type="spellEnd"/>
            <w:r>
              <w:t xml:space="preserve"> data holding. 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8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notifies </w:t>
            </w:r>
            <w:proofErr w:type="spellStart"/>
            <w:r>
              <w:t>MoH</w:t>
            </w:r>
            <w:proofErr w:type="spellEnd"/>
            <w:r>
              <w:t xml:space="preserve"> or holder of Community Lab data that the linkage </w:t>
            </w:r>
            <w:proofErr w:type="gramStart"/>
            <w:r>
              <w:t>has been completed</w:t>
            </w:r>
            <w:proofErr w:type="gramEnd"/>
            <w:r>
              <w:t xml:space="preserve">. 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9</w:t>
            </w:r>
          </w:p>
        </w:tc>
        <w:tc>
          <w:tcPr>
            <w:tcW w:w="6479" w:type="dxa"/>
          </w:tcPr>
          <w:p w:rsidR="00372A7F" w:rsidRDefault="00372A7F" w:rsidP="006E7446">
            <w:proofErr w:type="spellStart"/>
            <w:r>
              <w:t>MoH</w:t>
            </w:r>
            <w:proofErr w:type="spellEnd"/>
            <w:r>
              <w:t xml:space="preserve"> or holder of the Community Lab data destroys the linkage key that associates temporary Study ID’s with PHN’s.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10</w:t>
            </w:r>
          </w:p>
        </w:tc>
        <w:tc>
          <w:tcPr>
            <w:tcW w:w="6479" w:type="dxa"/>
          </w:tcPr>
          <w:p w:rsidR="00372A7F" w:rsidRDefault="00372A7F" w:rsidP="006E7446">
            <w:proofErr w:type="spellStart"/>
            <w:r>
              <w:t>MoH</w:t>
            </w:r>
            <w:proofErr w:type="spellEnd"/>
            <w:r>
              <w:t xml:space="preserve"> or holder of the Community Lab data notifies Island Health that the linkage keys have been destroyed 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11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Island Health data warehouse retains a copy of the linkage key for the data retention period associated with the research. This key </w:t>
            </w:r>
            <w:proofErr w:type="gramStart"/>
            <w:r>
              <w:t>is never disclosed</w:t>
            </w:r>
            <w:proofErr w:type="gramEnd"/>
            <w:r>
              <w:t xml:space="preserve"> to Researchers. 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</w:tr>
      <w:tr w:rsidR="00372A7F" w:rsidTr="006E7446">
        <w:tc>
          <w:tcPr>
            <w:tcW w:w="626" w:type="dxa"/>
            <w:vAlign w:val="center"/>
          </w:tcPr>
          <w:p w:rsidR="00372A7F" w:rsidRDefault="00372A7F" w:rsidP="006E7446">
            <w:pPr>
              <w:jc w:val="center"/>
            </w:pPr>
            <w:r>
              <w:t>12</w:t>
            </w:r>
          </w:p>
        </w:tc>
        <w:tc>
          <w:tcPr>
            <w:tcW w:w="6479" w:type="dxa"/>
          </w:tcPr>
          <w:p w:rsidR="00372A7F" w:rsidRDefault="00372A7F" w:rsidP="006E7446">
            <w:r>
              <w:t xml:space="preserve">Review, sign-off on implementation of the protocol followed to bring </w:t>
            </w:r>
            <w:proofErr w:type="spellStart"/>
            <w:r>
              <w:t>MoH</w:t>
            </w:r>
            <w:proofErr w:type="spellEnd"/>
            <w:r>
              <w:t xml:space="preserve"> or holder of Community Lab data into the Island Health Smart </w:t>
            </w:r>
            <w:proofErr w:type="spellStart"/>
            <w:r>
              <w:t>Antibiogram</w:t>
            </w:r>
            <w:proofErr w:type="spellEnd"/>
            <w:r>
              <w:t xml:space="preserve"> data holding.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4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C/A</w:t>
            </w:r>
          </w:p>
        </w:tc>
        <w:tc>
          <w:tcPr>
            <w:tcW w:w="825" w:type="dxa"/>
            <w:vAlign w:val="center"/>
          </w:tcPr>
          <w:p w:rsidR="00372A7F" w:rsidRDefault="00372A7F" w:rsidP="006E7446">
            <w:pPr>
              <w:jc w:val="center"/>
            </w:pPr>
            <w:r>
              <w:t>Perf</w:t>
            </w:r>
          </w:p>
        </w:tc>
      </w:tr>
    </w:tbl>
    <w:p w:rsidR="00372A7F" w:rsidRDefault="00372A7F" w:rsidP="00372A7F">
      <w:pPr>
        <w:rPr>
          <w:b/>
        </w:rPr>
      </w:pPr>
    </w:p>
    <w:p w:rsidR="00372A7F" w:rsidRDefault="00372A7F" w:rsidP="00372A7F"/>
    <w:p w:rsidR="00372A7F" w:rsidRDefault="00372A7F" w:rsidP="00372A7F"/>
    <w:p w:rsidR="00372A7F" w:rsidRPr="00B26A79" w:rsidRDefault="00372A7F" w:rsidP="00B26A79"/>
    <w:sectPr w:rsidR="00372A7F" w:rsidRPr="00B26A79" w:rsidSect="00B26A7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8F7" w:rsidRDefault="006E4B1D" w:rsidP="00AC1FC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18F7" w:rsidRDefault="006E4B1D" w:rsidP="00AC1F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8F7" w:rsidRPr="000578FA" w:rsidRDefault="006E4B1D" w:rsidP="00AC1FCC">
    <w:pPr>
      <w:pStyle w:val="Footer"/>
      <w:tabs>
        <w:tab w:val="clear" w:pos="8640"/>
        <w:tab w:val="right" w:pos="9270"/>
      </w:tabs>
      <w:ind w:right="360"/>
      <w:rPr>
        <w:rFonts w:ascii="Arial" w:hAnsi="Arial"/>
        <w:i/>
        <w:color w:val="000000" w:themeColor="text1"/>
        <w:sz w:val="20"/>
      </w:rPr>
    </w:pPr>
    <w:r>
      <w:rPr>
        <w:rStyle w:val="PageNumber"/>
        <w:rFonts w:ascii="Arial" w:hAnsi="Arial"/>
        <w:sz w:val="20"/>
      </w:rPr>
      <w:t xml:space="preserve">Version Date: </w:t>
    </w:r>
    <w:r w:rsidRPr="00460A1A">
      <w:rPr>
        <w:rStyle w:val="PageNumber"/>
        <w:rFonts w:ascii="Arial" w:hAnsi="Arial"/>
        <w:i/>
        <w:color w:val="0033CC"/>
        <w:sz w:val="20"/>
      </w:rPr>
      <w:t xml:space="preserve"> </w:t>
    </w:r>
    <w:r>
      <w:rPr>
        <w:rStyle w:val="PageNumber"/>
        <w:rFonts w:ascii="Arial" w:hAnsi="Arial"/>
        <w:i/>
        <w:color w:val="000000" w:themeColor="text1"/>
        <w:sz w:val="20"/>
      </w:rPr>
      <w:t>February 8, 2017</w:t>
    </w:r>
    <w:r w:rsidRPr="00460A1A">
      <w:rPr>
        <w:rStyle w:val="PageNumber"/>
        <w:rFonts w:ascii="Arial" w:hAnsi="Arial"/>
        <w:i/>
        <w:color w:val="0033CC"/>
        <w:sz w:val="20"/>
      </w:rPr>
      <w:tab/>
    </w:r>
    <w:r>
      <w:rPr>
        <w:rStyle w:val="PageNumber"/>
        <w:rFonts w:ascii="Arial" w:hAnsi="Arial"/>
        <w:sz w:val="20"/>
      </w:rPr>
      <w:tab/>
    </w:r>
    <w:r w:rsidRPr="00460A1A">
      <w:rPr>
        <w:rStyle w:val="PageNumber"/>
        <w:rFonts w:ascii="Arial" w:hAnsi="Arial"/>
        <w:b/>
        <w:sz w:val="20"/>
      </w:rPr>
      <w:t xml:space="preserve">Page </w:t>
    </w:r>
    <w:r w:rsidRPr="00460A1A">
      <w:rPr>
        <w:rStyle w:val="PageNumber"/>
        <w:rFonts w:ascii="Arial" w:hAnsi="Arial"/>
        <w:b/>
        <w:sz w:val="20"/>
      </w:rPr>
      <w:fldChar w:fldCharType="begin"/>
    </w:r>
    <w:r w:rsidRPr="00460A1A">
      <w:rPr>
        <w:rStyle w:val="PageNumber"/>
        <w:rFonts w:ascii="Arial" w:hAnsi="Arial"/>
        <w:b/>
        <w:sz w:val="20"/>
      </w:rPr>
      <w:instrText xml:space="preserve"> PAGE </w:instrText>
    </w:r>
    <w:r w:rsidRPr="00460A1A">
      <w:rPr>
        <w:rStyle w:val="PageNumber"/>
        <w:rFonts w:ascii="Arial" w:hAnsi="Arial"/>
        <w:b/>
        <w:sz w:val="20"/>
      </w:rPr>
      <w:fldChar w:fldCharType="separate"/>
    </w:r>
    <w:r>
      <w:rPr>
        <w:rStyle w:val="PageNumber"/>
        <w:rFonts w:ascii="Arial" w:hAnsi="Arial"/>
        <w:b/>
        <w:noProof/>
        <w:sz w:val="20"/>
      </w:rPr>
      <w:t>3</w:t>
    </w:r>
    <w:r w:rsidRPr="00460A1A">
      <w:rPr>
        <w:rStyle w:val="PageNumber"/>
        <w:rFonts w:ascii="Arial" w:hAnsi="Arial"/>
        <w:b/>
        <w:sz w:val="20"/>
      </w:rPr>
      <w:fldChar w:fldCharType="end"/>
    </w:r>
    <w:r w:rsidRPr="00460A1A">
      <w:rPr>
        <w:rStyle w:val="PageNumber"/>
        <w:rFonts w:ascii="Arial" w:hAnsi="Arial"/>
        <w:b/>
        <w:sz w:val="20"/>
      </w:rPr>
      <w:t xml:space="preserve"> of </w:t>
    </w:r>
    <w:r w:rsidRPr="00460A1A">
      <w:rPr>
        <w:rStyle w:val="PageNumber"/>
        <w:rFonts w:ascii="Arial" w:hAnsi="Arial"/>
        <w:b/>
        <w:sz w:val="20"/>
      </w:rPr>
      <w:fldChar w:fldCharType="begin"/>
    </w:r>
    <w:r w:rsidRPr="00460A1A">
      <w:rPr>
        <w:rStyle w:val="PageNumber"/>
        <w:rFonts w:ascii="Arial" w:hAnsi="Arial"/>
        <w:b/>
        <w:sz w:val="20"/>
      </w:rPr>
      <w:instrText xml:space="preserve"> </w:instrText>
    </w:r>
    <w:r w:rsidRPr="00460A1A">
      <w:rPr>
        <w:rStyle w:val="PageNumber"/>
        <w:rFonts w:ascii="Arial" w:hAnsi="Arial"/>
        <w:b/>
        <w:sz w:val="20"/>
      </w:rPr>
      <w:instrText xml:space="preserve">NUMPAGES </w:instrText>
    </w:r>
    <w:r w:rsidRPr="00460A1A">
      <w:rPr>
        <w:rStyle w:val="PageNumber"/>
        <w:rFonts w:ascii="Arial" w:hAnsi="Arial"/>
        <w:b/>
        <w:sz w:val="20"/>
      </w:rPr>
      <w:fldChar w:fldCharType="separate"/>
    </w:r>
    <w:r>
      <w:rPr>
        <w:rStyle w:val="PageNumber"/>
        <w:rFonts w:ascii="Arial" w:hAnsi="Arial"/>
        <w:b/>
        <w:noProof/>
        <w:sz w:val="20"/>
      </w:rPr>
      <w:t>7</w:t>
    </w:r>
    <w:r w:rsidRPr="00460A1A">
      <w:rPr>
        <w:rStyle w:val="PageNumber"/>
        <w:rFonts w:ascii="Arial" w:hAnsi="Arial"/>
        <w:b/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67F"/>
    <w:multiLevelType w:val="multilevel"/>
    <w:tmpl w:val="1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08636E2C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76E47"/>
    <w:multiLevelType w:val="hybridMultilevel"/>
    <w:tmpl w:val="C97053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330DA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570C5"/>
    <w:multiLevelType w:val="multilevel"/>
    <w:tmpl w:val="DD0A56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956"/>
        </w:tabs>
        <w:ind w:left="695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398E382A"/>
    <w:multiLevelType w:val="hybridMultilevel"/>
    <w:tmpl w:val="98E870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35426"/>
    <w:multiLevelType w:val="hybridMultilevel"/>
    <w:tmpl w:val="E0DAC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17B36"/>
    <w:multiLevelType w:val="hybridMultilevel"/>
    <w:tmpl w:val="3148EB5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79"/>
    <w:rsid w:val="003520BB"/>
    <w:rsid w:val="00372A7F"/>
    <w:rsid w:val="006E4B1D"/>
    <w:rsid w:val="00B26A79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BFE7"/>
  <w15:chartTrackingRefBased/>
  <w15:docId w15:val="{9ACD965A-1725-4B0E-8710-53D20E95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A79"/>
    <w:pPr>
      <w:spacing w:after="0" w:line="240" w:lineRule="auto"/>
    </w:pPr>
    <w:rPr>
      <w:rFonts w:ascii="Calibri" w:eastAsia="Times New Roman" w:hAnsi="Calibri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26A79"/>
    <w:pPr>
      <w:keepNext/>
      <w:numPr>
        <w:numId w:val="1"/>
      </w:numPr>
      <w:spacing w:before="240" w:after="60"/>
      <w:outlineLvl w:val="0"/>
    </w:pPr>
    <w:rPr>
      <w:rFonts w:asciiTheme="minorHAnsi" w:hAnsiTheme="minorHAnsi"/>
      <w:b/>
      <w:kern w:val="32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26A79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asciiTheme="minorHAnsi" w:hAnsiTheme="minorHAnsi"/>
      <w:b/>
      <w:i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B26A79"/>
    <w:pPr>
      <w:keepNext/>
      <w:numPr>
        <w:ilvl w:val="2"/>
        <w:numId w:val="1"/>
      </w:numPr>
      <w:spacing w:before="240" w:after="60"/>
      <w:outlineLvl w:val="2"/>
    </w:pPr>
    <w:rPr>
      <w:rFonts w:asciiTheme="minorHAnsi" w:hAnsiTheme="minorHAnsi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26A79"/>
    <w:pPr>
      <w:keepNext/>
      <w:numPr>
        <w:ilvl w:val="3"/>
        <w:numId w:val="1"/>
      </w:numPr>
      <w:spacing w:before="240" w:after="6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B26A79"/>
    <w:pPr>
      <w:numPr>
        <w:ilvl w:val="4"/>
        <w:numId w:val="1"/>
      </w:numPr>
      <w:spacing w:before="240" w:after="60"/>
      <w:outlineLvl w:val="4"/>
    </w:pPr>
    <w:rPr>
      <w:rFonts w:ascii="Times" w:hAnsi="Times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qFormat/>
    <w:rsid w:val="00B26A79"/>
    <w:pPr>
      <w:numPr>
        <w:ilvl w:val="5"/>
        <w:numId w:val="1"/>
      </w:numPr>
      <w:spacing w:before="240" w:after="60"/>
      <w:outlineLvl w:val="5"/>
    </w:pPr>
    <w:rPr>
      <w:rFonts w:ascii="Times" w:hAnsi="Times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B26A79"/>
    <w:pPr>
      <w:numPr>
        <w:ilvl w:val="6"/>
        <w:numId w:val="1"/>
      </w:numPr>
      <w:spacing w:before="240" w:after="60"/>
      <w:outlineLvl w:val="6"/>
    </w:pPr>
    <w:rPr>
      <w:rFonts w:ascii="Times" w:hAnsi="Times"/>
      <w:szCs w:val="20"/>
    </w:rPr>
  </w:style>
  <w:style w:type="paragraph" w:styleId="Heading8">
    <w:name w:val="heading 8"/>
    <w:basedOn w:val="Normal"/>
    <w:next w:val="Normal"/>
    <w:link w:val="Heading8Char"/>
    <w:qFormat/>
    <w:rsid w:val="00B26A79"/>
    <w:pPr>
      <w:numPr>
        <w:ilvl w:val="7"/>
        <w:numId w:val="1"/>
      </w:numPr>
      <w:spacing w:before="240" w:after="60"/>
      <w:outlineLvl w:val="7"/>
    </w:pPr>
    <w:rPr>
      <w:rFonts w:ascii="Times" w:hAnsi="Times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B26A79"/>
    <w:pPr>
      <w:numPr>
        <w:ilvl w:val="8"/>
        <w:numId w:val="1"/>
      </w:numPr>
      <w:spacing w:before="240" w:after="60"/>
      <w:outlineLvl w:val="8"/>
    </w:pPr>
    <w:rPr>
      <w:rFonts w:ascii="Helvetica" w:hAnsi="Helvetic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6A79"/>
    <w:rPr>
      <w:rFonts w:eastAsia="Times New Roman" w:cs="Times New Roman"/>
      <w:b/>
      <w:kern w:val="32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26A79"/>
    <w:rPr>
      <w:rFonts w:eastAsia="Times New Roman" w:cs="Times New Roman"/>
      <w:b/>
      <w:i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B26A79"/>
    <w:rPr>
      <w:rFonts w:eastAsia="Times New Roman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B26A79"/>
    <w:rPr>
      <w:rFonts w:ascii="Calibri" w:eastAsia="Times New Roman" w:hAnsi="Calibri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26A79"/>
    <w:rPr>
      <w:rFonts w:ascii="Times" w:eastAsia="Times New Roman" w:hAnsi="Times" w:cs="Times New Roman"/>
      <w:b/>
      <w:i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26A79"/>
    <w:rPr>
      <w:rFonts w:ascii="Times" w:eastAsia="Times New Roman" w:hAnsi="Times" w:cs="Times New Roman"/>
      <w:b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B26A79"/>
    <w:rPr>
      <w:rFonts w:ascii="Times" w:eastAsia="Times New Roman" w:hAnsi="Times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26A79"/>
    <w:rPr>
      <w:rFonts w:ascii="Times" w:eastAsia="Times New Roman" w:hAnsi="Times" w:cs="Times New Roman"/>
      <w:i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26A79"/>
    <w:rPr>
      <w:rFonts w:ascii="Helvetica" w:eastAsia="Times New Roman" w:hAnsi="Helvetica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26A79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6A79"/>
    <w:rPr>
      <w:rFonts w:ascii="Times" w:eastAsia="Times New Roman" w:hAnsi="Times" w:cs="Times New Roman"/>
      <w:szCs w:val="20"/>
      <w:lang w:val="en-US"/>
    </w:rPr>
  </w:style>
  <w:style w:type="character" w:styleId="PageNumber">
    <w:name w:val="page number"/>
    <w:rsid w:val="00B26A79"/>
    <w:rPr>
      <w:rFonts w:cs="Times New Roman"/>
    </w:rPr>
  </w:style>
  <w:style w:type="paragraph" w:styleId="ListParagraph">
    <w:name w:val="List Paragraph"/>
    <w:basedOn w:val="Normal"/>
    <w:uiPriority w:val="34"/>
    <w:qFormat/>
    <w:rsid w:val="00B26A79"/>
    <w:pPr>
      <w:ind w:left="720"/>
      <w:contextualSpacing/>
    </w:pPr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sfgadmin</dc:creator>
  <cp:keywords/>
  <dc:description/>
  <cp:lastModifiedBy>sfgadmin</cp:lastModifiedBy>
  <cp:revision>4</cp:revision>
  <dcterms:created xsi:type="dcterms:W3CDTF">2017-06-09T19:41:00Z</dcterms:created>
  <dcterms:modified xsi:type="dcterms:W3CDTF">2017-06-09T20:09:00Z</dcterms:modified>
</cp:coreProperties>
</file>