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AC79D" w14:textId="77777777" w:rsidR="00B26A79" w:rsidRPr="0034286D" w:rsidRDefault="00B26A79" w:rsidP="00B26A79">
      <w:pPr>
        <w:jc w:val="both"/>
        <w:rPr>
          <w:rFonts w:asciiTheme="minorHAnsi" w:hAnsiTheme="minorHAnsi" w:cs="Arial"/>
          <w:b/>
          <w:i/>
          <w:color w:val="0033CC"/>
        </w:rPr>
      </w:pPr>
      <w:bookmarkStart w:id="0" w:name="Text1"/>
    </w:p>
    <w:p w14:paraId="18F8A07D" w14:textId="77777777" w:rsidR="00B26A79" w:rsidRPr="0034286D" w:rsidRDefault="00B26A79" w:rsidP="00B26A79">
      <w:pPr>
        <w:jc w:val="both"/>
        <w:rPr>
          <w:rFonts w:asciiTheme="minorHAnsi" w:hAnsiTheme="minorHAnsi" w:cs="Arial"/>
          <w:b/>
          <w:i/>
          <w:color w:val="0033CC"/>
        </w:rPr>
      </w:pPr>
    </w:p>
    <w:p w14:paraId="153195B5" w14:textId="77777777" w:rsidR="00B26A79" w:rsidRPr="0034286D" w:rsidRDefault="00B26A79" w:rsidP="00B26A79">
      <w:pPr>
        <w:rPr>
          <w:rFonts w:asciiTheme="minorHAnsi" w:hAnsiTheme="minorHAnsi" w:cs="Arial"/>
          <w:b/>
        </w:rPr>
      </w:pPr>
    </w:p>
    <w:bookmarkEnd w:id="0"/>
    <w:p w14:paraId="2A49005F" w14:textId="77777777" w:rsidR="00B26A79" w:rsidRPr="0034286D" w:rsidRDefault="00B26A79" w:rsidP="00B26A79">
      <w:pPr>
        <w:jc w:val="center"/>
        <w:rPr>
          <w:rFonts w:asciiTheme="minorHAnsi" w:hAnsiTheme="minorHAnsi"/>
          <w:b/>
          <w:i/>
          <w:color w:val="0000FF"/>
        </w:rPr>
      </w:pPr>
    </w:p>
    <w:p w14:paraId="4D9FF827" w14:textId="1C3A767C" w:rsidR="00B26A79" w:rsidRPr="00856271" w:rsidRDefault="00726CEE" w:rsidP="00B26A79">
      <w:pPr>
        <w:jc w:val="center"/>
        <w:rPr>
          <w:rFonts w:asciiTheme="minorHAnsi" w:hAnsiTheme="minorHAnsi"/>
          <w:b/>
          <w:i/>
          <w:sz w:val="28"/>
        </w:rPr>
      </w:pPr>
      <w:r>
        <w:rPr>
          <w:rFonts w:asciiTheme="minorHAnsi" w:hAnsiTheme="minorHAnsi"/>
          <w:b/>
          <w:i/>
        </w:rPr>
        <w:t>Comorbidities and Risk Factors of Dementia</w:t>
      </w:r>
    </w:p>
    <w:p w14:paraId="0CFFE07D" w14:textId="77777777" w:rsidR="00B26A79" w:rsidRDefault="00B26A79" w:rsidP="00B26A79">
      <w:pPr>
        <w:jc w:val="center"/>
        <w:rPr>
          <w:rFonts w:asciiTheme="minorHAnsi" w:hAnsiTheme="minorHAnsi"/>
          <w:b/>
          <w:i/>
        </w:rPr>
      </w:pPr>
    </w:p>
    <w:p w14:paraId="4F53D99A" w14:textId="77777777" w:rsidR="00B26A79" w:rsidRDefault="00B26A79" w:rsidP="00B26A79">
      <w:pPr>
        <w:jc w:val="center"/>
        <w:rPr>
          <w:rFonts w:asciiTheme="minorHAnsi" w:hAnsiTheme="minorHAnsi"/>
          <w:b/>
          <w:i/>
          <w:color w:val="0000FF"/>
        </w:rPr>
      </w:pPr>
    </w:p>
    <w:p w14:paraId="5ECFB9A4" w14:textId="77777777" w:rsidR="00B26A79" w:rsidRPr="0034286D" w:rsidRDefault="00B26A79" w:rsidP="00B26A79">
      <w:pPr>
        <w:jc w:val="center"/>
        <w:rPr>
          <w:rFonts w:asciiTheme="minorHAnsi" w:hAnsiTheme="minorHAnsi"/>
          <w:i/>
          <w:color w:val="0000FF"/>
        </w:rPr>
      </w:pPr>
      <w:r w:rsidRPr="004E074C">
        <w:rPr>
          <w:rFonts w:asciiTheme="minorHAnsi" w:hAnsiTheme="minorHAnsi"/>
          <w:b/>
          <w:i/>
          <w:color w:val="0000FF"/>
        </w:rPr>
        <w:t xml:space="preserve"> </w:t>
      </w:r>
    </w:p>
    <w:p w14:paraId="6211BA78" w14:textId="77777777" w:rsidR="00B26A79" w:rsidRPr="0034286D" w:rsidRDefault="00B26A79" w:rsidP="00B26A79">
      <w:pPr>
        <w:rPr>
          <w:rFonts w:asciiTheme="minorHAnsi" w:hAnsiTheme="minorHAnsi"/>
          <w:i/>
          <w:color w:val="0000FF"/>
        </w:rPr>
      </w:pPr>
    </w:p>
    <w:p w14:paraId="5D2B6B07" w14:textId="77777777" w:rsidR="00B26A79" w:rsidRPr="0034286D" w:rsidRDefault="00B26A79" w:rsidP="00B26A79">
      <w:pPr>
        <w:rPr>
          <w:rFonts w:asciiTheme="minorHAnsi" w:hAnsiTheme="minorHAnsi"/>
          <w:i/>
          <w:color w:val="0000FF"/>
        </w:rPr>
      </w:pPr>
    </w:p>
    <w:p w14:paraId="65B5D8C9" w14:textId="77777777" w:rsidR="00B26A79" w:rsidRPr="0034286D" w:rsidRDefault="00B26A79" w:rsidP="00B26A79">
      <w:pPr>
        <w:rPr>
          <w:rFonts w:asciiTheme="minorHAnsi" w:hAnsiTheme="minorHAnsi"/>
          <w:i/>
          <w:color w:val="0000FF"/>
          <w:u w:val="single"/>
        </w:rPr>
      </w:pPr>
      <w:r w:rsidRPr="0034286D">
        <w:rPr>
          <w:rFonts w:asciiTheme="minorHAnsi" w:hAnsiTheme="minorHAnsi"/>
          <w:i/>
          <w:color w:val="0000FF"/>
          <w:u w:val="single"/>
        </w:rPr>
        <w:t xml:space="preserve"> </w:t>
      </w:r>
    </w:p>
    <w:p w14:paraId="0C4A90C8" w14:textId="77777777" w:rsidR="00B26A79" w:rsidRPr="0034286D" w:rsidRDefault="00B26A79" w:rsidP="00B26A79">
      <w:pPr>
        <w:rPr>
          <w:rFonts w:asciiTheme="minorHAnsi" w:hAnsiTheme="minorHAnsi"/>
          <w:i/>
          <w:color w:val="0000FF"/>
          <w:u w:val="single"/>
        </w:rPr>
      </w:pPr>
    </w:p>
    <w:p w14:paraId="23A10281" w14:textId="77777777" w:rsidR="00B26A79" w:rsidRPr="0034286D" w:rsidRDefault="00B26A79" w:rsidP="00B26A79">
      <w:pPr>
        <w:rPr>
          <w:rFonts w:asciiTheme="minorHAnsi" w:hAnsiTheme="minorHAnsi"/>
          <w:i/>
          <w:color w:val="0000FF"/>
          <w:u w:val="single"/>
        </w:rPr>
      </w:pPr>
    </w:p>
    <w:p w14:paraId="72E9CB07" w14:textId="77777777" w:rsidR="00B26A79" w:rsidRPr="0034286D" w:rsidRDefault="00B26A79" w:rsidP="00B26A79">
      <w:pPr>
        <w:rPr>
          <w:rFonts w:asciiTheme="minorHAnsi" w:hAnsiTheme="minorHAnsi"/>
          <w:i/>
          <w:color w:val="0000FF"/>
          <w:u w:val="single"/>
        </w:rPr>
      </w:pPr>
    </w:p>
    <w:p w14:paraId="0E1EC647" w14:textId="7F273251" w:rsidR="00B26A79" w:rsidRPr="009A7C31" w:rsidRDefault="00B26A79" w:rsidP="00B26A79">
      <w:pPr>
        <w:rPr>
          <w:rFonts w:asciiTheme="minorHAnsi" w:hAnsiTheme="minorHAnsi"/>
          <w:b/>
        </w:rPr>
      </w:pPr>
      <w:r w:rsidRPr="0034286D">
        <w:rPr>
          <w:rFonts w:asciiTheme="minorHAnsi" w:hAnsiTheme="minorHAnsi"/>
          <w:b/>
        </w:rPr>
        <w:t>Project Acronym or Short Study Title:</w:t>
      </w:r>
      <w:r>
        <w:rPr>
          <w:rFonts w:asciiTheme="minorHAnsi" w:hAnsiTheme="minorHAnsi"/>
          <w:b/>
        </w:rPr>
        <w:t xml:space="preserve"> </w:t>
      </w:r>
      <w:r>
        <w:rPr>
          <w:rFonts w:asciiTheme="minorHAnsi" w:hAnsiTheme="minorHAnsi"/>
          <w:b/>
        </w:rPr>
        <w:tab/>
      </w:r>
      <w:r w:rsidRPr="006A18DF">
        <w:rPr>
          <w:rFonts w:asciiTheme="minorHAnsi" w:hAnsiTheme="minorHAnsi"/>
          <w:b/>
        </w:rPr>
        <w:t xml:space="preserve"> </w:t>
      </w:r>
      <w:r w:rsidR="00E26B4B">
        <w:rPr>
          <w:rFonts w:asciiTheme="minorHAnsi" w:hAnsiTheme="minorHAnsi"/>
          <w:b/>
        </w:rPr>
        <w:t>Comorbidities and Risk Factors of Dementia</w:t>
      </w:r>
    </w:p>
    <w:p w14:paraId="4DA959A6" w14:textId="77777777" w:rsidR="00B26A79" w:rsidRPr="0034286D" w:rsidRDefault="00B26A79" w:rsidP="00B26A79">
      <w:pPr>
        <w:rPr>
          <w:rFonts w:asciiTheme="minorHAnsi" w:hAnsiTheme="minorHAnsi"/>
          <w:i/>
          <w:color w:val="0000FF"/>
        </w:rPr>
      </w:pPr>
    </w:p>
    <w:p w14:paraId="74E1168F" w14:textId="77777777" w:rsidR="00B26A79" w:rsidRPr="0034286D" w:rsidRDefault="00B26A79" w:rsidP="00B26A79">
      <w:pPr>
        <w:rPr>
          <w:rFonts w:asciiTheme="minorHAnsi" w:hAnsiTheme="minorHAnsi"/>
          <w:i/>
          <w:color w:val="0000FF"/>
        </w:rPr>
      </w:pPr>
    </w:p>
    <w:p w14:paraId="7A2B634F" w14:textId="77777777" w:rsidR="00B26A79" w:rsidRDefault="00B26A79" w:rsidP="00B26A79">
      <w:pPr>
        <w:rPr>
          <w:rFonts w:asciiTheme="minorHAnsi" w:hAnsiTheme="minorHAnsi"/>
          <w:i/>
        </w:rPr>
      </w:pPr>
      <w:r w:rsidRPr="0034286D">
        <w:rPr>
          <w:rFonts w:asciiTheme="minorHAnsi" w:hAnsiTheme="minorHAnsi"/>
          <w:b/>
        </w:rPr>
        <w:t>Principal Investigator</w:t>
      </w:r>
      <w:r>
        <w:rPr>
          <w:rFonts w:asciiTheme="minorHAnsi" w:hAnsiTheme="minorHAnsi"/>
          <w:b/>
        </w:rPr>
        <w:tab/>
      </w:r>
      <w:r w:rsidRPr="0034286D">
        <w:rPr>
          <w:rFonts w:asciiTheme="minorHAnsi" w:hAnsiTheme="minorHAnsi"/>
          <w:b/>
        </w:rPr>
        <w:tab/>
      </w:r>
      <w:r w:rsidRPr="00953C66">
        <w:rPr>
          <w:rFonts w:asciiTheme="minorHAnsi" w:hAnsiTheme="minorHAnsi"/>
          <w:i/>
        </w:rPr>
        <w:t xml:space="preserve"> </w:t>
      </w:r>
    </w:p>
    <w:p w14:paraId="6D8DB52C" w14:textId="562BAF57" w:rsidR="00B26A79" w:rsidRDefault="00B26A79" w:rsidP="00B26A79">
      <w:pPr>
        <w:rPr>
          <w:rFonts w:asciiTheme="minorHAnsi" w:hAnsiTheme="minorHAnsi"/>
          <w:i/>
        </w:rPr>
      </w:pPr>
      <w:r w:rsidRPr="00953C66">
        <w:rPr>
          <w:rFonts w:asciiTheme="minorHAnsi" w:hAnsiTheme="minorHAnsi"/>
          <w:b/>
        </w:rPr>
        <w:t>Co-Investigators</w:t>
      </w:r>
      <w:r>
        <w:rPr>
          <w:rFonts w:asciiTheme="minorHAnsi" w:hAnsiTheme="minorHAnsi"/>
          <w:i/>
        </w:rPr>
        <w:t xml:space="preserve">: </w:t>
      </w:r>
      <w:r>
        <w:rPr>
          <w:rFonts w:asciiTheme="minorHAnsi" w:hAnsiTheme="minorHAnsi"/>
          <w:i/>
        </w:rPr>
        <w:tab/>
      </w:r>
      <w:r>
        <w:rPr>
          <w:rFonts w:asciiTheme="minorHAnsi" w:hAnsiTheme="minorHAnsi"/>
          <w:i/>
        </w:rPr>
        <w:tab/>
      </w:r>
      <w:r w:rsidR="00E26B4B">
        <w:rPr>
          <w:rFonts w:asciiTheme="minorHAnsi" w:hAnsiTheme="minorHAnsi"/>
          <w:i/>
        </w:rPr>
        <w:t>Jamie Knight,</w:t>
      </w:r>
      <w:r w:rsidR="00094E76">
        <w:rPr>
          <w:rFonts w:asciiTheme="minorHAnsi" w:hAnsiTheme="minorHAnsi"/>
          <w:i/>
        </w:rPr>
        <w:t xml:space="preserve"> MSc</w:t>
      </w:r>
      <w:r w:rsidR="00E26B4B">
        <w:rPr>
          <w:rFonts w:asciiTheme="minorHAnsi" w:hAnsiTheme="minorHAnsi"/>
          <w:i/>
        </w:rPr>
        <w:t xml:space="preserve"> </w:t>
      </w:r>
      <w:r w:rsidR="00094E76">
        <w:rPr>
          <w:rFonts w:asciiTheme="minorHAnsi" w:hAnsiTheme="minorHAnsi"/>
          <w:i/>
        </w:rPr>
        <w:t xml:space="preserve">(University of Victoria, </w:t>
      </w:r>
      <w:r w:rsidR="00E26B4B">
        <w:rPr>
          <w:rFonts w:asciiTheme="minorHAnsi" w:hAnsiTheme="minorHAnsi"/>
          <w:i/>
        </w:rPr>
        <w:t>PhD Student</w:t>
      </w:r>
      <w:r w:rsidR="00094E76">
        <w:rPr>
          <w:rFonts w:asciiTheme="minorHAnsi" w:hAnsiTheme="minorHAnsi"/>
          <w:i/>
        </w:rPr>
        <w:t>)</w:t>
      </w:r>
    </w:p>
    <w:p w14:paraId="5D29710A" w14:textId="144C7AB6" w:rsidR="000E38EF" w:rsidRPr="00953C66" w:rsidRDefault="000E38EF" w:rsidP="00B26A79">
      <w:pPr>
        <w:rPr>
          <w:rFonts w:asciiTheme="minorHAnsi" w:hAnsiTheme="minorHAnsi"/>
          <w:i/>
        </w:rPr>
      </w:pPr>
      <w:r>
        <w:rPr>
          <w:rFonts w:asciiTheme="minorHAnsi" w:hAnsiTheme="minorHAnsi"/>
          <w:i/>
        </w:rPr>
        <w:tab/>
      </w:r>
      <w:r>
        <w:rPr>
          <w:rFonts w:asciiTheme="minorHAnsi" w:hAnsiTheme="minorHAnsi"/>
          <w:i/>
        </w:rPr>
        <w:tab/>
      </w:r>
      <w:r>
        <w:rPr>
          <w:rFonts w:asciiTheme="minorHAnsi" w:hAnsiTheme="minorHAnsi"/>
          <w:i/>
        </w:rPr>
        <w:tab/>
      </w:r>
      <w:r>
        <w:rPr>
          <w:rFonts w:asciiTheme="minorHAnsi" w:hAnsiTheme="minorHAnsi"/>
          <w:i/>
        </w:rPr>
        <w:tab/>
        <w:t xml:space="preserve">Andrea </w:t>
      </w:r>
      <w:proofErr w:type="spellStart"/>
      <w:r>
        <w:rPr>
          <w:rFonts w:asciiTheme="minorHAnsi" w:hAnsiTheme="minorHAnsi"/>
          <w:i/>
        </w:rPr>
        <w:t>Piccinin</w:t>
      </w:r>
      <w:proofErr w:type="spellEnd"/>
      <w:r>
        <w:rPr>
          <w:rFonts w:asciiTheme="minorHAnsi" w:hAnsiTheme="minorHAnsi"/>
          <w:i/>
        </w:rPr>
        <w:t xml:space="preserve">, PhD </w:t>
      </w:r>
      <w:r w:rsidR="00B2052C">
        <w:rPr>
          <w:rFonts w:asciiTheme="minorHAnsi" w:hAnsiTheme="minorHAnsi"/>
          <w:i/>
        </w:rPr>
        <w:t xml:space="preserve">University of Victoria, </w:t>
      </w:r>
      <w:r>
        <w:rPr>
          <w:rFonts w:asciiTheme="minorHAnsi" w:hAnsiTheme="minorHAnsi"/>
          <w:i/>
        </w:rPr>
        <w:t>Supervisor)</w:t>
      </w:r>
    </w:p>
    <w:p w14:paraId="706C5357" w14:textId="77777777" w:rsidR="00B26A79" w:rsidRPr="0034286D" w:rsidRDefault="00B26A79" w:rsidP="00B26A79">
      <w:pPr>
        <w:ind w:left="2880" w:hanging="2880"/>
        <w:rPr>
          <w:rFonts w:asciiTheme="minorHAnsi" w:hAnsiTheme="minorHAnsi"/>
          <w:b/>
        </w:rPr>
      </w:pPr>
    </w:p>
    <w:p w14:paraId="719BD39A" w14:textId="77777777" w:rsidR="0037542C" w:rsidRDefault="00B26A79" w:rsidP="00B26A79">
      <w:pPr>
        <w:ind w:left="2880" w:hanging="2880"/>
        <w:rPr>
          <w:rFonts w:asciiTheme="minorHAnsi" w:hAnsiTheme="minorHAnsi"/>
          <w:i/>
        </w:rPr>
      </w:pPr>
      <w:r w:rsidRPr="0034286D">
        <w:rPr>
          <w:rFonts w:asciiTheme="minorHAnsi" w:hAnsiTheme="minorHAnsi"/>
          <w:b/>
        </w:rPr>
        <w:t>Institutions:</w:t>
      </w:r>
      <w:r w:rsidRPr="0034286D">
        <w:rPr>
          <w:rFonts w:asciiTheme="minorHAnsi" w:hAnsiTheme="minorHAnsi"/>
          <w:b/>
        </w:rPr>
        <w:tab/>
      </w:r>
      <w:r w:rsidRPr="00953C66">
        <w:rPr>
          <w:rFonts w:asciiTheme="minorHAnsi" w:hAnsiTheme="minorHAnsi"/>
          <w:i/>
        </w:rPr>
        <w:t>Island Health (Vancouver Island Health Authority);</w:t>
      </w:r>
    </w:p>
    <w:p w14:paraId="1ECD3BCF" w14:textId="77777777" w:rsidR="006A20EB" w:rsidRDefault="00B26A79" w:rsidP="0037542C">
      <w:pPr>
        <w:ind w:left="2160" w:firstLine="720"/>
        <w:rPr>
          <w:rFonts w:asciiTheme="minorHAnsi" w:hAnsiTheme="minorHAnsi"/>
          <w:i/>
        </w:rPr>
      </w:pPr>
      <w:r w:rsidRPr="00953C66">
        <w:rPr>
          <w:rFonts w:asciiTheme="minorHAnsi" w:hAnsiTheme="minorHAnsi"/>
          <w:i/>
        </w:rPr>
        <w:t>Cerner Math (Cerner Corporation)</w:t>
      </w:r>
      <w:r w:rsidR="006A20EB">
        <w:rPr>
          <w:rFonts w:asciiTheme="minorHAnsi" w:hAnsiTheme="minorHAnsi"/>
          <w:i/>
        </w:rPr>
        <w:t>;</w:t>
      </w:r>
    </w:p>
    <w:p w14:paraId="06C62247" w14:textId="50E666AF" w:rsidR="00B26A79" w:rsidRPr="0034286D" w:rsidRDefault="006A20EB" w:rsidP="0037542C">
      <w:pPr>
        <w:ind w:left="2160" w:firstLine="720"/>
        <w:rPr>
          <w:rFonts w:asciiTheme="minorHAnsi" w:hAnsiTheme="minorHAnsi"/>
          <w:i/>
          <w:color w:val="0000FF"/>
        </w:rPr>
      </w:pPr>
      <w:r>
        <w:rPr>
          <w:rFonts w:asciiTheme="minorHAnsi" w:hAnsiTheme="minorHAnsi"/>
          <w:i/>
        </w:rPr>
        <w:t>University of Victoria</w:t>
      </w:r>
      <w:r w:rsidR="00B26A79" w:rsidRPr="00953C66">
        <w:rPr>
          <w:rFonts w:asciiTheme="minorHAnsi" w:hAnsiTheme="minorHAnsi"/>
          <w:i/>
        </w:rPr>
        <w:t xml:space="preserve"> </w:t>
      </w:r>
    </w:p>
    <w:p w14:paraId="7A1DA008" w14:textId="77777777" w:rsidR="00B26A79" w:rsidRPr="0034286D" w:rsidRDefault="00B26A79" w:rsidP="00B26A79">
      <w:pPr>
        <w:rPr>
          <w:rFonts w:asciiTheme="minorHAnsi" w:hAnsiTheme="minorHAnsi"/>
          <w:i/>
          <w:color w:val="0000FF"/>
        </w:rPr>
      </w:pPr>
    </w:p>
    <w:p w14:paraId="5D91537B" w14:textId="77777777" w:rsidR="00B26A79" w:rsidRPr="0034286D" w:rsidRDefault="00B26A79" w:rsidP="00B26A79">
      <w:pPr>
        <w:rPr>
          <w:rFonts w:asciiTheme="minorHAnsi" w:hAnsiTheme="minorHAnsi"/>
        </w:rPr>
      </w:pPr>
    </w:p>
    <w:p w14:paraId="2B3C8A33" w14:textId="049AEAF5" w:rsidR="00B26A79" w:rsidRPr="0034286D" w:rsidRDefault="00C64B04" w:rsidP="00B26A79">
      <w:pPr>
        <w:rPr>
          <w:rFonts w:asciiTheme="minorHAnsi" w:hAnsiTheme="minorHAnsi"/>
          <w:b/>
        </w:rPr>
      </w:pPr>
      <w:r>
        <w:rPr>
          <w:rFonts w:asciiTheme="minorHAnsi" w:hAnsiTheme="minorHAnsi"/>
          <w:b/>
        </w:rPr>
        <w:t xml:space="preserve">Protocol version number - </w:t>
      </w:r>
      <w:r w:rsidR="00B26A79" w:rsidRPr="0034286D">
        <w:rPr>
          <w:rFonts w:asciiTheme="minorHAnsi" w:hAnsiTheme="minorHAnsi"/>
          <w:b/>
        </w:rPr>
        <w:t xml:space="preserve">version date: </w:t>
      </w:r>
      <w:r w:rsidR="00B26A79">
        <w:rPr>
          <w:rFonts w:asciiTheme="minorHAnsi" w:hAnsiTheme="minorHAnsi"/>
          <w:b/>
        </w:rPr>
        <w:t xml:space="preserve"> </w:t>
      </w:r>
      <w:r w:rsidR="00DA6C33">
        <w:rPr>
          <w:rFonts w:asciiTheme="minorHAnsi" w:hAnsiTheme="minorHAnsi"/>
          <w:b/>
        </w:rPr>
        <w:t>Version 1 -</w:t>
      </w:r>
      <w:r w:rsidR="000B2339">
        <w:rPr>
          <w:rFonts w:asciiTheme="minorHAnsi" w:hAnsiTheme="minorHAnsi"/>
          <w:b/>
        </w:rPr>
        <w:t xml:space="preserve"> June 13, 2017</w:t>
      </w:r>
    </w:p>
    <w:p w14:paraId="4C8E8B50" w14:textId="77777777" w:rsidR="00B26A79" w:rsidRPr="0034286D" w:rsidRDefault="00B26A79" w:rsidP="00B26A79">
      <w:pPr>
        <w:rPr>
          <w:rFonts w:asciiTheme="minorHAnsi" w:hAnsiTheme="minorHAnsi"/>
        </w:rPr>
      </w:pPr>
    </w:p>
    <w:p w14:paraId="13834C2A" w14:textId="77777777" w:rsidR="00B26A79" w:rsidRPr="0034286D" w:rsidRDefault="00B26A79" w:rsidP="00B26A79">
      <w:pPr>
        <w:rPr>
          <w:rFonts w:asciiTheme="minorHAnsi" w:hAnsiTheme="minorHAnsi"/>
        </w:rPr>
      </w:pPr>
    </w:p>
    <w:p w14:paraId="2F0DA167" w14:textId="77777777" w:rsidR="00B26A79" w:rsidRPr="0034286D" w:rsidRDefault="00B26A79" w:rsidP="00B26A79">
      <w:pPr>
        <w:rPr>
          <w:rFonts w:asciiTheme="minorHAnsi" w:hAnsiTheme="minorHAnsi" w:cs="Arial"/>
        </w:rPr>
      </w:pPr>
    </w:p>
    <w:p w14:paraId="38F5C476" w14:textId="77777777" w:rsidR="00B26A79" w:rsidRPr="0034286D" w:rsidRDefault="00B26A79" w:rsidP="00B26A79">
      <w:pPr>
        <w:jc w:val="center"/>
        <w:rPr>
          <w:rFonts w:asciiTheme="minorHAnsi" w:hAnsiTheme="minorHAnsi" w:cs="Arial"/>
        </w:rPr>
      </w:pPr>
    </w:p>
    <w:p w14:paraId="477EA6C1" w14:textId="77777777" w:rsidR="00B26A79" w:rsidRPr="0034286D" w:rsidRDefault="00B26A79" w:rsidP="00B26A79">
      <w:pPr>
        <w:jc w:val="center"/>
        <w:rPr>
          <w:rFonts w:asciiTheme="minorHAnsi" w:hAnsiTheme="minorHAnsi" w:cs="Arial"/>
        </w:rPr>
      </w:pPr>
    </w:p>
    <w:p w14:paraId="60D00351" w14:textId="77777777" w:rsidR="00B26A79" w:rsidRDefault="00B26A79" w:rsidP="00B26A79">
      <w:pPr>
        <w:jc w:val="center"/>
        <w:rPr>
          <w:rFonts w:asciiTheme="minorHAnsi" w:hAnsiTheme="minorHAnsi" w:cs="Arial"/>
        </w:rPr>
        <w:sectPr w:rsidR="00B26A79" w:rsidSect="00693FB2">
          <w:footerReference w:type="even" r:id="rId7"/>
          <w:footerReference w:type="default" r:id="rId8"/>
          <w:pgSz w:w="12240" w:h="15840"/>
          <w:pgMar w:top="1440" w:right="1440" w:bottom="1440" w:left="1440" w:header="720" w:footer="405" w:gutter="0"/>
          <w:pgNumType w:start="1"/>
          <w:cols w:space="720"/>
          <w:titlePg/>
          <w:docGrid w:linePitch="299"/>
        </w:sectPr>
      </w:pPr>
    </w:p>
    <w:p w14:paraId="271C2606" w14:textId="77777777" w:rsidR="00B26A79" w:rsidRDefault="00B26A79" w:rsidP="00B26A79">
      <w:pPr>
        <w:pStyle w:val="Heading1"/>
      </w:pPr>
      <w:r w:rsidRPr="0034286D">
        <w:lastRenderedPageBreak/>
        <w:t>Protocol Synopsis</w:t>
      </w:r>
    </w:p>
    <w:p w14:paraId="2DB19D6A" w14:textId="45FA4EBA" w:rsidR="008333FA" w:rsidRDefault="0020203C" w:rsidP="00905B55">
      <w:r w:rsidRPr="00B34BBC">
        <w:t xml:space="preserve">This research </w:t>
      </w:r>
      <w:r>
        <w:t>project aims to address comorbidities and risk factors for dementia</w:t>
      </w:r>
      <w:r w:rsidR="00D90DE2">
        <w:t xml:space="preserve"> in the Vancouver Island Electronic Health Records</w:t>
      </w:r>
      <w:r w:rsidR="001E7F96">
        <w:t xml:space="preserve"> (EHR)</w:t>
      </w:r>
      <w:r w:rsidR="00D90DE2">
        <w:t xml:space="preserve"> </w:t>
      </w:r>
      <w:r w:rsidR="00B01E44">
        <w:t xml:space="preserve">and </w:t>
      </w:r>
      <w:r w:rsidR="00D90DE2">
        <w:t>to shed light on whether there are common patterns that may be used to highlight individuals who are at greater risk of dementia</w:t>
      </w:r>
      <w:r w:rsidRPr="00B34BBC">
        <w:t xml:space="preserve">. </w:t>
      </w:r>
    </w:p>
    <w:p w14:paraId="2EC667BC" w14:textId="77777777" w:rsidR="008333FA" w:rsidRDefault="008333FA" w:rsidP="00905B55"/>
    <w:p w14:paraId="1D0DD52B" w14:textId="72FB797F" w:rsidR="00F360D9" w:rsidRDefault="0020203C" w:rsidP="00905B55">
      <w:r w:rsidRPr="00B34BBC">
        <w:t xml:space="preserve">Specifically, the research seeks to summarize individual patient’s service system encounter history, highlight </w:t>
      </w:r>
      <w:r w:rsidR="001E3883">
        <w:t>patterns</w:t>
      </w:r>
      <w:r w:rsidR="00F60257">
        <w:t xml:space="preserve"> related to the</w:t>
      </w:r>
      <w:r w:rsidR="001E3883">
        <w:t xml:space="preserve"> temporal appearance of </w:t>
      </w:r>
      <w:r w:rsidR="008333FA">
        <w:t>chronic disease diagnoses</w:t>
      </w:r>
      <w:r w:rsidRPr="00B34BBC">
        <w:t xml:space="preserve">, and summarize (at a </w:t>
      </w:r>
      <w:r w:rsidR="001E3883">
        <w:t>cohort level) the risks of dementia</w:t>
      </w:r>
      <w:r w:rsidRPr="00B34BBC">
        <w:t xml:space="preserve"> related to </w:t>
      </w:r>
      <w:r w:rsidR="00F360D9">
        <w:t>diseases</w:t>
      </w:r>
      <w:r w:rsidR="00F60257">
        <w:t xml:space="preserve"> and previous medica</w:t>
      </w:r>
      <w:r w:rsidR="001E7F96">
        <w:t>tions</w:t>
      </w:r>
      <w:r w:rsidRPr="00B34BBC">
        <w:t xml:space="preserve">. </w:t>
      </w:r>
    </w:p>
    <w:p w14:paraId="3A63B5F6" w14:textId="77777777" w:rsidR="00F360D9" w:rsidRDefault="00F360D9" w:rsidP="00905B55"/>
    <w:p w14:paraId="5A4DF7C6" w14:textId="3470E776" w:rsidR="0020203C" w:rsidRPr="0020203C" w:rsidRDefault="00F360D9" w:rsidP="0020203C">
      <w:r>
        <w:t>The research design entails forming a cohort of individuals who have received a dementia diagnosis, evaluating the services used prior to diagnosis and developing models to assess the most common comorbidities associated with dementia and the extent to which risk increases with other chronic conditions</w:t>
      </w:r>
      <w:r w:rsidR="001E7F96">
        <w:t xml:space="preserve"> and specific medications used</w:t>
      </w:r>
      <w:r>
        <w:t xml:space="preserve">. </w:t>
      </w:r>
    </w:p>
    <w:p w14:paraId="2EC52945" w14:textId="3DD91562" w:rsidR="001930AA" w:rsidRDefault="006E4B1D" w:rsidP="00F60257">
      <w:pPr>
        <w:pStyle w:val="Heading1"/>
      </w:pPr>
      <w:r>
        <w:t>Background &amp; Rationale</w:t>
      </w:r>
    </w:p>
    <w:p w14:paraId="2DF62E98" w14:textId="303E14FC" w:rsidR="0074092B" w:rsidRDefault="001930AA" w:rsidP="00905B55">
      <w:r>
        <w:t xml:space="preserve">Current research indicates that as the number of medications </w:t>
      </w:r>
      <w:r w:rsidR="00F420EF">
        <w:t xml:space="preserve">an individual is </w:t>
      </w:r>
      <w:r w:rsidR="0074092B">
        <w:t xml:space="preserve">prescribed </w:t>
      </w:r>
      <w:r>
        <w:t xml:space="preserve">increases so does the risk of dementia (Lai et al., 2012). </w:t>
      </w:r>
      <w:r w:rsidR="0074092B">
        <w:t>This may be due to increased risk due to multiple comorbidities (Bunn et al., 2014) or the medications themselves</w:t>
      </w:r>
      <w:r w:rsidR="001E3883">
        <w:t>. Drug induced dementia</w:t>
      </w:r>
      <w:r w:rsidR="001E7F96">
        <w:t>s</w:t>
      </w:r>
      <w:r w:rsidR="0074092B">
        <w:t xml:space="preserve"> </w:t>
      </w:r>
      <w:r w:rsidR="001E7F96">
        <w:t>are</w:t>
      </w:r>
      <w:r w:rsidR="0074092B">
        <w:t xml:space="preserve"> estimated to comprise up to 12% of all dementia cases (Moore et al., 1999).</w:t>
      </w:r>
    </w:p>
    <w:p w14:paraId="315F8D60" w14:textId="77777777" w:rsidR="008C7B41" w:rsidRDefault="008C7B41" w:rsidP="00905B55"/>
    <w:p w14:paraId="2FB05A31" w14:textId="59D23636" w:rsidR="004971E6" w:rsidRPr="009F13CC" w:rsidRDefault="001E7F96" w:rsidP="004971E6">
      <w:pPr>
        <w:rPr>
          <w:rFonts w:eastAsia="Times New Roman"/>
        </w:rPr>
      </w:pPr>
      <w:r>
        <w:t xml:space="preserve">Additionally, there are valuable questions regarding the relationship between cancer and dementia. </w:t>
      </w:r>
      <w:r w:rsidR="008C7B41">
        <w:t>S</w:t>
      </w:r>
      <w:r w:rsidR="008C7B41" w:rsidRPr="008C7B41">
        <w:t xml:space="preserve">hared genetic risk factors for the development of cancer and cognitive </w:t>
      </w:r>
      <w:r w:rsidR="00891066">
        <w:t>decline</w:t>
      </w:r>
      <w:r>
        <w:t>,</w:t>
      </w:r>
      <w:r w:rsidR="008C7B41">
        <w:t xml:space="preserve"> </w:t>
      </w:r>
      <w:r w:rsidR="008C7B41" w:rsidRPr="008C7B41">
        <w:t xml:space="preserve">coupled with the effect of chemotherapy on these systems, </w:t>
      </w:r>
      <w:r>
        <w:t>are thought to</w:t>
      </w:r>
      <w:r w:rsidR="008C7B41" w:rsidRPr="008C7B41">
        <w:t xml:space="preserve"> contribute to cognitive </w:t>
      </w:r>
      <w:r w:rsidR="000E394B">
        <w:t>impairment</w:t>
      </w:r>
      <w:r w:rsidR="008C7B41" w:rsidRPr="008C7B41">
        <w:t xml:space="preserve"> in patients after chemotherapy</w:t>
      </w:r>
      <w:r w:rsidR="008C7B41">
        <w:t xml:space="preserve"> (Ahles et al., 2007). </w:t>
      </w:r>
      <w:r w:rsidRPr="00D90DE2">
        <w:t>Common mechanism</w:t>
      </w:r>
      <w:r>
        <w:t>s such as chronic inflammation</w:t>
      </w:r>
      <w:r w:rsidRPr="00D90DE2">
        <w:t>, and common risk factors such as diabetes and obesity, have been implicated</w:t>
      </w:r>
      <w:r>
        <w:t xml:space="preserve"> in </w:t>
      </w:r>
      <w:r w:rsidR="009F13CC">
        <w:t xml:space="preserve">the link between </w:t>
      </w:r>
      <w:r>
        <w:t>cancer</w:t>
      </w:r>
      <w:r>
        <w:t xml:space="preserve"> </w:t>
      </w:r>
      <w:r w:rsidR="009F13CC">
        <w:t xml:space="preserve">and cognitive decline </w:t>
      </w:r>
      <w:r>
        <w:t>(</w:t>
      </w:r>
      <w:proofErr w:type="spellStart"/>
      <w:r w:rsidR="009F13CC">
        <w:t>Ganguli</w:t>
      </w:r>
      <w:proofErr w:type="spellEnd"/>
      <w:r w:rsidR="009F13CC">
        <w:t>, 2014</w:t>
      </w:r>
      <w:r>
        <w:t>)</w:t>
      </w:r>
      <w:r w:rsidR="009F13CC">
        <w:t xml:space="preserve"> but r</w:t>
      </w:r>
      <w:r w:rsidR="004971E6">
        <w:t xml:space="preserve">esearch </w:t>
      </w:r>
      <w:r>
        <w:t xml:space="preserve">also </w:t>
      </w:r>
      <w:r w:rsidR="004971E6">
        <w:t>show</w:t>
      </w:r>
      <w:r>
        <w:t>s</w:t>
      </w:r>
      <w:r w:rsidR="004971E6">
        <w:t xml:space="preserve"> </w:t>
      </w:r>
      <w:r w:rsidR="004971E6" w:rsidRPr="004971E6">
        <w:t xml:space="preserve">lower rates of </w:t>
      </w:r>
      <w:r w:rsidR="009F13CC">
        <w:t xml:space="preserve">certain types of </w:t>
      </w:r>
      <w:r w:rsidR="004971E6" w:rsidRPr="004971E6">
        <w:t>cancer in patients diagnosed with dementia</w:t>
      </w:r>
      <w:r>
        <w:t xml:space="preserve"> and vice versa (</w:t>
      </w:r>
      <w:proofErr w:type="spellStart"/>
      <w:r w:rsidR="009F13CC">
        <w:t>Ganguli</w:t>
      </w:r>
      <w:proofErr w:type="spellEnd"/>
      <w:r w:rsidR="009F13CC">
        <w:t xml:space="preserve">, 2014; </w:t>
      </w:r>
      <w:r w:rsidR="009F13CC">
        <w:rPr>
          <w:rFonts w:eastAsia="Times New Roman"/>
          <w:color w:val="000000"/>
          <w:shd w:val="clear" w:color="auto" w:fill="FFFFFF"/>
        </w:rPr>
        <w:t>t</w:t>
      </w:r>
      <w:r w:rsidR="009F13CC">
        <w:rPr>
          <w:rFonts w:eastAsia="Times New Roman"/>
          <w:color w:val="000000"/>
          <w:shd w:val="clear" w:color="auto" w:fill="FFFFFF"/>
        </w:rPr>
        <w:t>hese relationships persist despite correcting for reporting artifacts and survival bias</w:t>
      </w:r>
      <w:r>
        <w:t xml:space="preserve">). </w:t>
      </w:r>
    </w:p>
    <w:p w14:paraId="37227A13" w14:textId="40B1F648" w:rsidR="004971E6" w:rsidRDefault="004971E6" w:rsidP="00905B55"/>
    <w:p w14:paraId="5CCD1169" w14:textId="6473144C" w:rsidR="001930AA" w:rsidRPr="000601B7" w:rsidRDefault="001E7F96" w:rsidP="00DF2BD9">
      <w:r>
        <w:t xml:space="preserve">The </w:t>
      </w:r>
      <w:r w:rsidR="008C7B41">
        <w:t>relationship between cancer and dementia is complicated (</w:t>
      </w:r>
      <w:proofErr w:type="spellStart"/>
      <w:r w:rsidR="008C7B41" w:rsidRPr="008C7B41">
        <w:t>Ganguli</w:t>
      </w:r>
      <w:proofErr w:type="spellEnd"/>
      <w:r w:rsidR="008C7B41">
        <w:t>, 2015)</w:t>
      </w:r>
      <w:r>
        <w:t xml:space="preserve"> and although </w:t>
      </w:r>
      <w:r>
        <w:rPr>
          <w:rFonts w:eastAsia="Times New Roman"/>
          <w:color w:val="000000"/>
          <w:shd w:val="clear" w:color="auto" w:fill="FFFFFF"/>
        </w:rPr>
        <w:t>t</w:t>
      </w:r>
      <w:r w:rsidR="00CD4A31">
        <w:rPr>
          <w:rFonts w:eastAsia="Times New Roman"/>
          <w:color w:val="000000"/>
          <w:shd w:val="clear" w:color="auto" w:fill="FFFFFF"/>
        </w:rPr>
        <w:t xml:space="preserve">here is </w:t>
      </w:r>
      <w:r>
        <w:rPr>
          <w:rFonts w:eastAsia="Times New Roman"/>
          <w:color w:val="000000"/>
          <w:shd w:val="clear" w:color="auto" w:fill="FFFFFF"/>
        </w:rPr>
        <w:t xml:space="preserve">substantial </w:t>
      </w:r>
      <w:r w:rsidR="00023D3A">
        <w:rPr>
          <w:rFonts w:eastAsia="Times New Roman"/>
          <w:color w:val="000000"/>
          <w:shd w:val="clear" w:color="auto" w:fill="FFFFFF"/>
        </w:rPr>
        <w:t xml:space="preserve">evidence surrounding the neurotoxic effect of </w:t>
      </w:r>
      <w:r w:rsidR="00023D3A">
        <w:rPr>
          <w:rFonts w:eastAsia="Times New Roman"/>
          <w:color w:val="000000"/>
          <w:shd w:val="clear" w:color="auto" w:fill="FFFFFF"/>
        </w:rPr>
        <w:t xml:space="preserve">certain chemotherapy </w:t>
      </w:r>
      <w:r w:rsidR="00023D3A">
        <w:rPr>
          <w:rFonts w:eastAsia="Times New Roman"/>
          <w:color w:val="000000"/>
          <w:shd w:val="clear" w:color="auto" w:fill="FFFFFF"/>
        </w:rPr>
        <w:t>agents</w:t>
      </w:r>
      <w:r w:rsidR="00930DC7">
        <w:rPr>
          <w:rFonts w:eastAsia="Times New Roman"/>
          <w:color w:val="000000"/>
          <w:shd w:val="clear" w:color="auto" w:fill="FFFFFF"/>
        </w:rPr>
        <w:t xml:space="preserve"> (</w:t>
      </w:r>
      <w:proofErr w:type="spellStart"/>
      <w:r w:rsidR="00930DC7" w:rsidRPr="008C7B41">
        <w:t>Ganguli</w:t>
      </w:r>
      <w:proofErr w:type="spellEnd"/>
      <w:r w:rsidR="00930DC7">
        <w:t>, 2015</w:t>
      </w:r>
      <w:r w:rsidR="00930DC7">
        <w:t xml:space="preserve">; </w:t>
      </w:r>
      <w:r w:rsidR="00930DC7" w:rsidRPr="00DF2BD9">
        <w:t>Heflin et al., 2005</w:t>
      </w:r>
      <w:r w:rsidR="00930DC7">
        <w:rPr>
          <w:rFonts w:eastAsia="Times New Roman"/>
          <w:color w:val="000000"/>
          <w:shd w:val="clear" w:color="auto" w:fill="FFFFFF"/>
        </w:rPr>
        <w:t>)</w:t>
      </w:r>
      <w:r w:rsidR="00023D3A">
        <w:rPr>
          <w:rFonts w:eastAsia="Times New Roman"/>
          <w:color w:val="000000"/>
          <w:shd w:val="clear" w:color="auto" w:fill="FFFFFF"/>
        </w:rPr>
        <w:t xml:space="preserve">, </w:t>
      </w:r>
      <w:r w:rsidR="00023D3A">
        <w:rPr>
          <w:rFonts w:eastAsia="Times New Roman"/>
          <w:color w:val="000000"/>
          <w:shd w:val="clear" w:color="auto" w:fill="FFFFFF"/>
        </w:rPr>
        <w:t xml:space="preserve">animal studies </w:t>
      </w:r>
      <w:r w:rsidR="000E394B">
        <w:rPr>
          <w:rFonts w:eastAsia="Times New Roman"/>
          <w:color w:val="000000"/>
          <w:shd w:val="clear" w:color="auto" w:fill="FFFFFF"/>
        </w:rPr>
        <w:t>show other cancer drugs reduce</w:t>
      </w:r>
      <w:r w:rsidR="00023D3A">
        <w:rPr>
          <w:rFonts w:eastAsia="Times New Roman"/>
          <w:color w:val="000000"/>
          <w:shd w:val="clear" w:color="auto" w:fill="FFFFFF"/>
        </w:rPr>
        <w:t xml:space="preserve"> neurodegeneration</w:t>
      </w:r>
      <w:r w:rsidR="00930DC7">
        <w:rPr>
          <w:rFonts w:eastAsia="Times New Roman"/>
          <w:color w:val="000000"/>
          <w:shd w:val="clear" w:color="auto" w:fill="FFFFFF"/>
        </w:rPr>
        <w:t xml:space="preserve"> (some showing </w:t>
      </w:r>
      <w:r w:rsidR="00023D3A">
        <w:rPr>
          <w:rFonts w:eastAsia="Times New Roman"/>
          <w:color w:val="000000"/>
          <w:shd w:val="clear" w:color="auto" w:fill="FFFFFF"/>
        </w:rPr>
        <w:t>neuroprotective effects</w:t>
      </w:r>
      <w:r w:rsidR="00930DC7">
        <w:rPr>
          <w:rFonts w:eastAsia="Times New Roman"/>
          <w:color w:val="000000"/>
          <w:shd w:val="clear" w:color="auto" w:fill="FFFFFF"/>
        </w:rPr>
        <w:t xml:space="preserve">; Cramer et al., 2012; </w:t>
      </w:r>
      <w:proofErr w:type="spellStart"/>
      <w:r w:rsidR="00930DC7">
        <w:rPr>
          <w:rFonts w:eastAsia="Times New Roman"/>
          <w:color w:val="000000"/>
          <w:shd w:val="clear" w:color="auto" w:fill="FFFFFF"/>
        </w:rPr>
        <w:t>Ganguli</w:t>
      </w:r>
      <w:proofErr w:type="spellEnd"/>
      <w:r w:rsidR="00930DC7">
        <w:rPr>
          <w:rFonts w:eastAsia="Times New Roman"/>
          <w:color w:val="000000"/>
          <w:shd w:val="clear" w:color="auto" w:fill="FFFFFF"/>
        </w:rPr>
        <w:t>, 2014</w:t>
      </w:r>
      <w:r w:rsidR="00023D3A">
        <w:rPr>
          <w:rFonts w:eastAsia="Times New Roman"/>
          <w:color w:val="000000"/>
          <w:shd w:val="clear" w:color="auto" w:fill="FFFFFF"/>
        </w:rPr>
        <w:t>)</w:t>
      </w:r>
      <w:r w:rsidR="00930DC7">
        <w:rPr>
          <w:rFonts w:eastAsia="Times New Roman"/>
          <w:color w:val="000000"/>
          <w:shd w:val="clear" w:color="auto" w:fill="FFFFFF"/>
        </w:rPr>
        <w:t xml:space="preserve">. For example, </w:t>
      </w:r>
      <w:r w:rsidR="00930DC7">
        <w:t>i</w:t>
      </w:r>
      <w:r w:rsidR="00930DC7">
        <w:t>n mouse models, the chemotherapy drug</w:t>
      </w:r>
      <w:r w:rsidR="00930DC7" w:rsidRPr="002B6D14">
        <w:t xml:space="preserve"> </w:t>
      </w:r>
      <w:proofErr w:type="spellStart"/>
      <w:r w:rsidR="00930DC7" w:rsidRPr="002B6D14">
        <w:t>bexarotene</w:t>
      </w:r>
      <w:proofErr w:type="spellEnd"/>
      <w:r w:rsidR="00930DC7" w:rsidRPr="002B6D14">
        <w:t xml:space="preserve"> was eff</w:t>
      </w:r>
      <w:r w:rsidR="00930DC7">
        <w:t xml:space="preserve">ective in clearing amyloid </w:t>
      </w:r>
      <w:r w:rsidR="00930DC7" w:rsidRPr="002B6D14">
        <w:t xml:space="preserve">and also in improving cognition </w:t>
      </w:r>
      <w:r w:rsidR="00930DC7">
        <w:t>(</w:t>
      </w:r>
      <w:r w:rsidR="00930DC7" w:rsidRPr="005F0EC8">
        <w:rPr>
          <w:rFonts w:eastAsia="Times New Roman"/>
        </w:rPr>
        <w:t>Cramer</w:t>
      </w:r>
      <w:r w:rsidR="00930DC7">
        <w:rPr>
          <w:rFonts w:eastAsia="Times New Roman"/>
        </w:rPr>
        <w:t xml:space="preserve"> et al., 2012</w:t>
      </w:r>
      <w:r w:rsidR="00930DC7">
        <w:t xml:space="preserve">), </w:t>
      </w:r>
      <w:r w:rsidR="00930DC7">
        <w:rPr>
          <w:rFonts w:eastAsia="Times New Roman"/>
          <w:color w:val="000000"/>
          <w:shd w:val="clear" w:color="auto" w:fill="FFFFFF"/>
        </w:rPr>
        <w:t>raising the possibility of repurposing those agents for use with dementia</w:t>
      </w:r>
      <w:r w:rsidR="00930DC7">
        <w:rPr>
          <w:rFonts w:eastAsia="Times New Roman"/>
          <w:color w:val="000000"/>
          <w:shd w:val="clear" w:color="auto" w:fill="FFFFFF"/>
        </w:rPr>
        <w:t xml:space="preserve"> patients.</w:t>
      </w:r>
    </w:p>
    <w:p w14:paraId="4FC2B25A" w14:textId="77777777" w:rsidR="00B26A79" w:rsidRDefault="00B26A79" w:rsidP="00B26A79">
      <w:pPr>
        <w:pStyle w:val="Heading1"/>
      </w:pPr>
      <w:r w:rsidRPr="00434C51">
        <w:t>Objectives</w:t>
      </w:r>
      <w:r>
        <w:t xml:space="preserve"> </w:t>
      </w:r>
    </w:p>
    <w:p w14:paraId="2F83B546" w14:textId="1D26B10E" w:rsidR="00562F88" w:rsidRDefault="00930DC7" w:rsidP="000601B7">
      <w:pPr>
        <w:pStyle w:val="ListParagraph"/>
        <w:numPr>
          <w:ilvl w:val="0"/>
          <w:numId w:val="9"/>
        </w:numPr>
      </w:pPr>
      <w:r>
        <w:t>E</w:t>
      </w:r>
      <w:r w:rsidR="00562F88">
        <w:t>val</w:t>
      </w:r>
      <w:r w:rsidR="00935B43">
        <w:t>uate and identify comorbidities and</w:t>
      </w:r>
      <w:r w:rsidR="006C57BB">
        <w:t xml:space="preserve"> </w:t>
      </w:r>
      <w:r w:rsidR="00562F88">
        <w:t>chronic diseases that may result in an increased risk of dementia</w:t>
      </w:r>
      <w:r w:rsidR="006C57BB">
        <w:t>.</w:t>
      </w:r>
    </w:p>
    <w:p w14:paraId="4CCAF15E" w14:textId="3176A8D9" w:rsidR="006C57BB" w:rsidRDefault="00930DC7" w:rsidP="000601B7">
      <w:pPr>
        <w:pStyle w:val="ListParagraph"/>
        <w:numPr>
          <w:ilvl w:val="0"/>
          <w:numId w:val="9"/>
        </w:numPr>
      </w:pPr>
      <w:r>
        <w:t>A</w:t>
      </w:r>
      <w:r w:rsidR="006C57BB">
        <w:t>ssess whether there is a common temporal appearance of diseases resulting in dementia</w:t>
      </w:r>
      <w:r>
        <w:t>.</w:t>
      </w:r>
    </w:p>
    <w:p w14:paraId="6ACDFF8A" w14:textId="265F6966" w:rsidR="00562F88" w:rsidRDefault="00930DC7" w:rsidP="000601B7">
      <w:pPr>
        <w:pStyle w:val="ListParagraph"/>
        <w:numPr>
          <w:ilvl w:val="0"/>
          <w:numId w:val="9"/>
        </w:numPr>
      </w:pPr>
      <w:r>
        <w:lastRenderedPageBreak/>
        <w:t>I</w:t>
      </w:r>
      <w:r w:rsidR="00562F88">
        <w:t>dentify rates of dementia within the subgroups of cancer, cance</w:t>
      </w:r>
      <w:r w:rsidR="00935B43">
        <w:t>r plus chemotherapy, transplant patients</w:t>
      </w:r>
      <w:r w:rsidR="00562F88">
        <w:t xml:space="preserve"> and other chronic diseases.</w:t>
      </w:r>
    </w:p>
    <w:p w14:paraId="2E5FC47F" w14:textId="05B5FB1E" w:rsidR="000601B7" w:rsidRDefault="00930DC7" w:rsidP="00935B43">
      <w:pPr>
        <w:pStyle w:val="ListParagraph"/>
        <w:numPr>
          <w:ilvl w:val="0"/>
          <w:numId w:val="9"/>
        </w:numPr>
      </w:pPr>
      <w:r>
        <w:t>Identify types of chemotherapy and whether there are subgroups within this population that are protected from</w:t>
      </w:r>
      <w:r w:rsidR="00935B43">
        <w:t>,</w:t>
      </w:r>
      <w:r>
        <w:t xml:space="preserve"> or at increased risk of</w:t>
      </w:r>
      <w:r w:rsidR="00935B43">
        <w:t>,</w:t>
      </w:r>
      <w:r>
        <w:t xml:space="preserve"> dementia.</w:t>
      </w:r>
    </w:p>
    <w:p w14:paraId="7E3087A3" w14:textId="02608F1A" w:rsidR="00B26A79" w:rsidRDefault="00B26A79" w:rsidP="00B26A79">
      <w:pPr>
        <w:pStyle w:val="Heading1"/>
      </w:pPr>
      <w:r w:rsidRPr="0034286D">
        <w:t>M</w:t>
      </w:r>
      <w:r w:rsidR="0022742D">
        <w:t>ajor Research Hypothese</w:t>
      </w:r>
      <w:r w:rsidRPr="0034286D">
        <w:t>s and Associated Research Questions</w:t>
      </w:r>
    </w:p>
    <w:p w14:paraId="63119E87" w14:textId="77777777" w:rsidR="00163217" w:rsidRDefault="00163217" w:rsidP="00163217"/>
    <w:p w14:paraId="35FB867F" w14:textId="122DCB1F" w:rsidR="00163217" w:rsidRDefault="000D5FF5" w:rsidP="00163217">
      <w:r>
        <w:t xml:space="preserve">This proposal defines a cohort for which a </w:t>
      </w:r>
      <w:r w:rsidR="00BC06CF">
        <w:t>program of research can be investigated examining several questions such as:</w:t>
      </w:r>
    </w:p>
    <w:p w14:paraId="61B6F566" w14:textId="3ED5AEF6" w:rsidR="00163217" w:rsidRDefault="00163217" w:rsidP="000D5FF5"/>
    <w:p w14:paraId="0E6E50FB" w14:textId="4ABAE31B" w:rsidR="00163217" w:rsidRDefault="00163217" w:rsidP="007C1815">
      <w:pPr>
        <w:pStyle w:val="ListParagraph"/>
        <w:numPr>
          <w:ilvl w:val="0"/>
          <w:numId w:val="12"/>
        </w:numPr>
      </w:pPr>
      <w:r>
        <w:t>What are the comorbidit</w:t>
      </w:r>
      <w:r w:rsidR="00594EF3">
        <w:t>ies associated with dementia? (Factor analysis</w:t>
      </w:r>
      <w:r w:rsidR="009C61F1">
        <w:t xml:space="preserve">; </w:t>
      </w:r>
      <w:proofErr w:type="spellStart"/>
      <w:r w:rsidR="009C61F1" w:rsidRPr="002D79F7">
        <w:t>Poblador-Plou</w:t>
      </w:r>
      <w:proofErr w:type="spellEnd"/>
      <w:r w:rsidR="009C61F1">
        <w:t xml:space="preserve"> et al., 2014</w:t>
      </w:r>
      <w:r w:rsidR="00594EF3">
        <w:t xml:space="preserve">; </w:t>
      </w:r>
      <w:r w:rsidR="00173BCC">
        <w:t xml:space="preserve">Bunn et al., </w:t>
      </w:r>
      <w:r w:rsidR="009C61F1">
        <w:t>2014</w:t>
      </w:r>
      <w:r>
        <w:t>)</w:t>
      </w:r>
    </w:p>
    <w:p w14:paraId="0A4505B8" w14:textId="5606A43A" w:rsidR="00163217" w:rsidRDefault="00163217" w:rsidP="007C1815">
      <w:pPr>
        <w:pStyle w:val="ListParagraph"/>
        <w:numPr>
          <w:ilvl w:val="0"/>
          <w:numId w:val="12"/>
        </w:numPr>
      </w:pPr>
      <w:r>
        <w:t>After accounting for number of chronic conditions, do the number of medications affect the risk of dementia</w:t>
      </w:r>
      <w:r w:rsidRPr="00C53EEF">
        <w:t>?</w:t>
      </w:r>
      <w:r w:rsidR="00433264" w:rsidRPr="00C53EEF">
        <w:t xml:space="preserve"> (Lai et al., 2012)</w:t>
      </w:r>
    </w:p>
    <w:p w14:paraId="26FB5A2F" w14:textId="33F33402" w:rsidR="0020203C" w:rsidRPr="007C1815" w:rsidRDefault="0020203C" w:rsidP="00B0022F">
      <w:pPr>
        <w:pStyle w:val="ListParagraph"/>
        <w:numPr>
          <w:ilvl w:val="0"/>
          <w:numId w:val="12"/>
        </w:numPr>
      </w:pPr>
      <w:r w:rsidRPr="007C1815">
        <w:t>What are the rates of dementia and rates of dementia after cancer?</w:t>
      </w:r>
      <w:r w:rsidR="00C53EEF">
        <w:t xml:space="preserve"> (consider age at death)</w:t>
      </w:r>
    </w:p>
    <w:p w14:paraId="13BF8DA0" w14:textId="4D5E8627" w:rsidR="0020203C" w:rsidRDefault="0020203C" w:rsidP="00B0022F">
      <w:pPr>
        <w:pStyle w:val="ListParagraph"/>
        <w:numPr>
          <w:ilvl w:val="0"/>
          <w:numId w:val="12"/>
        </w:numPr>
      </w:pPr>
      <w:r w:rsidRPr="007C1815">
        <w:t xml:space="preserve">What are the rates of dementia after cancer vs rates of dementia after </w:t>
      </w:r>
      <w:r w:rsidR="0022742D">
        <w:t xml:space="preserve">cancer and </w:t>
      </w:r>
      <w:r w:rsidRPr="007C1815">
        <w:t>chemotherapy?</w:t>
      </w:r>
    </w:p>
    <w:p w14:paraId="3E4D585E" w14:textId="20CEDCF2" w:rsidR="0022742D" w:rsidRPr="007C1815" w:rsidRDefault="0022742D" w:rsidP="00B0022F">
      <w:pPr>
        <w:pStyle w:val="ListParagraph"/>
        <w:numPr>
          <w:ilvl w:val="0"/>
          <w:numId w:val="12"/>
        </w:numPr>
      </w:pPr>
      <w:r>
        <w:t>Are there different health outcomes associated with type of chemotherapy drug?</w:t>
      </w:r>
    </w:p>
    <w:p w14:paraId="0A278229" w14:textId="77777777" w:rsidR="0020203C" w:rsidRPr="007C1815" w:rsidRDefault="0020203C" w:rsidP="00B0022F">
      <w:pPr>
        <w:pStyle w:val="ListParagraph"/>
        <w:numPr>
          <w:ilvl w:val="0"/>
          <w:numId w:val="12"/>
        </w:numPr>
      </w:pPr>
      <w:r w:rsidRPr="007C1815">
        <w:t>Does the number of medications being taken affect risk of dementia? </w:t>
      </w:r>
    </w:p>
    <w:p w14:paraId="28B92507" w14:textId="23012C83" w:rsidR="0020203C" w:rsidRPr="007C1815" w:rsidRDefault="00B0022F" w:rsidP="00B0022F">
      <w:pPr>
        <w:pStyle w:val="ListParagraph"/>
        <w:numPr>
          <w:ilvl w:val="0"/>
          <w:numId w:val="12"/>
        </w:numPr>
      </w:pPr>
      <w:r>
        <w:t>What are the rates of drug</w:t>
      </w:r>
      <w:r w:rsidR="0020203C" w:rsidRPr="007C1815">
        <w:t xml:space="preserve"> induced dementia</w:t>
      </w:r>
      <w:r>
        <w:t>?</w:t>
      </w:r>
      <w:r w:rsidR="0020203C" w:rsidRPr="007C1815">
        <w:t xml:space="preserve"> (</w:t>
      </w:r>
      <w:r>
        <w:t xml:space="preserve">and </w:t>
      </w:r>
      <w:r w:rsidR="0020203C" w:rsidRPr="007C1815">
        <w:t>which drugs?)</w:t>
      </w:r>
    </w:p>
    <w:p w14:paraId="44121B3D" w14:textId="2B4E7ED6" w:rsidR="0020203C" w:rsidRPr="007C1815" w:rsidRDefault="00B0022F" w:rsidP="00B0022F">
      <w:pPr>
        <w:pStyle w:val="ListParagraph"/>
        <w:numPr>
          <w:ilvl w:val="0"/>
          <w:numId w:val="12"/>
        </w:numPr>
      </w:pPr>
      <w:r>
        <w:t>What are the h</w:t>
      </w:r>
      <w:r w:rsidR="0020203C" w:rsidRPr="007C1815">
        <w:t>ealth outcomes after transplants</w:t>
      </w:r>
      <w:r>
        <w:t>? (</w:t>
      </w:r>
      <w:r w:rsidR="0020203C" w:rsidRPr="007C1815">
        <w:t>recurrence, chronic diseases, dementia</w:t>
      </w:r>
      <w:r>
        <w:t>).</w:t>
      </w:r>
    </w:p>
    <w:p w14:paraId="79F6F85F" w14:textId="0CE3E3E9" w:rsidR="00163217" w:rsidRPr="00163217" w:rsidRDefault="00B0022F" w:rsidP="00163217">
      <w:pPr>
        <w:pStyle w:val="ListParagraph"/>
        <w:numPr>
          <w:ilvl w:val="0"/>
          <w:numId w:val="12"/>
        </w:numPr>
      </w:pPr>
      <w:r>
        <w:t>What are the health outcomes after cancer?</w:t>
      </w:r>
      <w:r w:rsidR="0020203C" w:rsidRPr="007C1815">
        <w:t xml:space="preserve"> </w:t>
      </w:r>
      <w:r>
        <w:t>(</w:t>
      </w:r>
      <w:r w:rsidR="0020203C" w:rsidRPr="007C1815">
        <w:t>recurrence of the same cancer, chronic diseases, dementia</w:t>
      </w:r>
      <w:r>
        <w:t>).</w:t>
      </w:r>
      <w:r w:rsidR="00163217">
        <w:t xml:space="preserve"> </w:t>
      </w:r>
    </w:p>
    <w:p w14:paraId="26D06C48" w14:textId="77777777" w:rsidR="00B26A79" w:rsidRPr="009218F7" w:rsidRDefault="00B26A79" w:rsidP="00B26A79">
      <w:pPr>
        <w:pStyle w:val="Heading1"/>
      </w:pPr>
      <w:r w:rsidRPr="009218F7">
        <w:t>Study Approach, Design</w:t>
      </w:r>
    </w:p>
    <w:p w14:paraId="101F50F4" w14:textId="4A419920" w:rsidR="00DA2E1B" w:rsidRDefault="000E3DF3" w:rsidP="00DA2E1B">
      <w:pPr>
        <w:pStyle w:val="Heading2"/>
        <w:numPr>
          <w:ilvl w:val="0"/>
          <w:numId w:val="2"/>
        </w:numPr>
        <w:spacing w:before="0" w:after="0"/>
        <w:rPr>
          <w:b w:val="0"/>
        </w:rPr>
      </w:pPr>
      <w:r>
        <w:rPr>
          <w:b w:val="0"/>
        </w:rPr>
        <w:t xml:space="preserve">Phase 1 - </w:t>
      </w:r>
      <w:r w:rsidR="00C028B2">
        <w:rPr>
          <w:b w:val="0"/>
        </w:rPr>
        <w:t>Descriptive</w:t>
      </w:r>
      <w:r w:rsidRPr="009218F7">
        <w:rPr>
          <w:b w:val="0"/>
        </w:rPr>
        <w:t xml:space="preserve">; </w:t>
      </w:r>
      <w:r w:rsidR="00C028B2">
        <w:rPr>
          <w:b w:val="0"/>
        </w:rPr>
        <w:t>Describe and explore the cohort to get a feel for the</w:t>
      </w:r>
      <w:r w:rsidR="00BE04E1">
        <w:rPr>
          <w:b w:val="0"/>
        </w:rPr>
        <w:t xml:space="preserve"> usage and profiles that emerge</w:t>
      </w:r>
      <w:r w:rsidR="00C028B2">
        <w:rPr>
          <w:b w:val="0"/>
        </w:rPr>
        <w:t xml:space="preserve">. </w:t>
      </w:r>
      <w:r w:rsidR="0022742D">
        <w:rPr>
          <w:b w:val="0"/>
        </w:rPr>
        <w:t>Evaluate the rates</w:t>
      </w:r>
      <w:r w:rsidR="00C028B2">
        <w:rPr>
          <w:b w:val="0"/>
        </w:rPr>
        <w:t xml:space="preserve"> of dementia with</w:t>
      </w:r>
      <w:r w:rsidR="0022742D">
        <w:rPr>
          <w:b w:val="0"/>
        </w:rPr>
        <w:t>in</w:t>
      </w:r>
      <w:r w:rsidR="00C028B2">
        <w:rPr>
          <w:b w:val="0"/>
        </w:rPr>
        <w:t xml:space="preserve"> specific subsets</w:t>
      </w:r>
      <w:r w:rsidR="0022742D">
        <w:rPr>
          <w:b w:val="0"/>
        </w:rPr>
        <w:t xml:space="preserve"> (e.g., type of chemotherapy received)</w:t>
      </w:r>
      <w:r w:rsidR="00C028B2">
        <w:rPr>
          <w:b w:val="0"/>
        </w:rPr>
        <w:t xml:space="preserve"> and whether they differ or not</w:t>
      </w:r>
      <w:r w:rsidR="0022742D">
        <w:rPr>
          <w:b w:val="0"/>
        </w:rPr>
        <w:t>.</w:t>
      </w:r>
      <w:r w:rsidR="00C028B2">
        <w:rPr>
          <w:b w:val="0"/>
        </w:rPr>
        <w:t xml:space="preserve"> </w:t>
      </w:r>
      <w:r w:rsidR="00DA2E1B">
        <w:rPr>
          <w:b w:val="0"/>
        </w:rPr>
        <w:t>As a final step a small subsample</w:t>
      </w:r>
      <w:r w:rsidR="0022742D">
        <w:rPr>
          <w:b w:val="0"/>
        </w:rPr>
        <w:t xml:space="preserve"> (e.g., individuals with dementia diagnosis)</w:t>
      </w:r>
      <w:r w:rsidR="00DA2E1B">
        <w:rPr>
          <w:b w:val="0"/>
        </w:rPr>
        <w:t xml:space="preserve"> will be examined in order to look at the finer details of encounters and service usage related to the temporal appearance of chronic diseases and dementia.</w:t>
      </w:r>
    </w:p>
    <w:p w14:paraId="51A4F48A" w14:textId="30F829BE" w:rsidR="004B0700" w:rsidRPr="004B0700" w:rsidRDefault="004B0700" w:rsidP="004B0700">
      <w:pPr>
        <w:pStyle w:val="Heading2"/>
        <w:numPr>
          <w:ilvl w:val="0"/>
          <w:numId w:val="2"/>
        </w:numPr>
        <w:spacing w:before="0" w:after="0"/>
        <w:rPr>
          <w:b w:val="0"/>
        </w:rPr>
      </w:pPr>
      <w:r>
        <w:rPr>
          <w:b w:val="0"/>
        </w:rPr>
        <w:t>Phase 2</w:t>
      </w:r>
      <w:r>
        <w:rPr>
          <w:b w:val="0"/>
        </w:rPr>
        <w:t xml:space="preserve"> – Go ahead after data exploration</w:t>
      </w:r>
      <w:r w:rsidRPr="009218F7">
        <w:rPr>
          <w:b w:val="0"/>
        </w:rPr>
        <w:t xml:space="preserve">; </w:t>
      </w:r>
    </w:p>
    <w:p w14:paraId="2867CC11" w14:textId="50074A5B" w:rsidR="000E3DF3" w:rsidRDefault="000E3DF3" w:rsidP="000E3DF3">
      <w:pPr>
        <w:pStyle w:val="Heading2"/>
        <w:numPr>
          <w:ilvl w:val="0"/>
          <w:numId w:val="2"/>
        </w:numPr>
        <w:spacing w:before="0" w:after="0"/>
        <w:rPr>
          <w:b w:val="0"/>
        </w:rPr>
      </w:pPr>
      <w:r>
        <w:rPr>
          <w:b w:val="0"/>
        </w:rPr>
        <w:t>P</w:t>
      </w:r>
      <w:r w:rsidR="004B0700">
        <w:rPr>
          <w:b w:val="0"/>
        </w:rPr>
        <w:t>hase 3</w:t>
      </w:r>
      <w:r>
        <w:rPr>
          <w:b w:val="0"/>
        </w:rPr>
        <w:t xml:space="preserve"> – Develop mode</w:t>
      </w:r>
      <w:r w:rsidR="004B0700">
        <w:rPr>
          <w:b w:val="0"/>
        </w:rPr>
        <w:t>ls</w:t>
      </w:r>
      <w:r w:rsidRPr="009218F7">
        <w:rPr>
          <w:b w:val="0"/>
        </w:rPr>
        <w:t>;</w:t>
      </w:r>
      <w:r w:rsidR="004B0700">
        <w:rPr>
          <w:b w:val="0"/>
        </w:rPr>
        <w:t xml:space="preserve"> After the data have been explored models that best represent </w:t>
      </w:r>
      <w:r w:rsidR="00E04DD7">
        <w:rPr>
          <w:b w:val="0"/>
        </w:rPr>
        <w:t xml:space="preserve">both </w:t>
      </w:r>
      <w:r w:rsidR="004B0700">
        <w:rPr>
          <w:b w:val="0"/>
        </w:rPr>
        <w:t xml:space="preserve">the data and the questions will be developed. </w:t>
      </w:r>
      <w:r w:rsidRPr="009218F7">
        <w:rPr>
          <w:b w:val="0"/>
        </w:rPr>
        <w:t xml:space="preserve"> </w:t>
      </w:r>
    </w:p>
    <w:p w14:paraId="0C1AB0C0" w14:textId="70EBFF5E" w:rsidR="000E3DF3" w:rsidRPr="004B0700" w:rsidRDefault="000E3DF3" w:rsidP="000E3DF3">
      <w:pPr>
        <w:pStyle w:val="Heading2"/>
        <w:numPr>
          <w:ilvl w:val="0"/>
          <w:numId w:val="2"/>
        </w:numPr>
        <w:spacing w:before="0" w:after="0"/>
        <w:rPr>
          <w:b w:val="0"/>
        </w:rPr>
      </w:pPr>
      <w:r>
        <w:rPr>
          <w:b w:val="0"/>
        </w:rPr>
        <w:t xml:space="preserve">Phase 4 - </w:t>
      </w:r>
      <w:r w:rsidR="004B0700">
        <w:rPr>
          <w:b w:val="0"/>
        </w:rPr>
        <w:t>Publications</w:t>
      </w:r>
      <w:r w:rsidRPr="009218F7">
        <w:rPr>
          <w:b w:val="0"/>
        </w:rPr>
        <w:t xml:space="preserve">; </w:t>
      </w:r>
      <w:r w:rsidR="00E04DD7">
        <w:rPr>
          <w:b w:val="0"/>
        </w:rPr>
        <w:t>Each question wi</w:t>
      </w:r>
      <w:r w:rsidR="00F10AF2">
        <w:rPr>
          <w:b w:val="0"/>
        </w:rPr>
        <w:t>ll be published as a</w:t>
      </w:r>
      <w:r w:rsidR="002A1B70">
        <w:rPr>
          <w:b w:val="0"/>
        </w:rPr>
        <w:t xml:space="preserve"> paper</w:t>
      </w:r>
      <w:bookmarkStart w:id="1" w:name="_GoBack"/>
      <w:bookmarkEnd w:id="1"/>
      <w:r w:rsidR="00E04DD7">
        <w:rPr>
          <w:b w:val="0"/>
        </w:rPr>
        <w:t xml:space="preserve"> in an academic journal and presented at a conference.</w:t>
      </w:r>
    </w:p>
    <w:p w14:paraId="565A0FF6" w14:textId="77777777" w:rsidR="000E3DF3" w:rsidRPr="000E3DF3" w:rsidRDefault="000E3DF3" w:rsidP="000E3DF3"/>
    <w:p w14:paraId="6438B4A5" w14:textId="77777777" w:rsidR="00D701D9" w:rsidRDefault="00D701D9" w:rsidP="00B26A79"/>
    <w:p w14:paraId="7A76B962" w14:textId="77777777" w:rsidR="00E04DD7" w:rsidRDefault="00E04DD7" w:rsidP="00B26A79"/>
    <w:p w14:paraId="37B2EA20" w14:textId="77777777" w:rsidR="00E04DD7" w:rsidRDefault="00E04DD7" w:rsidP="00B26A79"/>
    <w:p w14:paraId="65CC9B79" w14:textId="77777777" w:rsidR="00E04DD7" w:rsidRDefault="00E04DD7" w:rsidP="00B26A79"/>
    <w:p w14:paraId="75756697" w14:textId="77777777" w:rsidR="00E04DD7" w:rsidRDefault="00E04DD7" w:rsidP="00B26A79"/>
    <w:p w14:paraId="33EDB5CD" w14:textId="77777777" w:rsidR="00E04DD7" w:rsidRDefault="00E04DD7" w:rsidP="00B26A79"/>
    <w:p w14:paraId="4164588F" w14:textId="77777777" w:rsidR="00E04DD7" w:rsidRDefault="00E04DD7" w:rsidP="00B26A79"/>
    <w:p w14:paraId="41A62CAF" w14:textId="77777777" w:rsidR="00E04DD7" w:rsidRDefault="00E04DD7" w:rsidP="00B26A79"/>
    <w:p w14:paraId="1F0CFB09" w14:textId="77777777" w:rsidR="00E04DD7" w:rsidRDefault="00E04DD7" w:rsidP="00B26A79"/>
    <w:p w14:paraId="7C57B946" w14:textId="77777777" w:rsidR="00B26A79" w:rsidRDefault="00B26A79" w:rsidP="00B26A79">
      <w:pPr>
        <w:pStyle w:val="ListParagraph"/>
        <w:numPr>
          <w:ilvl w:val="0"/>
          <w:numId w:val="3"/>
        </w:numPr>
      </w:pPr>
      <w:r>
        <w:t>Design, methodology</w:t>
      </w:r>
    </w:p>
    <w:p w14:paraId="4C6BBF4B" w14:textId="4EFD306E" w:rsidR="00B26A79" w:rsidRDefault="008F0C78" w:rsidP="00B26A79">
      <w:pPr>
        <w:pStyle w:val="ListParagraph"/>
        <w:numPr>
          <w:ilvl w:val="0"/>
          <w:numId w:val="4"/>
        </w:numPr>
      </w:pPr>
      <w:r>
        <w:t>Cohort is defined as the inclusion of individuals who</w:t>
      </w:r>
      <w:r w:rsidR="002A3212">
        <w:t xml:space="preserve"> </w:t>
      </w:r>
      <w:r>
        <w:t>have:</w:t>
      </w:r>
    </w:p>
    <w:p w14:paraId="4865F381" w14:textId="0F9DB22B" w:rsidR="003813CD" w:rsidRDefault="002A3212" w:rsidP="00F579A9">
      <w:pPr>
        <w:pStyle w:val="ListParagraph"/>
        <w:numPr>
          <w:ilvl w:val="1"/>
          <w:numId w:val="4"/>
        </w:numPr>
      </w:pPr>
      <w:r>
        <w:t>a dementia diagnosis or encounter</w:t>
      </w:r>
      <w:r w:rsidR="002C3B52">
        <w:t xml:space="preserve">. </w:t>
      </w:r>
    </w:p>
    <w:p w14:paraId="16356BB1" w14:textId="77777777" w:rsidR="008F0C78" w:rsidRDefault="008F0C78" w:rsidP="00F579A9">
      <w:pPr>
        <w:pStyle w:val="ListParagraph"/>
        <w:numPr>
          <w:ilvl w:val="1"/>
          <w:numId w:val="4"/>
        </w:numPr>
      </w:pPr>
      <w:r>
        <w:t>undergone a</w:t>
      </w:r>
      <w:r w:rsidR="00F579A9">
        <w:t xml:space="preserve"> </w:t>
      </w:r>
    </w:p>
    <w:p w14:paraId="0E8ECFF8" w14:textId="77777777" w:rsidR="008F0C78" w:rsidRDefault="00F579A9" w:rsidP="008F0C78">
      <w:pPr>
        <w:pStyle w:val="ListParagraph"/>
        <w:numPr>
          <w:ilvl w:val="2"/>
          <w:numId w:val="4"/>
        </w:numPr>
      </w:pPr>
      <w:r>
        <w:t>transplant</w:t>
      </w:r>
      <w:r w:rsidR="003813CD">
        <w:t xml:space="preserve"> </w:t>
      </w:r>
      <w:r w:rsidR="008F0C78">
        <w:t>(palette 99)</w:t>
      </w:r>
    </w:p>
    <w:p w14:paraId="3390E53A" w14:textId="77777777" w:rsidR="008F0C78" w:rsidRDefault="002C3B52" w:rsidP="008F0C78">
      <w:pPr>
        <w:pStyle w:val="ListParagraph"/>
        <w:numPr>
          <w:ilvl w:val="2"/>
          <w:numId w:val="4"/>
        </w:numPr>
      </w:pPr>
      <w:r>
        <w:t>chemotherapy</w:t>
      </w:r>
      <w:r w:rsidR="00F579A9">
        <w:t>,</w:t>
      </w:r>
      <w:r>
        <w:t xml:space="preserve"> or </w:t>
      </w:r>
    </w:p>
    <w:p w14:paraId="7D8D34AC" w14:textId="58B6A894" w:rsidR="002C3B52" w:rsidRDefault="002C3B52" w:rsidP="008F0C78">
      <w:pPr>
        <w:pStyle w:val="ListParagraph"/>
        <w:numPr>
          <w:ilvl w:val="2"/>
          <w:numId w:val="4"/>
        </w:numPr>
      </w:pPr>
      <w:r>
        <w:t>cancer</w:t>
      </w:r>
      <w:r w:rsidR="003813CD">
        <w:t xml:space="preserve"> (palette 76 and 36)</w:t>
      </w:r>
      <w:r>
        <w:t>.</w:t>
      </w:r>
    </w:p>
    <w:p w14:paraId="2835F402" w14:textId="476170DF" w:rsidR="003813CD" w:rsidRDefault="003813CD" w:rsidP="00F579A9">
      <w:pPr>
        <w:pStyle w:val="ListParagraph"/>
        <w:numPr>
          <w:ilvl w:val="1"/>
          <w:numId w:val="4"/>
        </w:numPr>
      </w:pPr>
      <w:r>
        <w:t xml:space="preserve">a drug induced dementia or </w:t>
      </w:r>
      <w:r w:rsidR="002A3212">
        <w:t>deli</w:t>
      </w:r>
      <w:r>
        <w:t>rium diagnosis</w:t>
      </w:r>
    </w:p>
    <w:p w14:paraId="0BE270AC" w14:textId="77777777" w:rsidR="003A0F77" w:rsidRDefault="003A0F77" w:rsidP="003A0F77">
      <w:pPr>
        <w:pStyle w:val="ListParagraph"/>
        <w:ind w:left="1440"/>
      </w:pPr>
    </w:p>
    <w:p w14:paraId="68F67203" w14:textId="208C0E3E" w:rsidR="002A3212" w:rsidRPr="002A3212" w:rsidRDefault="002A3212" w:rsidP="002A3212">
      <w:pPr>
        <w:ind w:left="720"/>
        <w:rPr>
          <w:rFonts w:cstheme="minorHAnsi"/>
          <w:lang w:val="en-CA"/>
        </w:rPr>
      </w:pPr>
      <w:r w:rsidRPr="002A3212">
        <w:rPr>
          <w:rFonts w:cstheme="minorHAnsi"/>
          <w:lang w:val="en-CA"/>
        </w:rPr>
        <w:t xml:space="preserve">There are an estimated </w:t>
      </w:r>
      <w:r w:rsidRPr="002A3212">
        <w:rPr>
          <w:rFonts w:cstheme="minorHAnsi"/>
          <w:highlight w:val="yellow"/>
          <w:lang w:val="en-CA"/>
        </w:rPr>
        <w:t>XXXXX</w:t>
      </w:r>
      <w:r w:rsidRPr="002A3212">
        <w:rPr>
          <w:rFonts w:cstheme="minorHAnsi"/>
          <w:lang w:val="en-CA"/>
        </w:rPr>
        <w:t xml:space="preserve"> </w:t>
      </w:r>
      <w:r>
        <w:rPr>
          <w:rFonts w:cstheme="minorHAnsi"/>
          <w:lang w:val="en-CA"/>
        </w:rPr>
        <w:t>individuals</w:t>
      </w:r>
      <w:r w:rsidRPr="002A3212">
        <w:rPr>
          <w:rFonts w:cstheme="minorHAnsi"/>
          <w:lang w:val="en-CA"/>
        </w:rPr>
        <w:t xml:space="preserve"> who will be included in the </w:t>
      </w:r>
      <w:r>
        <w:rPr>
          <w:rFonts w:cstheme="minorHAnsi"/>
          <w:lang w:val="en-CA"/>
        </w:rPr>
        <w:t>c</w:t>
      </w:r>
      <w:r w:rsidRPr="002A3212">
        <w:rPr>
          <w:rFonts w:cstheme="minorHAnsi"/>
          <w:lang w:val="en-CA"/>
        </w:rPr>
        <w:t>ohort.</w:t>
      </w:r>
    </w:p>
    <w:p w14:paraId="72ED2D7A" w14:textId="77777777" w:rsidR="002A3212" w:rsidRDefault="002A3212" w:rsidP="002A3212"/>
    <w:p w14:paraId="78BD3B07" w14:textId="77777777" w:rsidR="00B26A79" w:rsidRDefault="00B26A79" w:rsidP="00B26A79">
      <w:pPr>
        <w:pStyle w:val="ListParagraph"/>
        <w:numPr>
          <w:ilvl w:val="0"/>
          <w:numId w:val="4"/>
        </w:numPr>
      </w:pPr>
      <w:r>
        <w:t>Sample size, power considerations</w:t>
      </w:r>
    </w:p>
    <w:p w14:paraId="0E563270" w14:textId="4241F585" w:rsidR="003813CD" w:rsidRDefault="003813CD" w:rsidP="003813CD">
      <w:pPr>
        <w:pStyle w:val="ListParagraph"/>
        <w:numPr>
          <w:ilvl w:val="1"/>
          <w:numId w:val="4"/>
        </w:numPr>
      </w:pPr>
      <w:r>
        <w:t>Sample sizes over 100 would be preferred</w:t>
      </w:r>
      <w:r w:rsidR="002A3212">
        <w:t xml:space="preserve"> for mixed effect modeling</w:t>
      </w:r>
      <w:r w:rsidR="003A0F77">
        <w:t>. (</w:t>
      </w:r>
      <w:r w:rsidR="003A0F77" w:rsidRPr="003A0F77">
        <w:rPr>
          <w:highlight w:val="yellow"/>
        </w:rPr>
        <w:t>Stan to provide an idea of numbers then update this section</w:t>
      </w:r>
      <w:r w:rsidR="003A0F77">
        <w:t>)</w:t>
      </w:r>
      <w:r>
        <w:t xml:space="preserve"> </w:t>
      </w:r>
    </w:p>
    <w:p w14:paraId="0E8E8052" w14:textId="77777777" w:rsidR="00B26A79" w:rsidRDefault="00B26A79" w:rsidP="00B26A79">
      <w:pPr>
        <w:pStyle w:val="ListParagraph"/>
        <w:numPr>
          <w:ilvl w:val="0"/>
          <w:numId w:val="4"/>
        </w:numPr>
      </w:pPr>
      <w:r w:rsidRPr="00206E46">
        <w:t>Statistical approach</w:t>
      </w:r>
    </w:p>
    <w:p w14:paraId="1EF45579" w14:textId="2F2223AB" w:rsidR="00CD2856" w:rsidRDefault="002A3212" w:rsidP="00CD2856">
      <w:pPr>
        <w:pStyle w:val="ListParagraph"/>
        <w:numPr>
          <w:ilvl w:val="1"/>
          <w:numId w:val="4"/>
        </w:numPr>
      </w:pPr>
      <w:r>
        <w:t xml:space="preserve">Descriptive analysis </w:t>
      </w:r>
      <w:r w:rsidR="003A0F77">
        <w:t>-</w:t>
      </w:r>
      <w:r>
        <w:t xml:space="preserve"> provide an understanding of</w:t>
      </w:r>
      <w:r w:rsidR="00CD2856">
        <w:t xml:space="preserve"> the cohort.</w:t>
      </w:r>
    </w:p>
    <w:p w14:paraId="14D7A05B" w14:textId="352DCC73" w:rsidR="00206E46" w:rsidRDefault="003813CD" w:rsidP="00206E46">
      <w:pPr>
        <w:pStyle w:val="ListParagraph"/>
        <w:numPr>
          <w:ilvl w:val="1"/>
          <w:numId w:val="4"/>
        </w:numPr>
      </w:pPr>
      <w:r>
        <w:t xml:space="preserve">Factor analysis </w:t>
      </w:r>
      <w:r w:rsidRPr="003813CD">
        <w:t xml:space="preserve">of comorbidities </w:t>
      </w:r>
      <w:r w:rsidR="002A3212">
        <w:t>in relation to</w:t>
      </w:r>
      <w:r w:rsidRPr="003813CD">
        <w:t xml:space="preserve"> dementia</w:t>
      </w:r>
      <w:r w:rsidR="00434CF4">
        <w:t xml:space="preserve"> - identify</w:t>
      </w:r>
      <w:r w:rsidRPr="003813CD">
        <w:t xml:space="preserve"> sets of variables with an underlying common factor. This method, in addition to identifying associations between groups of variables, allows the same variable to become part of several factors.</w:t>
      </w:r>
      <w:r w:rsidR="006C12C1">
        <w:t xml:space="preserve"> Results will be compared to other studies such as </w:t>
      </w:r>
      <w:proofErr w:type="spellStart"/>
      <w:r w:rsidR="006C12C1" w:rsidRPr="002D79F7">
        <w:t>Poblador-Plou</w:t>
      </w:r>
      <w:proofErr w:type="spellEnd"/>
      <w:r w:rsidR="006C12C1">
        <w:t xml:space="preserve"> et al.</w:t>
      </w:r>
      <w:r w:rsidR="006C12C1">
        <w:t>’s (</w:t>
      </w:r>
      <w:r w:rsidR="006C12C1">
        <w:t>2014</w:t>
      </w:r>
      <w:r w:rsidR="006C12C1">
        <w:t xml:space="preserve">) </w:t>
      </w:r>
      <w:r w:rsidR="006C12C1">
        <w:t>factor analysis of comorbidities of dementia</w:t>
      </w:r>
      <w:r w:rsidR="006C12C1">
        <w:t>.</w:t>
      </w:r>
    </w:p>
    <w:p w14:paraId="42B48DF1" w14:textId="0501C35C" w:rsidR="00434CF4" w:rsidRPr="00206E46" w:rsidRDefault="00434CF4" w:rsidP="00206E46">
      <w:pPr>
        <w:pStyle w:val="ListParagraph"/>
        <w:numPr>
          <w:ilvl w:val="1"/>
          <w:numId w:val="4"/>
        </w:numPr>
      </w:pPr>
      <w:r>
        <w:t>Additional models will be developed after descriptive data has been explored. (Potential models include: mixed effects models, growth mixture models</w:t>
      </w:r>
      <w:r w:rsidR="009A1166">
        <w:t xml:space="preserve">, </w:t>
      </w:r>
      <w:r>
        <w:t>proportional hazards models)</w:t>
      </w:r>
    </w:p>
    <w:p w14:paraId="0BDD782C" w14:textId="2A501F7E" w:rsidR="00B26A79" w:rsidRDefault="00B26A79" w:rsidP="00B26A79">
      <w:pPr>
        <w:pStyle w:val="ListParagraph"/>
        <w:numPr>
          <w:ilvl w:val="0"/>
          <w:numId w:val="4"/>
        </w:numPr>
      </w:pPr>
      <w:r>
        <w:t xml:space="preserve">Data elements </w:t>
      </w:r>
    </w:p>
    <w:p w14:paraId="5ED4E549" w14:textId="7A359019" w:rsidR="003813CD" w:rsidRDefault="003813CD" w:rsidP="003813CD">
      <w:pPr>
        <w:pStyle w:val="ListParagraph"/>
        <w:numPr>
          <w:ilvl w:val="1"/>
          <w:numId w:val="4"/>
        </w:numPr>
      </w:pPr>
      <w:r>
        <w:t>RAI Neurological</w:t>
      </w:r>
    </w:p>
    <w:p w14:paraId="286D0A6C" w14:textId="586CFD4D" w:rsidR="003813CD" w:rsidRDefault="003813CD" w:rsidP="003813CD">
      <w:pPr>
        <w:pStyle w:val="ListParagraph"/>
        <w:numPr>
          <w:ilvl w:val="1"/>
          <w:numId w:val="4"/>
        </w:numPr>
      </w:pPr>
      <w:r>
        <w:t>RAI Summary</w:t>
      </w:r>
    </w:p>
    <w:p w14:paraId="73E5F821" w14:textId="3C3A7506" w:rsidR="003813CD" w:rsidRDefault="003813CD" w:rsidP="003813CD">
      <w:pPr>
        <w:pStyle w:val="ListParagraph"/>
        <w:numPr>
          <w:ilvl w:val="1"/>
          <w:numId w:val="4"/>
        </w:numPr>
      </w:pPr>
      <w:r>
        <w:t>DAD diagnosis</w:t>
      </w:r>
    </w:p>
    <w:p w14:paraId="6B6C8C8F" w14:textId="36F2AA73" w:rsidR="0043320D" w:rsidRDefault="001A5FFC" w:rsidP="003813CD">
      <w:pPr>
        <w:pStyle w:val="ListParagraph"/>
        <w:numPr>
          <w:ilvl w:val="1"/>
          <w:numId w:val="4"/>
        </w:numPr>
      </w:pPr>
      <w:r>
        <w:t>S</w:t>
      </w:r>
      <w:r w:rsidR="0043320D" w:rsidRPr="0043320D">
        <w:t>econdary diagnosis (contributor to time in acute care)</w:t>
      </w:r>
    </w:p>
    <w:p w14:paraId="661D84C0" w14:textId="28CC534D" w:rsidR="001A5FFC" w:rsidRDefault="001A5FFC" w:rsidP="001A5FFC">
      <w:pPr>
        <w:pStyle w:val="ListParagraph"/>
        <w:numPr>
          <w:ilvl w:val="1"/>
          <w:numId w:val="4"/>
        </w:numPr>
      </w:pPr>
      <w:r>
        <w:t xml:space="preserve">Sequence and duration for events </w:t>
      </w:r>
      <w:r>
        <w:t>(l</w:t>
      </w:r>
      <w:r>
        <w:t>ength of stay</w:t>
      </w:r>
      <w:r w:rsidRPr="0043320D">
        <w:t xml:space="preserve"> </w:t>
      </w:r>
      <w:r>
        <w:t>(</w:t>
      </w:r>
      <w:r>
        <w:t>r</w:t>
      </w:r>
      <w:r w:rsidRPr="0043320D">
        <w:t xml:space="preserve">egular </w:t>
      </w:r>
      <w:r>
        <w:t xml:space="preserve">days and alternate </w:t>
      </w:r>
      <w:r>
        <w:t>level of care</w:t>
      </w:r>
      <w:r>
        <w:t>, ALC</w:t>
      </w:r>
      <w:r>
        <w:t>)</w:t>
      </w:r>
    </w:p>
    <w:p w14:paraId="683E61CA" w14:textId="54AAFF5F" w:rsidR="003813CD" w:rsidRDefault="003813CD" w:rsidP="003813CD">
      <w:pPr>
        <w:pStyle w:val="ListParagraph"/>
        <w:numPr>
          <w:ilvl w:val="1"/>
          <w:numId w:val="4"/>
        </w:numPr>
      </w:pPr>
      <w:r>
        <w:t>Oncology encounters (</w:t>
      </w:r>
      <w:r>
        <w:t>palette 76 and 36</w:t>
      </w:r>
      <w:r>
        <w:t>)</w:t>
      </w:r>
    </w:p>
    <w:p w14:paraId="3F13B3CE" w14:textId="17F3EAA2" w:rsidR="003813CD" w:rsidRDefault="003813CD" w:rsidP="003813CD">
      <w:pPr>
        <w:pStyle w:val="ListParagraph"/>
        <w:numPr>
          <w:ilvl w:val="1"/>
          <w:numId w:val="4"/>
        </w:numPr>
      </w:pPr>
      <w:r>
        <w:t>Transplant encounters (palette 99)</w:t>
      </w:r>
    </w:p>
    <w:p w14:paraId="037CFB6F" w14:textId="388A4C22" w:rsidR="003813CD" w:rsidRDefault="003813CD" w:rsidP="003813CD">
      <w:pPr>
        <w:pStyle w:val="ListParagraph"/>
        <w:numPr>
          <w:ilvl w:val="1"/>
          <w:numId w:val="4"/>
        </w:numPr>
      </w:pPr>
      <w:r>
        <w:t>Pharmacy data</w:t>
      </w:r>
      <w:r w:rsidR="00410A8B">
        <w:t xml:space="preserve"> (palette code 81)</w:t>
      </w:r>
    </w:p>
    <w:p w14:paraId="6CC675BD" w14:textId="07DCE2B9" w:rsidR="003813CD" w:rsidRDefault="003813CD" w:rsidP="003813CD">
      <w:pPr>
        <w:pStyle w:val="ListParagraph"/>
        <w:numPr>
          <w:ilvl w:val="1"/>
          <w:numId w:val="4"/>
        </w:numPr>
      </w:pPr>
      <w:r>
        <w:t>Vital statistics</w:t>
      </w:r>
    </w:p>
    <w:p w14:paraId="4E6806E2" w14:textId="2C9776E4" w:rsidR="003813CD" w:rsidRDefault="003813CD" w:rsidP="003813CD">
      <w:pPr>
        <w:pStyle w:val="ListParagraph"/>
        <w:numPr>
          <w:ilvl w:val="1"/>
          <w:numId w:val="4"/>
        </w:numPr>
      </w:pPr>
      <w:r>
        <w:t>Morgue</w:t>
      </w:r>
      <w:r w:rsidR="00410A8B">
        <w:t xml:space="preserve"> (palette code 66)</w:t>
      </w:r>
    </w:p>
    <w:p w14:paraId="3FF285C9" w14:textId="1DCBD296" w:rsidR="003813CD" w:rsidRDefault="003813CD" w:rsidP="003813CD">
      <w:pPr>
        <w:pStyle w:val="ListParagraph"/>
        <w:numPr>
          <w:ilvl w:val="1"/>
          <w:numId w:val="4"/>
        </w:numPr>
      </w:pPr>
      <w:r>
        <w:t>Cause of death</w:t>
      </w:r>
    </w:p>
    <w:p w14:paraId="54F38896" w14:textId="77777777" w:rsidR="003813CD" w:rsidRDefault="003813CD" w:rsidP="00FF0FB5">
      <w:pPr>
        <w:pStyle w:val="ListParagraph"/>
        <w:ind w:left="1440"/>
      </w:pPr>
    </w:p>
    <w:p w14:paraId="4A57F42B" w14:textId="1A7D10AE" w:rsidR="00B26A79" w:rsidRDefault="00B26A79" w:rsidP="00B26A79">
      <w:pPr>
        <w:pStyle w:val="ListParagraph"/>
        <w:numPr>
          <w:ilvl w:val="0"/>
          <w:numId w:val="4"/>
        </w:numPr>
      </w:pPr>
      <w:r>
        <w:t xml:space="preserve">Products </w:t>
      </w:r>
    </w:p>
    <w:p w14:paraId="4AF593C4" w14:textId="6D297487" w:rsidR="007C1815" w:rsidRDefault="00D96A6D" w:rsidP="00D96A6D">
      <w:pPr>
        <w:ind w:left="1080"/>
      </w:pPr>
      <w:r>
        <w:t xml:space="preserve">The products related to this research include papers and conference presentations related to Section 4 research questions. Recommendations </w:t>
      </w:r>
      <w:r w:rsidR="00615154">
        <w:t xml:space="preserve">and a report </w:t>
      </w:r>
      <w:r>
        <w:t xml:space="preserve">can also be provided to Island Health if any </w:t>
      </w:r>
      <w:r w:rsidR="00615154">
        <w:t>outcomes relevant to service utilization, early disease identification etc. become apparent.</w:t>
      </w:r>
    </w:p>
    <w:p w14:paraId="2B3EFAB3" w14:textId="77777777" w:rsidR="00B26A79" w:rsidRPr="00B26A79" w:rsidRDefault="00B26A79" w:rsidP="00B26A79">
      <w:pPr>
        <w:pStyle w:val="Heading1"/>
      </w:pPr>
      <w:r w:rsidRPr="00B26A79">
        <w:lastRenderedPageBreak/>
        <w:t>Data management</w:t>
      </w:r>
    </w:p>
    <w:p w14:paraId="5DA56BC6" w14:textId="57E499C6" w:rsidR="00412534" w:rsidRPr="00E171B7" w:rsidRDefault="00A7733C" w:rsidP="00E171B7">
      <w:pPr>
        <w:pStyle w:val="ListParagraph"/>
      </w:pPr>
      <w:r>
        <w:t>All data is housed within the data warehouse within the Island Health Secure Research Environm</w:t>
      </w:r>
      <w:r w:rsidR="005D1E4C">
        <w:t xml:space="preserve">ent. Once the cohort is defined </w:t>
      </w:r>
      <w:r w:rsidR="00ED4887">
        <w:t>a data warehouse staff person (</w:t>
      </w:r>
      <w:r w:rsidR="002A3212">
        <w:t xml:space="preserve">i.e., an </w:t>
      </w:r>
      <w:r w:rsidR="00ED4887">
        <w:t>Enterprise D</w:t>
      </w:r>
      <w:r w:rsidR="00732B5C">
        <w:t>ata W</w:t>
      </w:r>
      <w:r w:rsidR="00ED4887" w:rsidRPr="00412534">
        <w:t>arehouse Specialist (EDW)</w:t>
      </w:r>
      <w:r w:rsidR="00ED4887">
        <w:t xml:space="preserve">) will create a </w:t>
      </w:r>
      <w:r w:rsidR="00ED4887">
        <w:t>delimited body of da</w:t>
      </w:r>
      <w:r w:rsidR="002A3212">
        <w:t>ta that fit the defined cohort. The data will be</w:t>
      </w:r>
      <w:r w:rsidR="00ED4887">
        <w:t xml:space="preserve"> </w:t>
      </w:r>
      <w:r w:rsidR="002A3212">
        <w:t>de-</w:t>
      </w:r>
      <w:r w:rsidR="00615154">
        <w:t>identified</w:t>
      </w:r>
      <w:r w:rsidR="002A3212">
        <w:t xml:space="preserve"> according to </w:t>
      </w:r>
      <w:r w:rsidR="00B50D9B">
        <w:t xml:space="preserve">Safe </w:t>
      </w:r>
      <w:r w:rsidR="00615154">
        <w:t>Harbo</w:t>
      </w:r>
      <w:r w:rsidR="00B50D9B">
        <w:t>r</w:t>
      </w:r>
      <w:r w:rsidR="003813CD">
        <w:t xml:space="preserve"> methodology</w:t>
      </w:r>
      <w:r w:rsidR="003C0D99">
        <w:t xml:space="preserve"> (described below in Section 11)</w:t>
      </w:r>
      <w:r w:rsidR="002A3212">
        <w:t>.</w:t>
      </w:r>
      <w:r w:rsidR="00ED4887">
        <w:t xml:space="preserve"> </w:t>
      </w:r>
      <w:r w:rsidR="002A3212">
        <w:rPr>
          <w:lang w:val="en-CA"/>
        </w:rPr>
        <w:t>I</w:t>
      </w:r>
      <w:r w:rsidR="002A3212" w:rsidRPr="002A3212">
        <w:rPr>
          <w:lang w:val="en-CA"/>
        </w:rPr>
        <w:t>n order to meet the requirements of Safe Harbor d</w:t>
      </w:r>
      <w:r w:rsidR="002A3212">
        <w:rPr>
          <w:lang w:val="en-CA"/>
        </w:rPr>
        <w:t>e-identification around dates,</w:t>
      </w:r>
      <w:r w:rsidR="003C0D99">
        <w:rPr>
          <w:lang w:val="en-CA"/>
        </w:rPr>
        <w:t xml:space="preserve"> each</w:t>
      </w:r>
      <w:r w:rsidR="002A3212">
        <w:rPr>
          <w:lang w:val="en-CA"/>
        </w:rPr>
        <w:t xml:space="preserve"> </w:t>
      </w:r>
      <w:r w:rsidR="002A3212" w:rsidRPr="002A3212">
        <w:rPr>
          <w:lang w:val="en-CA"/>
        </w:rPr>
        <w:t>date will be expressed in terms of days before/after a date that has been set as Day 0. This method is more conservative than the Safe Harbor requirements, while</w:t>
      </w:r>
      <w:r w:rsidR="002A3212">
        <w:rPr>
          <w:lang w:val="en-CA"/>
        </w:rPr>
        <w:t xml:space="preserve"> fully</w:t>
      </w:r>
      <w:r w:rsidR="002A3212" w:rsidRPr="002A3212">
        <w:rPr>
          <w:lang w:val="en-CA"/>
        </w:rPr>
        <w:t xml:space="preserve"> preserving the sequence of events and the duration that separates events.</w:t>
      </w:r>
      <w:r w:rsidR="002A3212">
        <w:rPr>
          <w:lang w:val="en-CA"/>
        </w:rPr>
        <w:t xml:space="preserve"> The data will then be </w:t>
      </w:r>
      <w:r w:rsidR="00ED4887">
        <w:t>e</w:t>
      </w:r>
      <w:r w:rsidR="00ED4887">
        <w:t>xport</w:t>
      </w:r>
      <w:r w:rsidR="002A3212">
        <w:t>ed</w:t>
      </w:r>
      <w:r w:rsidR="00ED4887">
        <w:t xml:space="preserve"> the data to</w:t>
      </w:r>
      <w:r w:rsidR="00ED4887">
        <w:t xml:space="preserve"> a portal</w:t>
      </w:r>
      <w:r w:rsidR="002A3212">
        <w:t xml:space="preserve"> (i.e., </w:t>
      </w:r>
      <w:r w:rsidR="00ED4887">
        <w:t>a s</w:t>
      </w:r>
      <w:r w:rsidR="002A3212">
        <w:t>ecure research environment/</w:t>
      </w:r>
      <w:r w:rsidR="00ED4887">
        <w:t>data disclosure access environment or i</w:t>
      </w:r>
      <w:r w:rsidR="00ED4887">
        <w:t>solated secure analysis server)</w:t>
      </w:r>
      <w:r w:rsidR="002A3212">
        <w:t>. Project r</w:t>
      </w:r>
      <w:r w:rsidR="00ED4887">
        <w:t>esearchers</w:t>
      </w:r>
      <w:r w:rsidR="005D1E4C">
        <w:t xml:space="preserve"> will be provided with an ID to v</w:t>
      </w:r>
      <w:r w:rsidR="005D1E4C">
        <w:t xml:space="preserve">irtually log into </w:t>
      </w:r>
      <w:r w:rsidR="005D1E4C">
        <w:t xml:space="preserve">the </w:t>
      </w:r>
      <w:r w:rsidR="002A3212">
        <w:t xml:space="preserve">portal located on the </w:t>
      </w:r>
      <w:r w:rsidR="005D1E4C">
        <w:t>Island H</w:t>
      </w:r>
      <w:r w:rsidR="0039708A">
        <w:t>ealth server.</w:t>
      </w:r>
    </w:p>
    <w:p w14:paraId="556320AE" w14:textId="77777777" w:rsidR="00F75D2E" w:rsidRDefault="00B26A79" w:rsidP="00B26A79">
      <w:pPr>
        <w:pStyle w:val="Heading1"/>
      </w:pPr>
      <w:r>
        <w:t>Consent, Protection of Privacy</w:t>
      </w:r>
    </w:p>
    <w:p w14:paraId="56E98B07" w14:textId="58689CF9" w:rsidR="00B26A79" w:rsidRDefault="00B26A79" w:rsidP="00CF7F80">
      <w:pPr>
        <w:pStyle w:val="ListParagraph"/>
        <w:numPr>
          <w:ilvl w:val="0"/>
          <w:numId w:val="6"/>
        </w:numPr>
      </w:pPr>
      <w:r>
        <w:t>Consent</w:t>
      </w:r>
      <w:r w:rsidR="00CF7F80">
        <w:t xml:space="preserve"> - </w:t>
      </w:r>
      <w:r w:rsidR="00CF7F80" w:rsidRPr="00CF7F80">
        <w:t>It would not be feasible to request participation c</w:t>
      </w:r>
      <w:r w:rsidR="00CF7F80">
        <w:t>onsent for such a</w:t>
      </w:r>
      <w:r w:rsidR="00CF7F80" w:rsidRPr="00CF7F80">
        <w:t xml:space="preserve"> large set of individuals</w:t>
      </w:r>
      <w:r w:rsidR="00CF7F80">
        <w:t xml:space="preserve">. </w:t>
      </w:r>
      <w:r w:rsidR="008F0C78">
        <w:t>The</w:t>
      </w:r>
      <w:r w:rsidR="00CF7F80" w:rsidRPr="00CF7F80">
        <w:t xml:space="preserve"> data will be de-identified </w:t>
      </w:r>
      <w:r w:rsidR="00CF7F80">
        <w:t xml:space="preserve">according to Island Health and Safe Harbor Protocols and adhere to privacy policies as laid out in the TCPS2 </w:t>
      </w:r>
      <w:r w:rsidR="00CF7F80" w:rsidRPr="00CF7F80">
        <w:t>to ensure privacy (Article 5.5a of the Tri-council Policy, TCPS2)</w:t>
      </w:r>
      <w:r w:rsidR="00CF7F80">
        <w:t>.</w:t>
      </w:r>
      <w:r w:rsidR="00CF7F80" w:rsidRPr="00CF7F80">
        <w:t xml:space="preserve"> </w:t>
      </w:r>
    </w:p>
    <w:p w14:paraId="410F606E" w14:textId="68A9FA4F" w:rsidR="00CF7F80" w:rsidRDefault="00CF7F80" w:rsidP="00CF7F80">
      <w:pPr>
        <w:pStyle w:val="ListParagraph"/>
        <w:numPr>
          <w:ilvl w:val="0"/>
          <w:numId w:val="6"/>
        </w:numPr>
      </w:pPr>
      <w:r>
        <w:t>Protection of privacy - The level of access to the warehoused data afforded to the</w:t>
      </w:r>
      <w:r>
        <w:t xml:space="preserve"> researcher will be ensured through the use of three sets</w:t>
      </w:r>
      <w:r>
        <w:t xml:space="preserve"> of controls:</w:t>
      </w:r>
      <w:r>
        <w:t xml:space="preserve"> </w:t>
      </w:r>
    </w:p>
    <w:p w14:paraId="05F322B2" w14:textId="3B6C4D54" w:rsidR="00CF7F80" w:rsidRDefault="00CF7F80" w:rsidP="00CF7F80">
      <w:pPr>
        <w:pStyle w:val="ListParagraph"/>
        <w:numPr>
          <w:ilvl w:val="1"/>
          <w:numId w:val="6"/>
        </w:numPr>
      </w:pPr>
      <w:r>
        <w:t>Administrative – agreements between Island Health and al</w:t>
      </w:r>
      <w:r>
        <w:t>l members of the research team will specify</w:t>
      </w:r>
      <w:r>
        <w:t xml:space="preserve"> activities that </w:t>
      </w:r>
      <w:r w:rsidR="003C0D99">
        <w:t>will</w:t>
      </w:r>
      <w:r>
        <w:t xml:space="preserve"> be performed with the research data;</w:t>
      </w:r>
    </w:p>
    <w:p w14:paraId="5B86CC1F" w14:textId="77777777" w:rsidR="00CF7F80" w:rsidRDefault="00CF7F80" w:rsidP="00CF7F80">
      <w:pPr>
        <w:pStyle w:val="ListParagraph"/>
        <w:numPr>
          <w:ilvl w:val="1"/>
          <w:numId w:val="6"/>
        </w:numPr>
      </w:pPr>
      <w:r>
        <w:t>Technical – to prevent unauthorized access to research data; to prevent unauthorized export of person-level data from the data disclosure environment; to prevent unauthorized import of person-level data from external data sources into the data disclosure environment.</w:t>
      </w:r>
    </w:p>
    <w:p w14:paraId="5C9CBA08" w14:textId="773C50C6" w:rsidR="00B26A79" w:rsidRDefault="00CF7F80" w:rsidP="00B26A79">
      <w:pPr>
        <w:pStyle w:val="ListParagraph"/>
        <w:numPr>
          <w:ilvl w:val="1"/>
          <w:numId w:val="6"/>
        </w:numPr>
      </w:pPr>
      <w:r>
        <w:t>Data de-identification – to minimize risk for re-identification in the event of unauthorized access or in the event that researchers engaged in activities proscribed by Data Disclosure and Access Agreements; to enable the body of research data used to generate the models to be deemed to be free from Protected Health Information, or other personal information, in order to enable legislation and policy-compliant data access without consent.</w:t>
      </w:r>
      <w:r>
        <w:t xml:space="preserve"> See fu</w:t>
      </w:r>
      <w:r w:rsidR="00E171B7">
        <w:t>rther information on Safe Harbo</w:t>
      </w:r>
      <w:r>
        <w:t xml:space="preserve">r methodology </w:t>
      </w:r>
      <w:r w:rsidR="00E171B7">
        <w:t>in Section 11, below</w:t>
      </w:r>
      <w:r>
        <w:t>.</w:t>
      </w:r>
    </w:p>
    <w:p w14:paraId="0399AF62" w14:textId="77777777" w:rsidR="00B26A79" w:rsidRDefault="00B26A79" w:rsidP="00B26A79">
      <w:pPr>
        <w:pStyle w:val="Heading1"/>
      </w:pPr>
      <w:r>
        <w:t>Data retention</w:t>
      </w:r>
    </w:p>
    <w:p w14:paraId="3C6BE0AB" w14:textId="275A17D6" w:rsidR="001B760B" w:rsidRPr="001B760B" w:rsidRDefault="001B760B" w:rsidP="001B760B">
      <w:r w:rsidRPr="001B760B">
        <w:t xml:space="preserve">The </w:t>
      </w:r>
      <w:r w:rsidR="00F765E8">
        <w:t>r</w:t>
      </w:r>
      <w:r w:rsidRPr="001B760B">
        <w:t xml:space="preserve">esearchers </w:t>
      </w:r>
      <w:r w:rsidR="00F765E8">
        <w:t xml:space="preserve">will </w:t>
      </w:r>
      <w:r w:rsidRPr="001B760B">
        <w:t xml:space="preserve">work with a copy of data from the Island Health Enterprise Data Warehouse (EDW). The copy is housed within EDW </w:t>
      </w:r>
      <w:r w:rsidR="003C0D99">
        <w:t xml:space="preserve">and </w:t>
      </w:r>
      <w:r w:rsidRPr="001B760B">
        <w:t>are subject to BC provincial and Island Health data retention policies, which require that the information be retained indefinitely. The Personal Identifiers are not included in the copy of t</w:t>
      </w:r>
      <w:r w:rsidR="00F765E8">
        <w:t>he data made accessible to r</w:t>
      </w:r>
      <w:r w:rsidRPr="001B760B">
        <w:t>esearcher</w:t>
      </w:r>
      <w:r w:rsidR="00F765E8">
        <w:t>s</w:t>
      </w:r>
      <w:r w:rsidR="00334B8C">
        <w:t xml:space="preserve"> and the</w:t>
      </w:r>
      <w:r w:rsidR="001E179E">
        <w:t xml:space="preserve"> research data file will be retained for the period of time that complies wit</w:t>
      </w:r>
      <w:r w:rsidR="003C0D99">
        <w:t>h Island Health and TCPS2 policies</w:t>
      </w:r>
      <w:r w:rsidR="001E179E">
        <w:t>.</w:t>
      </w:r>
    </w:p>
    <w:p w14:paraId="4FB33C56" w14:textId="3820B8CD" w:rsidR="00A729FC" w:rsidRDefault="00B26A79" w:rsidP="00A729FC">
      <w:pPr>
        <w:pStyle w:val="Heading1"/>
      </w:pPr>
      <w:r>
        <w:lastRenderedPageBreak/>
        <w:t>Publication of Results</w:t>
      </w:r>
    </w:p>
    <w:p w14:paraId="0879285F" w14:textId="4238371C" w:rsidR="00A729FC" w:rsidRPr="00A729FC" w:rsidRDefault="00A729FC" w:rsidP="00A729FC">
      <w:r w:rsidRPr="00A729FC">
        <w:t xml:space="preserve">The completion of this </w:t>
      </w:r>
      <w:r w:rsidR="000659B1">
        <w:t>research</w:t>
      </w:r>
      <w:r w:rsidRPr="00A729FC">
        <w:t xml:space="preserve"> will include traditional documents submitted for publication and presentations at profess</w:t>
      </w:r>
      <w:r w:rsidR="00F17332">
        <w:t xml:space="preserve">ional conferences such as </w:t>
      </w:r>
      <w:r w:rsidR="000659B1">
        <w:t xml:space="preserve">The </w:t>
      </w:r>
      <w:proofErr w:type="spellStart"/>
      <w:r w:rsidR="00F17332">
        <w:t>Gerontological</w:t>
      </w:r>
      <w:proofErr w:type="spellEnd"/>
      <w:r w:rsidR="00F17332">
        <w:t xml:space="preserve"> Society of America (GSA)</w:t>
      </w:r>
      <w:r w:rsidR="000659B1">
        <w:t xml:space="preserve"> </w:t>
      </w:r>
      <w:r w:rsidRPr="00A729FC">
        <w:t>as well as lay articles to be submitted to n</w:t>
      </w:r>
      <w:r w:rsidR="00F17332">
        <w:t>ewspapers</w:t>
      </w:r>
      <w:r w:rsidRPr="00A729FC">
        <w:t>, magazines and online publications.</w:t>
      </w:r>
    </w:p>
    <w:p w14:paraId="407E5847" w14:textId="274D144E" w:rsidR="00003C0B" w:rsidRDefault="003520BB" w:rsidP="00003C0B">
      <w:pPr>
        <w:pStyle w:val="Heading1"/>
      </w:pPr>
      <w:r>
        <w:t>References</w:t>
      </w:r>
    </w:p>
    <w:p w14:paraId="31E881F9" w14:textId="77777777" w:rsidR="00E50554" w:rsidRPr="002D79F7" w:rsidRDefault="00E50554" w:rsidP="002D79F7">
      <w:r w:rsidRPr="002D79F7">
        <w:t xml:space="preserve">Ahles, T. A., &amp; </w:t>
      </w:r>
      <w:proofErr w:type="spellStart"/>
      <w:r w:rsidRPr="002D79F7">
        <w:t>Saykin</w:t>
      </w:r>
      <w:proofErr w:type="spellEnd"/>
      <w:r w:rsidRPr="002D79F7">
        <w:t>, A. J. (2007). Candidate mechanisms for chemotherapy-induced cognitive changes. </w:t>
      </w:r>
      <w:r w:rsidRPr="002D79F7">
        <w:rPr>
          <w:i/>
          <w:iCs/>
        </w:rPr>
        <w:t>Nature Reviews Cancer</w:t>
      </w:r>
      <w:r w:rsidRPr="002D79F7">
        <w:t>, </w:t>
      </w:r>
      <w:r w:rsidRPr="002D79F7">
        <w:rPr>
          <w:i/>
          <w:iCs/>
        </w:rPr>
        <w:t>7</w:t>
      </w:r>
      <w:r w:rsidRPr="002D79F7">
        <w:t>(3), 192-201.</w:t>
      </w:r>
    </w:p>
    <w:p w14:paraId="733F23DA" w14:textId="77777777" w:rsidR="0074092B" w:rsidRPr="002D79F7" w:rsidRDefault="0074092B" w:rsidP="002D79F7"/>
    <w:p w14:paraId="2CF4F725" w14:textId="51F91F32" w:rsidR="0074092B" w:rsidRPr="002D79F7" w:rsidRDefault="0074092B" w:rsidP="002D79F7">
      <w:pPr>
        <w:rPr>
          <w:color w:val="222222"/>
          <w:shd w:val="clear" w:color="auto" w:fill="FFFFFF"/>
        </w:rPr>
      </w:pPr>
      <w:r w:rsidRPr="002D79F7">
        <w:rPr>
          <w:color w:val="222222"/>
          <w:shd w:val="clear" w:color="auto" w:fill="FFFFFF"/>
        </w:rPr>
        <w:t xml:space="preserve">Bunn, F., Burn, A. M., Goodman, C., </w:t>
      </w:r>
      <w:proofErr w:type="spellStart"/>
      <w:r w:rsidRPr="002D79F7">
        <w:rPr>
          <w:color w:val="222222"/>
          <w:shd w:val="clear" w:color="auto" w:fill="FFFFFF"/>
        </w:rPr>
        <w:t>Rait</w:t>
      </w:r>
      <w:proofErr w:type="spellEnd"/>
      <w:r w:rsidRPr="002D79F7">
        <w:rPr>
          <w:color w:val="222222"/>
          <w:shd w:val="clear" w:color="auto" w:fill="FFFFFF"/>
        </w:rPr>
        <w:t xml:space="preserve">, G., Norton, S., Robinson, L., ... &amp; </w:t>
      </w:r>
      <w:proofErr w:type="spellStart"/>
      <w:r w:rsidRPr="002D79F7">
        <w:rPr>
          <w:color w:val="222222"/>
          <w:shd w:val="clear" w:color="auto" w:fill="FFFFFF"/>
        </w:rPr>
        <w:t>Brayne</w:t>
      </w:r>
      <w:proofErr w:type="spellEnd"/>
      <w:r w:rsidRPr="002D79F7">
        <w:rPr>
          <w:color w:val="222222"/>
          <w:shd w:val="clear" w:color="auto" w:fill="FFFFFF"/>
        </w:rPr>
        <w:t>, C. (2014). Comorbidity and dementia: a scoping review of the literature.</w:t>
      </w:r>
      <w:r w:rsidRPr="002D79F7">
        <w:rPr>
          <w:rStyle w:val="apple-converted-space"/>
          <w:color w:val="222222"/>
          <w:shd w:val="clear" w:color="auto" w:fill="FFFFFF"/>
        </w:rPr>
        <w:t> </w:t>
      </w:r>
      <w:r w:rsidRPr="002D79F7">
        <w:rPr>
          <w:i/>
          <w:iCs/>
          <w:color w:val="222222"/>
          <w:shd w:val="clear" w:color="auto" w:fill="FFFFFF"/>
        </w:rPr>
        <w:t>BMC medicine</w:t>
      </w:r>
      <w:r w:rsidRPr="002D79F7">
        <w:rPr>
          <w:color w:val="222222"/>
          <w:shd w:val="clear" w:color="auto" w:fill="FFFFFF"/>
        </w:rPr>
        <w:t>,</w:t>
      </w:r>
      <w:r w:rsidRPr="002D79F7">
        <w:rPr>
          <w:rStyle w:val="apple-converted-space"/>
          <w:color w:val="222222"/>
          <w:shd w:val="clear" w:color="auto" w:fill="FFFFFF"/>
        </w:rPr>
        <w:t> </w:t>
      </w:r>
      <w:r w:rsidRPr="002D79F7">
        <w:rPr>
          <w:i/>
          <w:iCs/>
          <w:color w:val="222222"/>
          <w:shd w:val="clear" w:color="auto" w:fill="FFFFFF"/>
        </w:rPr>
        <w:t>12</w:t>
      </w:r>
      <w:r w:rsidR="00081F1C">
        <w:rPr>
          <w:color w:val="222222"/>
          <w:shd w:val="clear" w:color="auto" w:fill="FFFFFF"/>
        </w:rPr>
        <w:t>(1), 192.</w:t>
      </w:r>
    </w:p>
    <w:p w14:paraId="3B071A22" w14:textId="77777777" w:rsidR="005F0EC8" w:rsidRPr="002D79F7" w:rsidRDefault="005F0EC8" w:rsidP="002D79F7"/>
    <w:p w14:paraId="02CC1314" w14:textId="77777777" w:rsidR="005F0EC8" w:rsidRPr="002D79F7" w:rsidRDefault="005F0EC8" w:rsidP="002D79F7">
      <w:r w:rsidRPr="002D79F7">
        <w:t xml:space="preserve">Cramer, P. E., </w:t>
      </w:r>
      <w:proofErr w:type="spellStart"/>
      <w:r w:rsidRPr="002D79F7">
        <w:t>Cirrito</w:t>
      </w:r>
      <w:proofErr w:type="spellEnd"/>
      <w:r w:rsidRPr="002D79F7">
        <w:t xml:space="preserve">, J. R., Wesson, D. W., Lee, C. D., </w:t>
      </w:r>
      <w:proofErr w:type="spellStart"/>
      <w:r w:rsidRPr="002D79F7">
        <w:t>Karlo</w:t>
      </w:r>
      <w:proofErr w:type="spellEnd"/>
      <w:r w:rsidRPr="002D79F7">
        <w:t xml:space="preserve">, J. C., Zinn, A. E., ... &amp; </w:t>
      </w:r>
      <w:proofErr w:type="spellStart"/>
      <w:r w:rsidRPr="002D79F7">
        <w:t>Brunden</w:t>
      </w:r>
      <w:proofErr w:type="spellEnd"/>
      <w:r w:rsidRPr="002D79F7">
        <w:t xml:space="preserve">, K. R. (2012). </w:t>
      </w:r>
      <w:proofErr w:type="spellStart"/>
      <w:r w:rsidRPr="002D79F7">
        <w:t>ApoE</w:t>
      </w:r>
      <w:proofErr w:type="spellEnd"/>
      <w:r w:rsidRPr="002D79F7">
        <w:t>-directed therapeutics rapidly clear β-amyloid and reverse deficits in AD mouse models. </w:t>
      </w:r>
      <w:r w:rsidRPr="002D79F7">
        <w:rPr>
          <w:i/>
          <w:iCs/>
        </w:rPr>
        <w:t>science</w:t>
      </w:r>
      <w:r w:rsidRPr="002D79F7">
        <w:t>, </w:t>
      </w:r>
      <w:r w:rsidRPr="002D79F7">
        <w:rPr>
          <w:i/>
          <w:iCs/>
        </w:rPr>
        <w:t>335</w:t>
      </w:r>
      <w:r w:rsidRPr="002D79F7">
        <w:t>(6075), 1503-1506.</w:t>
      </w:r>
    </w:p>
    <w:p w14:paraId="1A825F9F" w14:textId="77777777" w:rsidR="005F0EC8" w:rsidRDefault="005F0EC8" w:rsidP="002D79F7"/>
    <w:p w14:paraId="283D69E5" w14:textId="26503B2A" w:rsidR="008C7B41" w:rsidRDefault="008C7B41" w:rsidP="002D79F7">
      <w:proofErr w:type="spellStart"/>
      <w:r w:rsidRPr="008C7B41">
        <w:t>Ganguli</w:t>
      </w:r>
      <w:proofErr w:type="spellEnd"/>
      <w:r w:rsidRPr="008C7B41">
        <w:t>, M. (2015). Cancer and Dementia: it’s complicated. </w:t>
      </w:r>
      <w:r w:rsidRPr="008C7B41">
        <w:rPr>
          <w:i/>
          <w:iCs/>
        </w:rPr>
        <w:t>Alzheimer disease and associated disorders</w:t>
      </w:r>
      <w:r w:rsidRPr="008C7B41">
        <w:t>, </w:t>
      </w:r>
      <w:r w:rsidRPr="008C7B41">
        <w:rPr>
          <w:i/>
          <w:iCs/>
        </w:rPr>
        <w:t>29</w:t>
      </w:r>
      <w:r w:rsidRPr="008C7B41">
        <w:t>(2), 177.</w:t>
      </w:r>
    </w:p>
    <w:p w14:paraId="74CF171F" w14:textId="77777777" w:rsidR="002D79F7" w:rsidRPr="002D79F7" w:rsidRDefault="002D79F7" w:rsidP="002D79F7"/>
    <w:p w14:paraId="47B6EA0F" w14:textId="77777777" w:rsidR="002D79F7" w:rsidRDefault="002D79F7" w:rsidP="002D79F7">
      <w:pPr>
        <w:rPr>
          <w:color w:val="222222"/>
          <w:shd w:val="clear" w:color="auto" w:fill="FFFFFF"/>
        </w:rPr>
      </w:pPr>
      <w:r w:rsidRPr="002D79F7">
        <w:rPr>
          <w:color w:val="222222"/>
          <w:shd w:val="clear" w:color="auto" w:fill="FFFFFF"/>
        </w:rPr>
        <w:t xml:space="preserve">Heflin, L. H., </w:t>
      </w:r>
      <w:proofErr w:type="spellStart"/>
      <w:r w:rsidRPr="002D79F7">
        <w:rPr>
          <w:color w:val="222222"/>
          <w:shd w:val="clear" w:color="auto" w:fill="FFFFFF"/>
        </w:rPr>
        <w:t>Meyerowitz</w:t>
      </w:r>
      <w:proofErr w:type="spellEnd"/>
      <w:r w:rsidRPr="002D79F7">
        <w:rPr>
          <w:color w:val="222222"/>
          <w:shd w:val="clear" w:color="auto" w:fill="FFFFFF"/>
        </w:rPr>
        <w:t xml:space="preserve">, B. E., Hall, P., Lichtenstein, P., Johansson, B., Pedersen, N. L., &amp; </w:t>
      </w:r>
      <w:proofErr w:type="spellStart"/>
      <w:r w:rsidRPr="002D79F7">
        <w:rPr>
          <w:color w:val="222222"/>
          <w:shd w:val="clear" w:color="auto" w:fill="FFFFFF"/>
        </w:rPr>
        <w:t>Gatz</w:t>
      </w:r>
      <w:proofErr w:type="spellEnd"/>
      <w:r w:rsidRPr="002D79F7">
        <w:rPr>
          <w:color w:val="222222"/>
          <w:shd w:val="clear" w:color="auto" w:fill="FFFFFF"/>
        </w:rPr>
        <w:t>, M. (2005). Cancer as a risk factor for long-term cognitive deficits and dementia.</w:t>
      </w:r>
      <w:r w:rsidRPr="002D79F7">
        <w:rPr>
          <w:rStyle w:val="apple-converted-space"/>
          <w:color w:val="222222"/>
          <w:shd w:val="clear" w:color="auto" w:fill="FFFFFF"/>
        </w:rPr>
        <w:t> </w:t>
      </w:r>
      <w:r w:rsidRPr="002D79F7">
        <w:rPr>
          <w:i/>
          <w:iCs/>
          <w:color w:val="222222"/>
          <w:shd w:val="clear" w:color="auto" w:fill="FFFFFF"/>
        </w:rPr>
        <w:t>Journal of the National Cancer Institute</w:t>
      </w:r>
      <w:r w:rsidRPr="002D79F7">
        <w:rPr>
          <w:color w:val="222222"/>
          <w:shd w:val="clear" w:color="auto" w:fill="FFFFFF"/>
        </w:rPr>
        <w:t>,</w:t>
      </w:r>
      <w:r w:rsidRPr="002D79F7">
        <w:rPr>
          <w:rStyle w:val="apple-converted-space"/>
          <w:color w:val="222222"/>
          <w:shd w:val="clear" w:color="auto" w:fill="FFFFFF"/>
        </w:rPr>
        <w:t> </w:t>
      </w:r>
      <w:r w:rsidRPr="002D79F7">
        <w:rPr>
          <w:i/>
          <w:iCs/>
          <w:color w:val="222222"/>
          <w:shd w:val="clear" w:color="auto" w:fill="FFFFFF"/>
        </w:rPr>
        <w:t>97</w:t>
      </w:r>
      <w:r w:rsidRPr="002D79F7">
        <w:rPr>
          <w:color w:val="222222"/>
          <w:shd w:val="clear" w:color="auto" w:fill="FFFFFF"/>
        </w:rPr>
        <w:t>(11), 854-856.</w:t>
      </w:r>
    </w:p>
    <w:p w14:paraId="2FE3E822" w14:textId="77777777" w:rsidR="00FA44B3" w:rsidRDefault="00FA44B3" w:rsidP="002D79F7">
      <w:pPr>
        <w:rPr>
          <w:color w:val="222222"/>
          <w:shd w:val="clear" w:color="auto" w:fill="FFFFFF"/>
        </w:rPr>
      </w:pPr>
    </w:p>
    <w:p w14:paraId="04D4DA80" w14:textId="07491A27" w:rsidR="002D79F7" w:rsidRPr="002D79F7" w:rsidRDefault="00FA44B3" w:rsidP="002D79F7">
      <w:r w:rsidRPr="002D79F7">
        <w:rPr>
          <w:color w:val="222222"/>
          <w:shd w:val="clear" w:color="auto" w:fill="FFFFFF"/>
        </w:rPr>
        <w:t>Lai, S. W., Lin, C. H., Liao, K. F., Su, L. T., Sung, F. C., &amp; Lin, C. C. (2012). Association between polypharmacy and dementia in older people: A population</w:t>
      </w:r>
      <w:r w:rsidRPr="002D79F7">
        <w:rPr>
          <w:rFonts w:ascii="Calibri" w:eastAsia="Calibri" w:hAnsi="Calibri" w:cs="Calibri"/>
          <w:color w:val="222222"/>
          <w:shd w:val="clear" w:color="auto" w:fill="FFFFFF"/>
        </w:rPr>
        <w:t>‐</w:t>
      </w:r>
      <w:r w:rsidRPr="002D79F7">
        <w:rPr>
          <w:color w:val="222222"/>
          <w:shd w:val="clear" w:color="auto" w:fill="FFFFFF"/>
        </w:rPr>
        <w:t>based case–control study in Taiwan.</w:t>
      </w:r>
      <w:r w:rsidRPr="002D79F7">
        <w:rPr>
          <w:rStyle w:val="apple-converted-space"/>
          <w:color w:val="222222"/>
          <w:shd w:val="clear" w:color="auto" w:fill="FFFFFF"/>
        </w:rPr>
        <w:t> </w:t>
      </w:r>
      <w:r w:rsidRPr="002D79F7">
        <w:rPr>
          <w:i/>
          <w:iCs/>
          <w:color w:val="222222"/>
          <w:shd w:val="clear" w:color="auto" w:fill="FFFFFF"/>
        </w:rPr>
        <w:t>Geriatrics &amp; gerontology international</w:t>
      </w:r>
      <w:r w:rsidRPr="002D79F7">
        <w:rPr>
          <w:color w:val="222222"/>
          <w:shd w:val="clear" w:color="auto" w:fill="FFFFFF"/>
        </w:rPr>
        <w:t>,</w:t>
      </w:r>
      <w:r w:rsidRPr="002D79F7">
        <w:rPr>
          <w:rStyle w:val="apple-converted-space"/>
          <w:color w:val="222222"/>
          <w:shd w:val="clear" w:color="auto" w:fill="FFFFFF"/>
        </w:rPr>
        <w:t> </w:t>
      </w:r>
      <w:r w:rsidRPr="002D79F7">
        <w:rPr>
          <w:i/>
          <w:iCs/>
          <w:color w:val="222222"/>
          <w:shd w:val="clear" w:color="auto" w:fill="FFFFFF"/>
        </w:rPr>
        <w:t>12</w:t>
      </w:r>
      <w:r w:rsidRPr="002D79F7">
        <w:rPr>
          <w:color w:val="222222"/>
          <w:shd w:val="clear" w:color="auto" w:fill="FFFFFF"/>
        </w:rPr>
        <w:t>(3), 491-498.</w:t>
      </w:r>
    </w:p>
    <w:p w14:paraId="169B255D" w14:textId="77777777" w:rsidR="005F0EC8" w:rsidRPr="002D79F7" w:rsidRDefault="005F0EC8" w:rsidP="002D79F7"/>
    <w:p w14:paraId="119F005D" w14:textId="77777777" w:rsidR="00FA44B3" w:rsidRPr="002D79F7" w:rsidRDefault="00FA44B3" w:rsidP="00FA44B3">
      <w:proofErr w:type="spellStart"/>
      <w:r w:rsidRPr="002D79F7">
        <w:t>Monastero</w:t>
      </w:r>
      <w:proofErr w:type="spellEnd"/>
      <w:r w:rsidRPr="002D79F7">
        <w:t xml:space="preserve">, R., Palmer, K., </w:t>
      </w:r>
      <w:proofErr w:type="spellStart"/>
      <w:r w:rsidRPr="002D79F7">
        <w:t>Qiu</w:t>
      </w:r>
      <w:proofErr w:type="spellEnd"/>
      <w:r w:rsidRPr="002D79F7">
        <w:t xml:space="preserve">, C., </w:t>
      </w:r>
      <w:proofErr w:type="spellStart"/>
      <w:r w:rsidRPr="002D79F7">
        <w:t>Winblad</w:t>
      </w:r>
      <w:proofErr w:type="spellEnd"/>
      <w:r w:rsidRPr="002D79F7">
        <w:t xml:space="preserve">, B., &amp; </w:t>
      </w:r>
      <w:proofErr w:type="spellStart"/>
      <w:r w:rsidRPr="002D79F7">
        <w:t>Fratiglioni</w:t>
      </w:r>
      <w:proofErr w:type="spellEnd"/>
      <w:r w:rsidRPr="002D79F7">
        <w:t xml:space="preserve">, L. (2007). Heterogeneity in risk factors for cognitive impairment, no dementia: population-based longitudinal study from the </w:t>
      </w:r>
      <w:proofErr w:type="spellStart"/>
      <w:r w:rsidRPr="002D79F7">
        <w:t>Kungsholmen</w:t>
      </w:r>
      <w:proofErr w:type="spellEnd"/>
      <w:r w:rsidRPr="002D79F7">
        <w:t xml:space="preserve"> Project. </w:t>
      </w:r>
      <w:r w:rsidRPr="002D79F7">
        <w:rPr>
          <w:i/>
          <w:iCs/>
        </w:rPr>
        <w:t>The American journal of geriatric psychiatry</w:t>
      </w:r>
      <w:r w:rsidRPr="002D79F7">
        <w:t>, </w:t>
      </w:r>
      <w:r w:rsidRPr="002D79F7">
        <w:rPr>
          <w:i/>
          <w:iCs/>
        </w:rPr>
        <w:t>15</w:t>
      </w:r>
      <w:r w:rsidRPr="002D79F7">
        <w:t>(1), 60-69.</w:t>
      </w:r>
    </w:p>
    <w:p w14:paraId="7FBD0613" w14:textId="77777777" w:rsidR="00FA44B3" w:rsidRDefault="00FA44B3" w:rsidP="002D79F7"/>
    <w:p w14:paraId="584F6432" w14:textId="1BDDB432" w:rsidR="0074092B" w:rsidRPr="002D79F7" w:rsidRDefault="0074092B" w:rsidP="002D79F7">
      <w:r w:rsidRPr="002D79F7">
        <w:t>Moore, A. R., &amp; O’Keeffe, S. T. (1999). Drug-induced cognitive impairment in the elderly. </w:t>
      </w:r>
      <w:r w:rsidRPr="002D79F7">
        <w:rPr>
          <w:i/>
          <w:iCs/>
        </w:rPr>
        <w:t>Drugs &amp; aging</w:t>
      </w:r>
      <w:r w:rsidRPr="002D79F7">
        <w:t>, </w:t>
      </w:r>
      <w:r w:rsidRPr="002D79F7">
        <w:rPr>
          <w:i/>
          <w:iCs/>
        </w:rPr>
        <w:t>15</w:t>
      </w:r>
      <w:r w:rsidRPr="002D79F7">
        <w:t>(1), 15-28.</w:t>
      </w:r>
    </w:p>
    <w:p w14:paraId="150A53D3" w14:textId="77777777" w:rsidR="00E50554" w:rsidRPr="002D79F7" w:rsidRDefault="00E50554" w:rsidP="002D79F7"/>
    <w:p w14:paraId="4120FE95" w14:textId="77777777" w:rsidR="00003C0B" w:rsidRDefault="00003C0B" w:rsidP="002D79F7">
      <w:proofErr w:type="spellStart"/>
      <w:r w:rsidRPr="002D79F7">
        <w:t>Poblador-Plou</w:t>
      </w:r>
      <w:proofErr w:type="spellEnd"/>
      <w:r w:rsidRPr="002D79F7">
        <w:t xml:space="preserve">, B., </w:t>
      </w:r>
      <w:proofErr w:type="spellStart"/>
      <w:r w:rsidRPr="002D79F7">
        <w:t>Calderón-Larrañaga</w:t>
      </w:r>
      <w:proofErr w:type="spellEnd"/>
      <w:r w:rsidRPr="002D79F7">
        <w:t xml:space="preserve">, A., Marta-Moreno, J., </w:t>
      </w:r>
      <w:proofErr w:type="spellStart"/>
      <w:r w:rsidRPr="002D79F7">
        <w:t>Hancco</w:t>
      </w:r>
      <w:proofErr w:type="spellEnd"/>
      <w:r w:rsidRPr="002D79F7">
        <w:t xml:space="preserve">-Saavedra, J., </w:t>
      </w:r>
      <w:proofErr w:type="spellStart"/>
      <w:r w:rsidRPr="002D79F7">
        <w:t>Sicras-Mainar</w:t>
      </w:r>
      <w:proofErr w:type="spellEnd"/>
      <w:r w:rsidRPr="002D79F7">
        <w:t xml:space="preserve">, A., </w:t>
      </w:r>
      <w:proofErr w:type="spellStart"/>
      <w:r w:rsidRPr="002D79F7">
        <w:t>Soljak</w:t>
      </w:r>
      <w:proofErr w:type="spellEnd"/>
      <w:r w:rsidRPr="002D79F7">
        <w:t xml:space="preserve">, M., &amp; </w:t>
      </w:r>
      <w:proofErr w:type="spellStart"/>
      <w:r w:rsidRPr="002D79F7">
        <w:t>Prados</w:t>
      </w:r>
      <w:proofErr w:type="spellEnd"/>
      <w:r w:rsidRPr="002D79F7">
        <w:t>-Torres, A. (2014). Comorbidity of dementia: a cross-sectional study of primary care older patients. </w:t>
      </w:r>
      <w:r w:rsidRPr="002D79F7">
        <w:rPr>
          <w:i/>
          <w:iCs/>
        </w:rPr>
        <w:t>BMC psychiatry</w:t>
      </w:r>
      <w:r w:rsidRPr="002D79F7">
        <w:t>, </w:t>
      </w:r>
      <w:r w:rsidRPr="002D79F7">
        <w:rPr>
          <w:i/>
          <w:iCs/>
        </w:rPr>
        <w:t>14</w:t>
      </w:r>
      <w:r w:rsidRPr="002D79F7">
        <w:t>(1), 84.</w:t>
      </w:r>
    </w:p>
    <w:p w14:paraId="2FA6F724" w14:textId="3363DD98" w:rsidR="00E171B7" w:rsidRDefault="00E171B7">
      <w:pPr>
        <w:spacing w:after="160" w:line="259" w:lineRule="auto"/>
      </w:pPr>
      <w:r>
        <w:br w:type="page"/>
      </w:r>
    </w:p>
    <w:p w14:paraId="3832EAB7" w14:textId="77777777" w:rsidR="00E171B7" w:rsidRPr="00972CB0" w:rsidRDefault="00E171B7" w:rsidP="00E171B7">
      <w:pPr>
        <w:pStyle w:val="Heading1"/>
        <w:rPr>
          <w:lang w:val="en-CA" w:eastAsia="en-CA"/>
        </w:rPr>
      </w:pPr>
      <w:r>
        <w:rPr>
          <w:lang w:val="en-CA" w:eastAsia="en-CA"/>
        </w:rPr>
        <w:lastRenderedPageBreak/>
        <w:t>Safe Harbor Identifiers</w:t>
      </w:r>
    </w:p>
    <w:p w14:paraId="1463488C" w14:textId="77777777" w:rsidR="00E171B7" w:rsidRDefault="00E171B7" w:rsidP="00E171B7">
      <w:pPr>
        <w:rPr>
          <w:rFonts w:cstheme="minorHAnsi"/>
        </w:rPr>
      </w:pPr>
    </w:p>
    <w:p w14:paraId="3FE2E313" w14:textId="77777777" w:rsidR="00E171B7" w:rsidRDefault="00E171B7" w:rsidP="00E171B7">
      <w:pPr>
        <w:rPr>
          <w:rStyle w:val="Hyperlink"/>
          <w:rFonts w:cstheme="minorHAnsi"/>
          <w:b/>
          <w:lang w:val="en"/>
        </w:rPr>
      </w:pPr>
      <w:r>
        <w:rPr>
          <w:rFonts w:cstheme="minorHAnsi"/>
        </w:rPr>
        <w:t xml:space="preserve">The following material is copied from </w:t>
      </w:r>
      <w:proofErr w:type="spellStart"/>
      <w:r>
        <w:rPr>
          <w:rFonts w:cstheme="minorHAnsi"/>
        </w:rPr>
        <w:t>Malin</w:t>
      </w:r>
      <w:proofErr w:type="spellEnd"/>
      <w:r>
        <w:rPr>
          <w:rFonts w:cstheme="minorHAnsi"/>
        </w:rPr>
        <w:t xml:space="preserve"> (2012) </w:t>
      </w:r>
      <w:r w:rsidRPr="008D58FA">
        <w:rPr>
          <w:rFonts w:cstheme="minorHAnsi"/>
          <w:b/>
          <w:i/>
          <w:lang w:val="en"/>
        </w:rPr>
        <w:t>Guidance Regarding Methods for De-identification of Protected Health Information in Accordance with the Health Insurance Portability and Accountability Act (HIPAA) Privacy Rule</w:t>
      </w:r>
      <w:r>
        <w:rPr>
          <w:rFonts w:cstheme="minorHAnsi"/>
          <w:b/>
          <w:i/>
          <w:lang w:val="en"/>
        </w:rPr>
        <w:t xml:space="preserve">  (</w:t>
      </w:r>
      <w:hyperlink r:id="rId9" w:anchor="safeharborguidance" w:history="1">
        <w:r w:rsidRPr="00B57437">
          <w:rPr>
            <w:rStyle w:val="Hyperlink"/>
            <w:rFonts w:cstheme="minorHAnsi"/>
            <w:b/>
            <w:i/>
            <w:lang w:val="en"/>
          </w:rPr>
          <w:t>https://www.hhs.gov/hipaa/for-professionals/privacy/special-topics/de-identification/index.html#safeharborguidance</w:t>
        </w:r>
      </w:hyperlink>
      <w:r>
        <w:rPr>
          <w:rFonts w:cstheme="minorHAnsi"/>
          <w:b/>
          <w:i/>
          <w:lang w:val="en"/>
        </w:rPr>
        <w:t xml:space="preserve">) . </w:t>
      </w:r>
      <w:r>
        <w:rPr>
          <w:rFonts w:cstheme="minorHAnsi"/>
          <w:b/>
          <w:lang w:val="en"/>
        </w:rPr>
        <w:t xml:space="preserve">For a .pdf version, see </w:t>
      </w:r>
      <w:hyperlink r:id="rId10" w:history="1">
        <w:r w:rsidRPr="00B57437">
          <w:rPr>
            <w:rStyle w:val="Hyperlink"/>
            <w:rFonts w:cstheme="minorHAnsi"/>
            <w:b/>
            <w:lang w:val="en"/>
          </w:rPr>
          <w:t>https://www.hhs.gov/sites/default/files/ocr/privacy/hipaa/understanding/coveredentities/De-identification/hhs_deid_guidance.pdf</w:t>
        </w:r>
      </w:hyperlink>
    </w:p>
    <w:p w14:paraId="7E2E1CED" w14:textId="77777777" w:rsidR="00E171B7" w:rsidRDefault="00E171B7" w:rsidP="00E171B7">
      <w:pPr>
        <w:rPr>
          <w:rStyle w:val="Hyperlink"/>
          <w:rFonts w:cstheme="minorHAnsi"/>
          <w:b/>
          <w:lang w:val="en"/>
        </w:rPr>
      </w:pPr>
    </w:p>
    <w:p w14:paraId="4A18A5CF" w14:textId="77777777" w:rsidR="00E171B7" w:rsidRPr="008D58FA" w:rsidRDefault="00E171B7" w:rsidP="004A4CAD">
      <w:pPr>
        <w:pStyle w:val="Heading2"/>
        <w:rPr>
          <w:color w:val="000000"/>
          <w:lang w:val="en" w:eastAsia="en-CA"/>
        </w:rPr>
      </w:pPr>
      <w:r w:rsidRPr="008D58FA">
        <w:rPr>
          <w:lang w:val="en" w:eastAsia="en-CA"/>
        </w:rPr>
        <w:t>Guidance on Satisfying the Safe Harbor Method</w:t>
      </w:r>
    </w:p>
    <w:p w14:paraId="2E9DDDD4" w14:textId="77777777"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In §164.514(b), the Safe Harbor method for de-identification is defined as follows:</w:t>
      </w:r>
    </w:p>
    <w:p w14:paraId="7953C981" w14:textId="77777777"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(2)(</w:t>
      </w:r>
      <w:proofErr w:type="spellStart"/>
      <w:r w:rsidRPr="004A4CAD">
        <w:rPr>
          <w:rFonts w:eastAsia="Times New Roman"/>
          <w:color w:val="000000"/>
          <w:sz w:val="21"/>
          <w:szCs w:val="21"/>
          <w:lang w:val="en" w:eastAsia="en-CA"/>
        </w:rPr>
        <w:t>i</w:t>
      </w:r>
      <w:proofErr w:type="spellEnd"/>
      <w:r w:rsidRPr="004A4CAD">
        <w:rPr>
          <w:rFonts w:eastAsia="Times New Roman"/>
          <w:color w:val="000000"/>
          <w:sz w:val="21"/>
          <w:szCs w:val="21"/>
          <w:lang w:val="en" w:eastAsia="en-CA"/>
        </w:rPr>
        <w:t>) The following identifiers of the individual or of relatives, employers, or household members of the individual, are removed:</w:t>
      </w:r>
    </w:p>
    <w:p w14:paraId="1E66629C" w14:textId="77777777"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(A) Names</w:t>
      </w:r>
    </w:p>
    <w:p w14:paraId="58E1C12E" w14:textId="77777777"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(B) All geographic subdivisions smaller than a state, including street address, city, county, precinct, ZIP code, and their equivalent geocodes, except for the initial three digits of the ZIP code if, according to the current publicly available data from the Bureau of the Census:</w:t>
      </w:r>
      <w:r w:rsidRPr="004A4CAD">
        <w:rPr>
          <w:rFonts w:eastAsia="Times New Roman"/>
          <w:color w:val="000000"/>
          <w:sz w:val="21"/>
          <w:szCs w:val="21"/>
          <w:lang w:val="en" w:eastAsia="en-CA"/>
        </w:rPr>
        <w:br/>
        <w:t>(1) The geographic unit formed by combining all ZIP codes with the same three initial digits contains more than 20,000 people; and</w:t>
      </w:r>
      <w:r w:rsidRPr="004A4CAD">
        <w:rPr>
          <w:rFonts w:eastAsia="Times New Roman"/>
          <w:color w:val="000000"/>
          <w:sz w:val="21"/>
          <w:szCs w:val="21"/>
          <w:lang w:val="en" w:eastAsia="en-CA"/>
        </w:rPr>
        <w:br/>
        <w:t>(2) The initial three digits of a ZIP code for all such geographic units containing 20,000 or fewer people is changed to 000</w:t>
      </w:r>
    </w:p>
    <w:p w14:paraId="67BCD8A0" w14:textId="77777777"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(C) All elements of dates (except year) for dates that are directly related to an individual, including birth date, admission date, discharge date, death date, and all ages over 89 and all elements of dates (including year) indicative of such age, except that such ages and elements may be aggregated into a single category of age 90 or older</w:t>
      </w:r>
    </w:p>
    <w:p w14:paraId="52CF66F0" w14:textId="27198245"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(D) Telephone numbers</w:t>
      </w:r>
      <w:r w:rsidR="004A4CAD">
        <w:rPr>
          <w:rFonts w:eastAsia="Times New Roman"/>
          <w:color w:val="000000"/>
          <w:sz w:val="21"/>
          <w:szCs w:val="21"/>
          <w:lang w:val="en" w:eastAsia="en-CA"/>
        </w:rPr>
        <w:t xml:space="preserve">, Fax numbers, </w:t>
      </w:r>
      <w:r w:rsidR="004A4CAD" w:rsidRPr="004A4CAD">
        <w:rPr>
          <w:rFonts w:eastAsia="Times New Roman"/>
          <w:color w:val="000000"/>
          <w:sz w:val="21"/>
          <w:szCs w:val="21"/>
          <w:lang w:val="en" w:eastAsia="en-CA"/>
        </w:rPr>
        <w:t>Email addresses</w:t>
      </w:r>
      <w:r w:rsidR="004A4CAD">
        <w:rPr>
          <w:rFonts w:eastAsia="Times New Roman"/>
          <w:color w:val="000000"/>
          <w:sz w:val="21"/>
          <w:szCs w:val="21"/>
          <w:lang w:val="en" w:eastAsia="en-CA"/>
        </w:rPr>
        <w:t xml:space="preserve">, </w:t>
      </w:r>
      <w:r w:rsidR="004A4CAD" w:rsidRPr="004A4CAD">
        <w:rPr>
          <w:rFonts w:eastAsia="Times New Roman"/>
          <w:color w:val="000000"/>
          <w:sz w:val="21"/>
          <w:szCs w:val="21"/>
          <w:lang w:val="en" w:eastAsia="en-CA"/>
        </w:rPr>
        <w:t>Internet Protocol (IP) addresses</w:t>
      </w:r>
    </w:p>
    <w:p w14:paraId="78FA7571" w14:textId="4EC52437"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(L) Vehicle identifiers and serial numbers, including license plate numbers</w:t>
      </w:r>
    </w:p>
    <w:p w14:paraId="17B37123" w14:textId="5E1B3865"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(M) Device identifiers and serial numbers</w:t>
      </w:r>
    </w:p>
    <w:p w14:paraId="5A080CC0" w14:textId="77777777"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(N) Web Universal Resource Locators (URLs)</w:t>
      </w:r>
    </w:p>
    <w:p w14:paraId="4E0B3442" w14:textId="5695E3FD"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(G) Social security numbers</w:t>
      </w:r>
      <w:r w:rsidR="004A4CAD">
        <w:rPr>
          <w:rFonts w:eastAsia="Times New Roman"/>
          <w:color w:val="000000"/>
          <w:sz w:val="21"/>
          <w:szCs w:val="21"/>
          <w:lang w:val="en" w:eastAsia="en-CA"/>
        </w:rPr>
        <w:t xml:space="preserve">, </w:t>
      </w:r>
      <w:r w:rsidR="004A4CAD" w:rsidRPr="004A4CAD">
        <w:rPr>
          <w:rFonts w:eastAsia="Times New Roman"/>
          <w:color w:val="000000"/>
          <w:sz w:val="21"/>
          <w:szCs w:val="21"/>
          <w:lang w:val="en" w:eastAsia="en-CA"/>
        </w:rPr>
        <w:t>Medical record numbers</w:t>
      </w:r>
      <w:r w:rsidR="004A4CAD">
        <w:rPr>
          <w:rFonts w:eastAsia="Times New Roman"/>
          <w:color w:val="000000"/>
          <w:sz w:val="21"/>
          <w:szCs w:val="21"/>
          <w:lang w:val="en" w:eastAsia="en-CA"/>
        </w:rPr>
        <w:t xml:space="preserve">, </w:t>
      </w:r>
      <w:r w:rsidR="004A4CAD" w:rsidRPr="004A4CAD">
        <w:rPr>
          <w:rFonts w:eastAsia="Times New Roman"/>
          <w:color w:val="000000"/>
          <w:sz w:val="21"/>
          <w:szCs w:val="21"/>
          <w:lang w:val="en" w:eastAsia="en-CA"/>
        </w:rPr>
        <w:t>Account numbers</w:t>
      </w:r>
      <w:r w:rsidR="004A4CAD">
        <w:rPr>
          <w:rFonts w:eastAsia="Times New Roman"/>
          <w:color w:val="000000"/>
          <w:sz w:val="21"/>
          <w:szCs w:val="21"/>
          <w:lang w:val="en" w:eastAsia="en-CA"/>
        </w:rPr>
        <w:t xml:space="preserve">, </w:t>
      </w:r>
      <w:r w:rsidR="004A4CAD" w:rsidRPr="004A4CAD">
        <w:rPr>
          <w:rFonts w:eastAsia="Times New Roman"/>
          <w:color w:val="000000"/>
          <w:sz w:val="21"/>
          <w:szCs w:val="21"/>
          <w:lang w:val="en" w:eastAsia="en-CA"/>
        </w:rPr>
        <w:t>Health plan beneficiary numbers</w:t>
      </w:r>
    </w:p>
    <w:p w14:paraId="2E38F7BB" w14:textId="05ECBF3C"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(P) Biometric identifiers, including finger and voice prints</w:t>
      </w:r>
    </w:p>
    <w:p w14:paraId="2C71ACC2" w14:textId="4C95E41E"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(Q) Full-face photographs and any comparable images</w:t>
      </w:r>
    </w:p>
    <w:p w14:paraId="1FFD59EE" w14:textId="77777777"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(R) Any other unique identifying number, characteristic, or code, except as permitted by paragraph (c) of this section; and</w:t>
      </w:r>
    </w:p>
    <w:p w14:paraId="556FD5ED" w14:textId="77777777" w:rsidR="00E171B7" w:rsidRPr="004A4CAD" w:rsidRDefault="00E171B7" w:rsidP="00E171B7">
      <w:pPr>
        <w:shd w:val="clear" w:color="auto" w:fill="FFFFFF"/>
        <w:spacing w:after="150"/>
        <w:rPr>
          <w:rFonts w:eastAsia="Times New Roman"/>
          <w:color w:val="000000"/>
          <w:sz w:val="21"/>
          <w:szCs w:val="21"/>
          <w:lang w:val="en" w:eastAsia="en-CA"/>
        </w:rPr>
      </w:pPr>
      <w:r w:rsidRPr="004A4CAD">
        <w:rPr>
          <w:rFonts w:eastAsia="Times New Roman"/>
          <w:color w:val="000000"/>
          <w:sz w:val="21"/>
          <w:szCs w:val="21"/>
          <w:lang w:val="en" w:eastAsia="en-CA"/>
        </w:rPr>
        <w:t>(K) Certificate/license numbers</w:t>
      </w:r>
    </w:p>
    <w:p w14:paraId="3E6ED677" w14:textId="77777777" w:rsidR="00E171B7" w:rsidRPr="008D58FA" w:rsidRDefault="00E171B7" w:rsidP="00E171B7">
      <w:pPr>
        <w:shd w:val="clear" w:color="auto" w:fill="FFFFFF"/>
        <w:rPr>
          <w:rFonts w:ascii="Helvetica" w:eastAsia="Times New Roman" w:hAnsi="Helvetica" w:cs="Helvetica"/>
          <w:color w:val="000000"/>
          <w:sz w:val="21"/>
          <w:szCs w:val="21"/>
          <w:lang w:val="en" w:eastAsia="en-CA"/>
        </w:rPr>
      </w:pPr>
      <w:r w:rsidRPr="004A4CAD">
        <w:rPr>
          <w:rFonts w:eastAsia="Times New Roman"/>
          <w:color w:val="000000"/>
          <w:sz w:val="21"/>
          <w:szCs w:val="21"/>
          <w:lang w:val="en" w:eastAsia="en-CA"/>
        </w:rPr>
        <w:t>(ii) The covered entity does not have actual knowledge that the information could be used alone or in combination with other information to identify an individual who is a subject of the information</w:t>
      </w:r>
    </w:p>
    <w:p w14:paraId="39F881FF" w14:textId="77777777" w:rsidR="0020656E" w:rsidRPr="00003C0B" w:rsidRDefault="0020656E" w:rsidP="00003C0B">
      <w:pPr>
        <w:rPr>
          <w:rFonts w:ascii="Calibri" w:eastAsia="Times New Roman" w:hAnsi="Calibri"/>
          <w:sz w:val="22"/>
        </w:rPr>
      </w:pPr>
    </w:p>
    <w:p w14:paraId="3E78858D" w14:textId="77777777" w:rsidR="00B26A79" w:rsidRDefault="00B26A79">
      <w:pPr>
        <w:spacing w:after="160" w:line="259" w:lineRule="auto"/>
        <w:rPr>
          <w:rFonts w:asciiTheme="minorHAnsi" w:hAnsiTheme="minorHAnsi"/>
          <w:b/>
          <w:kern w:val="32"/>
          <w:sz w:val="28"/>
          <w:szCs w:val="20"/>
        </w:rPr>
        <w:sectPr w:rsidR="00B26A79">
          <w:pgSz w:w="12240" w:h="15840"/>
          <w:pgMar w:top="1440" w:right="1440" w:bottom="1440" w:left="1440" w:header="708" w:footer="708" w:gutter="0"/>
          <w:cols w:space="708"/>
          <w:docGrid w:linePitch="360"/>
        </w:sectPr>
      </w:pPr>
    </w:p>
    <w:p w14:paraId="30A8350F" w14:textId="77777777" w:rsidR="00B26A79" w:rsidRDefault="00B26A79">
      <w:pPr>
        <w:spacing w:after="160" w:line="259" w:lineRule="auto"/>
        <w:rPr>
          <w:rFonts w:asciiTheme="minorHAnsi" w:hAnsiTheme="minorHAnsi"/>
          <w:b/>
          <w:kern w:val="32"/>
          <w:sz w:val="28"/>
          <w:szCs w:val="20"/>
        </w:rPr>
      </w:pPr>
    </w:p>
    <w:p w14:paraId="40085B30" w14:textId="77777777" w:rsidR="00B26A79" w:rsidRDefault="00B26A79" w:rsidP="00B26A79">
      <w:pPr>
        <w:pStyle w:val="Heading1"/>
        <w:numPr>
          <w:ilvl w:val="0"/>
          <w:numId w:val="0"/>
        </w:numPr>
        <w:ind w:left="432"/>
      </w:pPr>
      <w:r>
        <w:t>Sample data flow diagram</w:t>
      </w:r>
    </w:p>
    <w:p w14:paraId="1B9F1901" w14:textId="77777777" w:rsidR="00B26A79" w:rsidRPr="00B26A79" w:rsidRDefault="00B26A79" w:rsidP="00B26A79"/>
    <w:p w14:paraId="418F09AA" w14:textId="77777777" w:rsidR="00B26A79" w:rsidRDefault="00B26A79" w:rsidP="00B26A79">
      <w:r>
        <w:rPr>
          <w:i/>
          <w:noProof/>
          <w:sz w:val="23"/>
          <w:szCs w:val="23"/>
        </w:rPr>
        <w:drawing>
          <wp:inline distT="0" distB="0" distL="0" distR="0" wp14:anchorId="27083D67" wp14:editId="02286D64">
            <wp:extent cx="8229600" cy="5688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flow diagram Smart Antibiogram - revised February 10 2017.jpg"/>
                    <pic:cNvPicPr/>
                  </pic:nvPicPr>
                  <pic:blipFill>
                    <a:blip r:embed="rId11">
                      <a:extLst>
                        <a:ext uri="{28A0092B-C50C-407E-A947-70E740481C1C}">
                          <a14:useLocalDpi xmlns:a14="http://schemas.microsoft.com/office/drawing/2010/main" val="0"/>
                        </a:ext>
                      </a:extLst>
                    </a:blip>
                    <a:stretch>
                      <a:fillRect/>
                    </a:stretch>
                  </pic:blipFill>
                  <pic:spPr>
                    <a:xfrm>
                      <a:off x="0" y="0"/>
                      <a:ext cx="8229600" cy="5688965"/>
                    </a:xfrm>
                    <a:prstGeom prst="rect">
                      <a:avLst/>
                    </a:prstGeom>
                  </pic:spPr>
                </pic:pic>
              </a:graphicData>
            </a:graphic>
          </wp:inline>
        </w:drawing>
      </w:r>
    </w:p>
    <w:p w14:paraId="2772917B" w14:textId="77777777" w:rsidR="00372A7F" w:rsidRDefault="00372A7F" w:rsidP="00B26A79"/>
    <w:p w14:paraId="7143E38A" w14:textId="77777777" w:rsidR="00372A7F" w:rsidRPr="00DD21EB" w:rsidRDefault="00372A7F" w:rsidP="00372A7F">
      <w:pPr>
        <w:tabs>
          <w:tab w:val="left" w:pos="1185"/>
        </w:tabs>
      </w:pPr>
      <w:r w:rsidRPr="00F100BF">
        <w:rPr>
          <w:b/>
        </w:rPr>
        <w:lastRenderedPageBreak/>
        <w:t xml:space="preserve">Table I.  </w:t>
      </w:r>
      <w:r w:rsidRPr="000578FA">
        <w:t>Creation of Analysis-Ready De-Identified Research Data Set in Island Health Data Disclosure Environment</w:t>
      </w:r>
    </w:p>
    <w:tbl>
      <w:tblPr>
        <w:tblStyle w:val="TableGrid"/>
        <w:tblW w:w="13357" w:type="dxa"/>
        <w:tblLook w:val="04A0" w:firstRow="1" w:lastRow="0" w:firstColumn="1" w:lastColumn="0" w:noHBand="0" w:noVBand="1"/>
      </w:tblPr>
      <w:tblGrid>
        <w:gridCol w:w="670"/>
        <w:gridCol w:w="7755"/>
        <w:gridCol w:w="4932"/>
      </w:tblGrid>
      <w:tr w:rsidR="00372A7F" w14:paraId="1A1B9652" w14:textId="77777777" w:rsidTr="00693FB2">
        <w:tc>
          <w:tcPr>
            <w:tcW w:w="626" w:type="dxa"/>
            <w:vMerge w:val="restart"/>
            <w:shd w:val="clear" w:color="auto" w:fill="DEEAF6" w:themeFill="accent1" w:themeFillTint="33"/>
            <w:vAlign w:val="bottom"/>
          </w:tcPr>
          <w:p w14:paraId="547D0664" w14:textId="77777777" w:rsidR="00372A7F" w:rsidRPr="006A76CD" w:rsidRDefault="00372A7F" w:rsidP="00693FB2">
            <w:pPr>
              <w:rPr>
                <w:b/>
              </w:rPr>
            </w:pPr>
            <w:r w:rsidRPr="006A76CD">
              <w:rPr>
                <w:b/>
              </w:rPr>
              <w:t>Step</w:t>
            </w:r>
          </w:p>
        </w:tc>
        <w:tc>
          <w:tcPr>
            <w:tcW w:w="7783" w:type="dxa"/>
            <w:vMerge w:val="restart"/>
            <w:shd w:val="clear" w:color="auto" w:fill="DEEAF6" w:themeFill="accent1" w:themeFillTint="33"/>
            <w:vAlign w:val="bottom"/>
          </w:tcPr>
          <w:p w14:paraId="5B6AFB79" w14:textId="77777777" w:rsidR="00372A7F" w:rsidRPr="006A76CD" w:rsidRDefault="00372A7F" w:rsidP="00693FB2">
            <w:pPr>
              <w:rPr>
                <w:b/>
              </w:rPr>
            </w:pPr>
            <w:r w:rsidRPr="006A76CD">
              <w:rPr>
                <w:b/>
              </w:rPr>
              <w:t>Activity</w:t>
            </w:r>
          </w:p>
        </w:tc>
        <w:tc>
          <w:tcPr>
            <w:tcW w:w="4948" w:type="dxa"/>
            <w:shd w:val="clear" w:color="auto" w:fill="DEEAF6" w:themeFill="accent1" w:themeFillTint="33"/>
          </w:tcPr>
          <w:p w14:paraId="323E464C" w14:textId="77777777" w:rsidR="00372A7F" w:rsidRPr="006A76CD" w:rsidRDefault="00372A7F" w:rsidP="00693FB2">
            <w:pPr>
              <w:jc w:val="center"/>
              <w:rPr>
                <w:b/>
              </w:rPr>
            </w:pPr>
            <w:r w:rsidRPr="006A76CD">
              <w:rPr>
                <w:b/>
              </w:rPr>
              <w:t>Parties Involved</w:t>
            </w:r>
          </w:p>
        </w:tc>
      </w:tr>
    </w:tbl>
    <w:tbl>
      <w:tblPr>
        <w:tblW w:w="13357" w:type="dxa"/>
        <w:tblLook w:val="04A0" w:firstRow="1" w:lastRow="0" w:firstColumn="1" w:lastColumn="0" w:noHBand="0" w:noVBand="1"/>
      </w:tblPr>
      <w:tblGrid>
        <w:gridCol w:w="625"/>
        <w:gridCol w:w="7760"/>
        <w:gridCol w:w="823"/>
        <w:gridCol w:w="824"/>
        <w:gridCol w:w="824"/>
        <w:gridCol w:w="824"/>
        <w:gridCol w:w="827"/>
        <w:gridCol w:w="850"/>
      </w:tblGrid>
      <w:tr w:rsidR="00372A7F" w14:paraId="7B4B9B92" w14:textId="77777777" w:rsidTr="00693FB2">
        <w:trPr>
          <w:trHeight w:val="431"/>
        </w:trPr>
        <w:tc>
          <w:tcPr>
            <w:tcW w:w="626" w:type="dxa"/>
            <w:vMerge/>
            <w:shd w:val="clear" w:color="auto" w:fill="DEEAF6" w:themeFill="accent1" w:themeFillTint="33"/>
          </w:tcPr>
          <w:p w14:paraId="2F6290EC" w14:textId="77777777" w:rsidR="00372A7F" w:rsidRPr="006A76CD" w:rsidRDefault="00372A7F" w:rsidP="00693FB2">
            <w:pPr>
              <w:rPr>
                <w:b/>
              </w:rPr>
            </w:pPr>
          </w:p>
        </w:tc>
        <w:tc>
          <w:tcPr>
            <w:tcW w:w="7783" w:type="dxa"/>
            <w:vMerge/>
            <w:shd w:val="clear" w:color="auto" w:fill="DEEAF6" w:themeFill="accent1" w:themeFillTint="33"/>
          </w:tcPr>
          <w:p w14:paraId="735E6BFF" w14:textId="77777777" w:rsidR="00372A7F" w:rsidRPr="006A76CD" w:rsidRDefault="00372A7F" w:rsidP="00693FB2">
            <w:pPr>
              <w:rPr>
                <w:b/>
              </w:rPr>
            </w:pPr>
          </w:p>
        </w:tc>
        <w:tc>
          <w:tcPr>
            <w:tcW w:w="824" w:type="dxa"/>
            <w:shd w:val="clear" w:color="auto" w:fill="DEEAF6" w:themeFill="accent1" w:themeFillTint="33"/>
            <w:vAlign w:val="bottom"/>
          </w:tcPr>
          <w:p w14:paraId="086213AB" w14:textId="77777777" w:rsidR="00372A7F" w:rsidRPr="006A76CD" w:rsidRDefault="00372A7F" w:rsidP="00693FB2">
            <w:pPr>
              <w:jc w:val="center"/>
              <w:rPr>
                <w:b/>
                <w:sz w:val="20"/>
              </w:rPr>
            </w:pPr>
            <w:r w:rsidRPr="006A76CD">
              <w:rPr>
                <w:b/>
                <w:sz w:val="20"/>
              </w:rPr>
              <w:t>IH DW Staff</w:t>
            </w:r>
          </w:p>
        </w:tc>
        <w:tc>
          <w:tcPr>
            <w:tcW w:w="825" w:type="dxa"/>
            <w:shd w:val="clear" w:color="auto" w:fill="DEEAF6" w:themeFill="accent1" w:themeFillTint="33"/>
            <w:vAlign w:val="bottom"/>
          </w:tcPr>
          <w:p w14:paraId="35994EAE" w14:textId="77777777" w:rsidR="00372A7F" w:rsidRPr="006A76CD" w:rsidRDefault="00372A7F" w:rsidP="00693FB2">
            <w:pPr>
              <w:jc w:val="center"/>
              <w:rPr>
                <w:b/>
                <w:sz w:val="20"/>
              </w:rPr>
            </w:pPr>
            <w:r w:rsidRPr="006A76CD">
              <w:rPr>
                <w:b/>
                <w:sz w:val="20"/>
              </w:rPr>
              <w:t>IH Dir ACR</w:t>
            </w:r>
          </w:p>
        </w:tc>
        <w:tc>
          <w:tcPr>
            <w:tcW w:w="825" w:type="dxa"/>
            <w:shd w:val="clear" w:color="auto" w:fill="DEEAF6" w:themeFill="accent1" w:themeFillTint="33"/>
            <w:vAlign w:val="bottom"/>
          </w:tcPr>
          <w:p w14:paraId="556C2E98" w14:textId="77777777" w:rsidR="00372A7F" w:rsidRPr="006A76CD" w:rsidRDefault="00372A7F" w:rsidP="00693FB2">
            <w:pPr>
              <w:jc w:val="center"/>
              <w:rPr>
                <w:b/>
                <w:sz w:val="20"/>
              </w:rPr>
            </w:pPr>
            <w:r w:rsidRPr="006A76CD">
              <w:rPr>
                <w:b/>
                <w:sz w:val="20"/>
              </w:rPr>
              <w:t>HI Res</w:t>
            </w:r>
          </w:p>
        </w:tc>
        <w:tc>
          <w:tcPr>
            <w:tcW w:w="824" w:type="dxa"/>
            <w:shd w:val="clear" w:color="auto" w:fill="DEEAF6" w:themeFill="accent1" w:themeFillTint="33"/>
            <w:vAlign w:val="bottom"/>
          </w:tcPr>
          <w:p w14:paraId="32445EB4" w14:textId="77777777" w:rsidR="00372A7F" w:rsidRPr="006A76CD" w:rsidRDefault="00372A7F" w:rsidP="00693FB2">
            <w:pPr>
              <w:jc w:val="center"/>
              <w:rPr>
                <w:b/>
                <w:sz w:val="20"/>
              </w:rPr>
            </w:pPr>
            <w:r w:rsidRPr="006A76CD">
              <w:rPr>
                <w:b/>
                <w:sz w:val="20"/>
              </w:rPr>
              <w:t>UVIC Res</w:t>
            </w:r>
          </w:p>
        </w:tc>
        <w:tc>
          <w:tcPr>
            <w:tcW w:w="825" w:type="dxa"/>
            <w:shd w:val="clear" w:color="auto" w:fill="DEEAF6" w:themeFill="accent1" w:themeFillTint="33"/>
            <w:vAlign w:val="bottom"/>
          </w:tcPr>
          <w:p w14:paraId="03F1DEEF" w14:textId="77777777" w:rsidR="00372A7F" w:rsidRPr="006A76CD" w:rsidRDefault="00372A7F" w:rsidP="00693FB2">
            <w:pPr>
              <w:jc w:val="center"/>
              <w:rPr>
                <w:b/>
                <w:sz w:val="20"/>
              </w:rPr>
            </w:pPr>
            <w:r w:rsidRPr="006A76CD">
              <w:rPr>
                <w:b/>
                <w:sz w:val="20"/>
              </w:rPr>
              <w:t>Cerner Res</w:t>
            </w:r>
          </w:p>
        </w:tc>
        <w:tc>
          <w:tcPr>
            <w:tcW w:w="825" w:type="dxa"/>
            <w:shd w:val="clear" w:color="auto" w:fill="DEEAF6" w:themeFill="accent1" w:themeFillTint="33"/>
            <w:vAlign w:val="bottom"/>
          </w:tcPr>
          <w:p w14:paraId="71022B7F" w14:textId="77777777" w:rsidR="00372A7F" w:rsidRPr="006A76CD" w:rsidRDefault="00372A7F" w:rsidP="00693FB2">
            <w:pPr>
              <w:tabs>
                <w:tab w:val="left" w:pos="321"/>
              </w:tabs>
              <w:jc w:val="center"/>
              <w:rPr>
                <w:b/>
                <w:sz w:val="20"/>
              </w:rPr>
            </w:pPr>
            <w:proofErr w:type="spellStart"/>
            <w:r w:rsidRPr="006A76CD">
              <w:rPr>
                <w:b/>
                <w:sz w:val="20"/>
              </w:rPr>
              <w:t>O’sight</w:t>
            </w:r>
            <w:proofErr w:type="spellEnd"/>
            <w:r w:rsidRPr="006A76CD">
              <w:rPr>
                <w:b/>
                <w:sz w:val="20"/>
              </w:rPr>
              <w:t xml:space="preserve"> Group</w:t>
            </w:r>
          </w:p>
        </w:tc>
      </w:tr>
    </w:tbl>
    <w:tbl>
      <w:tblPr>
        <w:tblStyle w:val="TableGrid"/>
        <w:tblW w:w="13357" w:type="dxa"/>
        <w:tblLook w:val="04A0" w:firstRow="1" w:lastRow="0" w:firstColumn="1" w:lastColumn="0" w:noHBand="0" w:noVBand="1"/>
      </w:tblPr>
      <w:tblGrid>
        <w:gridCol w:w="626"/>
        <w:gridCol w:w="7783"/>
        <w:gridCol w:w="824"/>
        <w:gridCol w:w="825"/>
        <w:gridCol w:w="825"/>
        <w:gridCol w:w="824"/>
        <w:gridCol w:w="825"/>
        <w:gridCol w:w="825"/>
      </w:tblGrid>
      <w:tr w:rsidR="00372A7F" w14:paraId="5C64C409" w14:textId="77777777" w:rsidTr="00693FB2">
        <w:tc>
          <w:tcPr>
            <w:tcW w:w="626" w:type="dxa"/>
            <w:vAlign w:val="center"/>
          </w:tcPr>
          <w:p w14:paraId="1E9C3ABC" w14:textId="77777777" w:rsidR="00372A7F" w:rsidRDefault="00372A7F" w:rsidP="00693FB2">
            <w:pPr>
              <w:jc w:val="center"/>
            </w:pPr>
            <w:r>
              <w:t>1</w:t>
            </w:r>
          </w:p>
        </w:tc>
        <w:tc>
          <w:tcPr>
            <w:tcW w:w="7783" w:type="dxa"/>
          </w:tcPr>
          <w:p w14:paraId="6A85FA2A" w14:textId="77777777" w:rsidR="00372A7F" w:rsidRDefault="00372A7F" w:rsidP="00693FB2">
            <w:r>
              <w:t>EDW attaches fully anonymized identifier to information coming into the data warehouse from Island Health source data systems and removes Direct Identifiers.  EDW retains the key to enable re-identification of data but never discloses to Researchers. Research data are drawn from this larger body of anonymized data in the EDW.</w:t>
            </w:r>
          </w:p>
        </w:tc>
        <w:tc>
          <w:tcPr>
            <w:tcW w:w="824" w:type="dxa"/>
            <w:vAlign w:val="center"/>
          </w:tcPr>
          <w:p w14:paraId="30DAFC1E" w14:textId="77777777" w:rsidR="00372A7F" w:rsidRDefault="00372A7F" w:rsidP="00693FB2">
            <w:pPr>
              <w:jc w:val="center"/>
            </w:pPr>
            <w:r>
              <w:t>Perf</w:t>
            </w:r>
          </w:p>
        </w:tc>
        <w:tc>
          <w:tcPr>
            <w:tcW w:w="825" w:type="dxa"/>
            <w:vAlign w:val="center"/>
          </w:tcPr>
          <w:p w14:paraId="5C06E316" w14:textId="77777777" w:rsidR="00372A7F" w:rsidRDefault="00372A7F" w:rsidP="00693FB2">
            <w:pPr>
              <w:jc w:val="center"/>
            </w:pPr>
          </w:p>
        </w:tc>
        <w:tc>
          <w:tcPr>
            <w:tcW w:w="825" w:type="dxa"/>
            <w:vAlign w:val="center"/>
          </w:tcPr>
          <w:p w14:paraId="0F42BB2E" w14:textId="77777777" w:rsidR="00372A7F" w:rsidRDefault="00372A7F" w:rsidP="00693FB2">
            <w:pPr>
              <w:jc w:val="center"/>
            </w:pPr>
          </w:p>
        </w:tc>
        <w:tc>
          <w:tcPr>
            <w:tcW w:w="824" w:type="dxa"/>
            <w:vAlign w:val="center"/>
          </w:tcPr>
          <w:p w14:paraId="0E1394AD" w14:textId="77777777" w:rsidR="00372A7F" w:rsidRDefault="00372A7F" w:rsidP="00693FB2">
            <w:pPr>
              <w:jc w:val="center"/>
            </w:pPr>
          </w:p>
        </w:tc>
        <w:tc>
          <w:tcPr>
            <w:tcW w:w="825" w:type="dxa"/>
            <w:vAlign w:val="center"/>
          </w:tcPr>
          <w:p w14:paraId="203B76D5" w14:textId="77777777" w:rsidR="00372A7F" w:rsidRDefault="00372A7F" w:rsidP="00693FB2">
            <w:pPr>
              <w:jc w:val="center"/>
            </w:pPr>
          </w:p>
        </w:tc>
        <w:tc>
          <w:tcPr>
            <w:tcW w:w="825" w:type="dxa"/>
            <w:vAlign w:val="center"/>
          </w:tcPr>
          <w:p w14:paraId="244A95E2" w14:textId="77777777" w:rsidR="00372A7F" w:rsidRDefault="00372A7F" w:rsidP="00693FB2">
            <w:pPr>
              <w:jc w:val="center"/>
            </w:pPr>
          </w:p>
        </w:tc>
      </w:tr>
      <w:tr w:rsidR="00372A7F" w14:paraId="47BA81B6" w14:textId="77777777" w:rsidTr="00693FB2">
        <w:tc>
          <w:tcPr>
            <w:tcW w:w="626" w:type="dxa"/>
            <w:vAlign w:val="center"/>
          </w:tcPr>
          <w:p w14:paraId="20C16B4F" w14:textId="77777777" w:rsidR="00372A7F" w:rsidRDefault="00372A7F" w:rsidP="00693FB2">
            <w:pPr>
              <w:jc w:val="center"/>
            </w:pPr>
            <w:r>
              <w:t>2</w:t>
            </w:r>
          </w:p>
        </w:tc>
        <w:tc>
          <w:tcPr>
            <w:tcW w:w="7783" w:type="dxa"/>
          </w:tcPr>
          <w:p w14:paraId="373E679A" w14:textId="77777777" w:rsidR="00372A7F" w:rsidRDefault="00372A7F" w:rsidP="00693FB2">
            <w:r>
              <w:t xml:space="preserve">Supply EDW team with detailed data requirements for research, reflecting research questions, proposed analyses and data requirements as delineated in research protocol.  </w:t>
            </w:r>
          </w:p>
        </w:tc>
        <w:tc>
          <w:tcPr>
            <w:tcW w:w="824" w:type="dxa"/>
            <w:vAlign w:val="center"/>
          </w:tcPr>
          <w:p w14:paraId="701957BC" w14:textId="77777777" w:rsidR="00372A7F" w:rsidRDefault="00372A7F" w:rsidP="00693FB2">
            <w:pPr>
              <w:jc w:val="center"/>
            </w:pPr>
          </w:p>
        </w:tc>
        <w:tc>
          <w:tcPr>
            <w:tcW w:w="825" w:type="dxa"/>
            <w:vAlign w:val="center"/>
          </w:tcPr>
          <w:p w14:paraId="1747AA81" w14:textId="77777777" w:rsidR="00372A7F" w:rsidRDefault="00372A7F" w:rsidP="00693FB2">
            <w:pPr>
              <w:jc w:val="center"/>
            </w:pPr>
            <w:r>
              <w:t>Perf</w:t>
            </w:r>
          </w:p>
        </w:tc>
        <w:tc>
          <w:tcPr>
            <w:tcW w:w="825" w:type="dxa"/>
            <w:vAlign w:val="center"/>
          </w:tcPr>
          <w:p w14:paraId="3364DD39" w14:textId="77777777" w:rsidR="00372A7F" w:rsidRDefault="00372A7F" w:rsidP="00693FB2">
            <w:pPr>
              <w:jc w:val="center"/>
            </w:pPr>
            <w:r>
              <w:t>Perf</w:t>
            </w:r>
          </w:p>
        </w:tc>
        <w:tc>
          <w:tcPr>
            <w:tcW w:w="824" w:type="dxa"/>
            <w:vAlign w:val="center"/>
          </w:tcPr>
          <w:p w14:paraId="3F879CB0" w14:textId="77777777" w:rsidR="00372A7F" w:rsidRDefault="00372A7F" w:rsidP="00693FB2">
            <w:pPr>
              <w:jc w:val="center"/>
            </w:pPr>
            <w:r>
              <w:t>Perf</w:t>
            </w:r>
          </w:p>
        </w:tc>
        <w:tc>
          <w:tcPr>
            <w:tcW w:w="825" w:type="dxa"/>
            <w:vAlign w:val="center"/>
          </w:tcPr>
          <w:p w14:paraId="5092E2A1" w14:textId="77777777" w:rsidR="00372A7F" w:rsidRDefault="00372A7F" w:rsidP="00693FB2">
            <w:pPr>
              <w:jc w:val="center"/>
            </w:pPr>
            <w:r>
              <w:t>Perf</w:t>
            </w:r>
          </w:p>
        </w:tc>
        <w:tc>
          <w:tcPr>
            <w:tcW w:w="825" w:type="dxa"/>
            <w:vAlign w:val="center"/>
          </w:tcPr>
          <w:p w14:paraId="2E0D1A66" w14:textId="77777777" w:rsidR="00372A7F" w:rsidRDefault="00372A7F" w:rsidP="00693FB2">
            <w:pPr>
              <w:jc w:val="center"/>
            </w:pPr>
          </w:p>
        </w:tc>
      </w:tr>
      <w:tr w:rsidR="00372A7F" w14:paraId="2F6B86CA" w14:textId="77777777" w:rsidTr="00693FB2">
        <w:tc>
          <w:tcPr>
            <w:tcW w:w="626" w:type="dxa"/>
            <w:vAlign w:val="center"/>
          </w:tcPr>
          <w:p w14:paraId="590F07F8" w14:textId="77777777" w:rsidR="00372A7F" w:rsidRDefault="00372A7F" w:rsidP="00693FB2">
            <w:pPr>
              <w:jc w:val="center"/>
            </w:pPr>
            <w:r>
              <w:t>3</w:t>
            </w:r>
          </w:p>
        </w:tc>
        <w:tc>
          <w:tcPr>
            <w:tcW w:w="7783" w:type="dxa"/>
          </w:tcPr>
          <w:p w14:paraId="30B1A1AB" w14:textId="77777777" w:rsidR="00372A7F" w:rsidRDefault="00372A7F" w:rsidP="00693FB2">
            <w:r w:rsidRPr="00291E12">
              <w:t xml:space="preserve">Generate </w:t>
            </w:r>
            <w:r>
              <w:t>SQL</w:t>
            </w:r>
            <w:r w:rsidRPr="00291E12">
              <w:t xml:space="preserve"> </w:t>
            </w:r>
            <w:r>
              <w:t xml:space="preserve">queries </w:t>
            </w:r>
            <w:r w:rsidRPr="00291E12">
              <w:t>to create a delimited body of data elements that are required to address the research questions &amp; carry out research modeling activities.</w:t>
            </w:r>
          </w:p>
        </w:tc>
        <w:tc>
          <w:tcPr>
            <w:tcW w:w="824" w:type="dxa"/>
            <w:vAlign w:val="center"/>
          </w:tcPr>
          <w:p w14:paraId="2993D82B" w14:textId="77777777" w:rsidR="00372A7F" w:rsidRDefault="00372A7F" w:rsidP="00693FB2">
            <w:pPr>
              <w:jc w:val="center"/>
            </w:pPr>
            <w:r>
              <w:t>Perf</w:t>
            </w:r>
          </w:p>
        </w:tc>
        <w:tc>
          <w:tcPr>
            <w:tcW w:w="825" w:type="dxa"/>
            <w:vAlign w:val="center"/>
          </w:tcPr>
          <w:p w14:paraId="27D8A232" w14:textId="77777777" w:rsidR="00372A7F" w:rsidRDefault="00372A7F" w:rsidP="00693FB2">
            <w:pPr>
              <w:jc w:val="center"/>
            </w:pPr>
            <w:r>
              <w:t>C/A</w:t>
            </w:r>
          </w:p>
        </w:tc>
        <w:tc>
          <w:tcPr>
            <w:tcW w:w="825" w:type="dxa"/>
            <w:vAlign w:val="center"/>
          </w:tcPr>
          <w:p w14:paraId="3CD310F6" w14:textId="77777777" w:rsidR="00372A7F" w:rsidRDefault="00372A7F" w:rsidP="00693FB2">
            <w:pPr>
              <w:jc w:val="center"/>
            </w:pPr>
            <w:r>
              <w:t>C/A</w:t>
            </w:r>
          </w:p>
        </w:tc>
        <w:tc>
          <w:tcPr>
            <w:tcW w:w="824" w:type="dxa"/>
            <w:vAlign w:val="center"/>
          </w:tcPr>
          <w:p w14:paraId="083E7B12" w14:textId="77777777" w:rsidR="00372A7F" w:rsidRDefault="00372A7F" w:rsidP="00693FB2">
            <w:pPr>
              <w:jc w:val="center"/>
            </w:pPr>
            <w:r>
              <w:t>C/A</w:t>
            </w:r>
          </w:p>
        </w:tc>
        <w:tc>
          <w:tcPr>
            <w:tcW w:w="825" w:type="dxa"/>
            <w:vAlign w:val="center"/>
          </w:tcPr>
          <w:p w14:paraId="600422E0" w14:textId="77777777" w:rsidR="00372A7F" w:rsidRDefault="00372A7F" w:rsidP="00693FB2">
            <w:pPr>
              <w:jc w:val="center"/>
            </w:pPr>
            <w:r>
              <w:t>C/A</w:t>
            </w:r>
          </w:p>
        </w:tc>
        <w:tc>
          <w:tcPr>
            <w:tcW w:w="825" w:type="dxa"/>
            <w:vAlign w:val="center"/>
          </w:tcPr>
          <w:p w14:paraId="19BAD434" w14:textId="77777777" w:rsidR="00372A7F" w:rsidRDefault="00372A7F" w:rsidP="00693FB2">
            <w:pPr>
              <w:jc w:val="center"/>
            </w:pPr>
          </w:p>
        </w:tc>
      </w:tr>
      <w:tr w:rsidR="00372A7F" w14:paraId="059D2F9C" w14:textId="77777777" w:rsidTr="00693FB2">
        <w:tc>
          <w:tcPr>
            <w:tcW w:w="626" w:type="dxa"/>
            <w:vAlign w:val="center"/>
          </w:tcPr>
          <w:p w14:paraId="4B1EBA31" w14:textId="77777777" w:rsidR="00372A7F" w:rsidRDefault="00372A7F" w:rsidP="00693FB2">
            <w:pPr>
              <w:jc w:val="center"/>
            </w:pPr>
            <w:r>
              <w:t>4</w:t>
            </w:r>
          </w:p>
        </w:tc>
        <w:tc>
          <w:tcPr>
            <w:tcW w:w="7783" w:type="dxa"/>
          </w:tcPr>
          <w:p w14:paraId="74D9B63A" w14:textId="77777777" w:rsidR="00372A7F" w:rsidRDefault="00372A7F" w:rsidP="00693FB2">
            <w:r w:rsidRPr="00566EEF">
              <w:t xml:space="preserve">Validate that SQL queries have correctly translated documented data requirements with holdings in the </w:t>
            </w:r>
            <w:r>
              <w:t>EDW</w:t>
            </w:r>
            <w:r w:rsidRPr="00566EEF">
              <w:t>.</w:t>
            </w:r>
          </w:p>
        </w:tc>
        <w:tc>
          <w:tcPr>
            <w:tcW w:w="824" w:type="dxa"/>
            <w:vAlign w:val="center"/>
          </w:tcPr>
          <w:p w14:paraId="5F30B366" w14:textId="77777777" w:rsidR="00372A7F" w:rsidRDefault="00372A7F" w:rsidP="00693FB2">
            <w:pPr>
              <w:jc w:val="center"/>
            </w:pPr>
            <w:r>
              <w:t>Perf</w:t>
            </w:r>
          </w:p>
        </w:tc>
        <w:tc>
          <w:tcPr>
            <w:tcW w:w="825" w:type="dxa"/>
            <w:vAlign w:val="center"/>
          </w:tcPr>
          <w:p w14:paraId="6A5F3249" w14:textId="77777777" w:rsidR="00372A7F" w:rsidRDefault="00372A7F" w:rsidP="00693FB2">
            <w:pPr>
              <w:jc w:val="center"/>
            </w:pPr>
            <w:r>
              <w:t>Perf</w:t>
            </w:r>
          </w:p>
        </w:tc>
        <w:tc>
          <w:tcPr>
            <w:tcW w:w="825" w:type="dxa"/>
            <w:vAlign w:val="center"/>
          </w:tcPr>
          <w:p w14:paraId="6118F961" w14:textId="77777777" w:rsidR="00372A7F" w:rsidRDefault="00372A7F" w:rsidP="00693FB2">
            <w:pPr>
              <w:jc w:val="center"/>
            </w:pPr>
            <w:r>
              <w:t>Perf</w:t>
            </w:r>
          </w:p>
        </w:tc>
        <w:tc>
          <w:tcPr>
            <w:tcW w:w="824" w:type="dxa"/>
            <w:vAlign w:val="center"/>
          </w:tcPr>
          <w:p w14:paraId="1623D66F" w14:textId="77777777" w:rsidR="00372A7F" w:rsidRDefault="00372A7F" w:rsidP="00693FB2">
            <w:pPr>
              <w:jc w:val="center"/>
            </w:pPr>
            <w:r>
              <w:t>Perf</w:t>
            </w:r>
          </w:p>
        </w:tc>
        <w:tc>
          <w:tcPr>
            <w:tcW w:w="825" w:type="dxa"/>
            <w:vAlign w:val="center"/>
          </w:tcPr>
          <w:p w14:paraId="77E60BC8" w14:textId="77777777" w:rsidR="00372A7F" w:rsidRDefault="00372A7F" w:rsidP="00693FB2">
            <w:pPr>
              <w:jc w:val="center"/>
            </w:pPr>
            <w:r>
              <w:t>Perf</w:t>
            </w:r>
          </w:p>
        </w:tc>
        <w:tc>
          <w:tcPr>
            <w:tcW w:w="825" w:type="dxa"/>
            <w:vAlign w:val="center"/>
          </w:tcPr>
          <w:p w14:paraId="4F5EDEFB" w14:textId="77777777" w:rsidR="00372A7F" w:rsidRDefault="00372A7F" w:rsidP="00693FB2">
            <w:pPr>
              <w:jc w:val="center"/>
            </w:pPr>
          </w:p>
        </w:tc>
      </w:tr>
      <w:tr w:rsidR="00372A7F" w14:paraId="46D8C689" w14:textId="77777777" w:rsidTr="00693FB2">
        <w:tc>
          <w:tcPr>
            <w:tcW w:w="626" w:type="dxa"/>
            <w:vAlign w:val="center"/>
          </w:tcPr>
          <w:p w14:paraId="7A3820C7" w14:textId="77777777" w:rsidR="00372A7F" w:rsidRDefault="00372A7F" w:rsidP="00693FB2">
            <w:pPr>
              <w:jc w:val="center"/>
            </w:pPr>
            <w:r>
              <w:t>5</w:t>
            </w:r>
          </w:p>
        </w:tc>
        <w:tc>
          <w:tcPr>
            <w:tcW w:w="7783" w:type="dxa"/>
          </w:tcPr>
          <w:p w14:paraId="564E5978" w14:textId="77777777" w:rsidR="00372A7F" w:rsidRDefault="00372A7F" w:rsidP="00693FB2">
            <w:r w:rsidRPr="00291E12">
              <w:t xml:space="preserve">Execute </w:t>
            </w:r>
            <w:r>
              <w:t>SQL queries</w:t>
            </w:r>
            <w:r w:rsidRPr="00291E12">
              <w:t xml:space="preserve"> to create a copy of required data elements in a secure database inside the Island Health firewall.</w:t>
            </w:r>
          </w:p>
        </w:tc>
        <w:tc>
          <w:tcPr>
            <w:tcW w:w="824" w:type="dxa"/>
            <w:vAlign w:val="center"/>
          </w:tcPr>
          <w:p w14:paraId="16CB2F15" w14:textId="77777777" w:rsidR="00372A7F" w:rsidRDefault="00372A7F" w:rsidP="00693FB2">
            <w:pPr>
              <w:jc w:val="center"/>
            </w:pPr>
            <w:r>
              <w:t>Perf</w:t>
            </w:r>
          </w:p>
        </w:tc>
        <w:tc>
          <w:tcPr>
            <w:tcW w:w="825" w:type="dxa"/>
            <w:vAlign w:val="center"/>
          </w:tcPr>
          <w:p w14:paraId="0BD9EDFB" w14:textId="77777777" w:rsidR="00372A7F" w:rsidRDefault="00372A7F" w:rsidP="00693FB2">
            <w:pPr>
              <w:jc w:val="center"/>
            </w:pPr>
          </w:p>
        </w:tc>
        <w:tc>
          <w:tcPr>
            <w:tcW w:w="825" w:type="dxa"/>
            <w:vAlign w:val="center"/>
          </w:tcPr>
          <w:p w14:paraId="428B763F" w14:textId="77777777" w:rsidR="00372A7F" w:rsidRDefault="00372A7F" w:rsidP="00693FB2">
            <w:pPr>
              <w:jc w:val="center"/>
            </w:pPr>
          </w:p>
        </w:tc>
        <w:tc>
          <w:tcPr>
            <w:tcW w:w="824" w:type="dxa"/>
            <w:vAlign w:val="center"/>
          </w:tcPr>
          <w:p w14:paraId="7B443456" w14:textId="77777777" w:rsidR="00372A7F" w:rsidRDefault="00372A7F" w:rsidP="00693FB2">
            <w:pPr>
              <w:jc w:val="center"/>
            </w:pPr>
          </w:p>
        </w:tc>
        <w:tc>
          <w:tcPr>
            <w:tcW w:w="825" w:type="dxa"/>
            <w:vAlign w:val="center"/>
          </w:tcPr>
          <w:p w14:paraId="0298C533" w14:textId="77777777" w:rsidR="00372A7F" w:rsidRDefault="00372A7F" w:rsidP="00693FB2">
            <w:pPr>
              <w:jc w:val="center"/>
            </w:pPr>
          </w:p>
        </w:tc>
        <w:tc>
          <w:tcPr>
            <w:tcW w:w="825" w:type="dxa"/>
            <w:vAlign w:val="center"/>
          </w:tcPr>
          <w:p w14:paraId="39D1F60B" w14:textId="77777777" w:rsidR="00372A7F" w:rsidRDefault="00372A7F" w:rsidP="00693FB2">
            <w:pPr>
              <w:jc w:val="center"/>
            </w:pPr>
          </w:p>
        </w:tc>
      </w:tr>
      <w:tr w:rsidR="00372A7F" w14:paraId="3FCDE240" w14:textId="77777777" w:rsidTr="00693FB2">
        <w:tc>
          <w:tcPr>
            <w:tcW w:w="626" w:type="dxa"/>
            <w:vAlign w:val="center"/>
          </w:tcPr>
          <w:p w14:paraId="05454BA4" w14:textId="77777777" w:rsidR="00372A7F" w:rsidRDefault="00372A7F" w:rsidP="00693FB2">
            <w:pPr>
              <w:jc w:val="center"/>
            </w:pPr>
            <w:r>
              <w:t>6</w:t>
            </w:r>
          </w:p>
        </w:tc>
        <w:tc>
          <w:tcPr>
            <w:tcW w:w="7783" w:type="dxa"/>
          </w:tcPr>
          <w:p w14:paraId="4E738C33" w14:textId="77777777" w:rsidR="00372A7F" w:rsidRDefault="00372A7F" w:rsidP="00693FB2">
            <w:r>
              <w:t>Replace anonymized EDW identifier with a fully anonymized study-specific ID. EDW retains the key to enable linking of research data with other contents in the EDW.</w:t>
            </w:r>
          </w:p>
        </w:tc>
        <w:tc>
          <w:tcPr>
            <w:tcW w:w="824" w:type="dxa"/>
            <w:vAlign w:val="center"/>
          </w:tcPr>
          <w:p w14:paraId="41D64E27" w14:textId="77777777" w:rsidR="00372A7F" w:rsidRDefault="00372A7F" w:rsidP="00693FB2">
            <w:pPr>
              <w:jc w:val="center"/>
            </w:pPr>
            <w:r>
              <w:t>Perf</w:t>
            </w:r>
          </w:p>
        </w:tc>
        <w:tc>
          <w:tcPr>
            <w:tcW w:w="825" w:type="dxa"/>
            <w:vAlign w:val="center"/>
          </w:tcPr>
          <w:p w14:paraId="55810EE6" w14:textId="77777777" w:rsidR="00372A7F" w:rsidRDefault="00372A7F" w:rsidP="00693FB2">
            <w:pPr>
              <w:jc w:val="center"/>
            </w:pPr>
          </w:p>
        </w:tc>
        <w:tc>
          <w:tcPr>
            <w:tcW w:w="825" w:type="dxa"/>
            <w:vAlign w:val="center"/>
          </w:tcPr>
          <w:p w14:paraId="53257A80" w14:textId="77777777" w:rsidR="00372A7F" w:rsidRDefault="00372A7F" w:rsidP="00693FB2">
            <w:pPr>
              <w:jc w:val="center"/>
            </w:pPr>
          </w:p>
        </w:tc>
        <w:tc>
          <w:tcPr>
            <w:tcW w:w="824" w:type="dxa"/>
            <w:vAlign w:val="center"/>
          </w:tcPr>
          <w:p w14:paraId="5FD95E62" w14:textId="77777777" w:rsidR="00372A7F" w:rsidRDefault="00372A7F" w:rsidP="00693FB2">
            <w:pPr>
              <w:jc w:val="center"/>
            </w:pPr>
          </w:p>
        </w:tc>
        <w:tc>
          <w:tcPr>
            <w:tcW w:w="825" w:type="dxa"/>
            <w:vAlign w:val="center"/>
          </w:tcPr>
          <w:p w14:paraId="3106C64C" w14:textId="77777777" w:rsidR="00372A7F" w:rsidRDefault="00372A7F" w:rsidP="00693FB2">
            <w:pPr>
              <w:jc w:val="center"/>
            </w:pPr>
          </w:p>
        </w:tc>
        <w:tc>
          <w:tcPr>
            <w:tcW w:w="825" w:type="dxa"/>
            <w:vAlign w:val="center"/>
          </w:tcPr>
          <w:p w14:paraId="6BF20C47" w14:textId="77777777" w:rsidR="00372A7F" w:rsidRDefault="00372A7F" w:rsidP="00693FB2">
            <w:pPr>
              <w:jc w:val="center"/>
            </w:pPr>
          </w:p>
        </w:tc>
      </w:tr>
      <w:tr w:rsidR="00372A7F" w14:paraId="400C89DF" w14:textId="77777777" w:rsidTr="00693FB2">
        <w:tc>
          <w:tcPr>
            <w:tcW w:w="626" w:type="dxa"/>
            <w:vAlign w:val="center"/>
          </w:tcPr>
          <w:p w14:paraId="586D7ECD" w14:textId="77777777" w:rsidR="00372A7F" w:rsidRDefault="00372A7F" w:rsidP="00693FB2">
            <w:pPr>
              <w:jc w:val="center"/>
            </w:pPr>
            <w:r>
              <w:t>7</w:t>
            </w:r>
          </w:p>
        </w:tc>
        <w:tc>
          <w:tcPr>
            <w:tcW w:w="7783" w:type="dxa"/>
          </w:tcPr>
          <w:p w14:paraId="7BA6583C" w14:textId="77777777" w:rsidR="00372A7F" w:rsidRDefault="00372A7F" w:rsidP="00693FB2">
            <w:r>
              <w:t xml:space="preserve">Bring BC provincial </w:t>
            </w:r>
            <w:proofErr w:type="spellStart"/>
            <w:r>
              <w:t>PharmaNet</w:t>
            </w:r>
            <w:proofErr w:type="spellEnd"/>
            <w:r>
              <w:t xml:space="preserve"> data into Island Health DDE as per protocol detailed in Table II </w:t>
            </w:r>
          </w:p>
        </w:tc>
        <w:tc>
          <w:tcPr>
            <w:tcW w:w="4948" w:type="dxa"/>
            <w:gridSpan w:val="6"/>
            <w:vMerge w:val="restart"/>
            <w:vAlign w:val="center"/>
          </w:tcPr>
          <w:p w14:paraId="3793E6DD" w14:textId="77777777" w:rsidR="00372A7F" w:rsidRDefault="00372A7F" w:rsidP="00693FB2">
            <w:pPr>
              <w:jc w:val="center"/>
            </w:pPr>
            <w:r>
              <w:t>See Table II (Linking Island Health Data with Externally-Supplied Pharmacy and Lab Data Inside the Island Health Data Disclosure Environment)</w:t>
            </w:r>
          </w:p>
        </w:tc>
      </w:tr>
      <w:tr w:rsidR="00372A7F" w14:paraId="13EEBF47" w14:textId="77777777" w:rsidTr="00693FB2">
        <w:tc>
          <w:tcPr>
            <w:tcW w:w="626" w:type="dxa"/>
            <w:vAlign w:val="center"/>
          </w:tcPr>
          <w:p w14:paraId="3C1204D5" w14:textId="77777777" w:rsidR="00372A7F" w:rsidRDefault="00372A7F" w:rsidP="00693FB2">
            <w:pPr>
              <w:jc w:val="center"/>
            </w:pPr>
            <w:r>
              <w:t>8</w:t>
            </w:r>
          </w:p>
        </w:tc>
        <w:tc>
          <w:tcPr>
            <w:tcW w:w="7783" w:type="dxa"/>
          </w:tcPr>
          <w:p w14:paraId="1A502A89" w14:textId="77777777" w:rsidR="00372A7F" w:rsidRDefault="00372A7F" w:rsidP="00693FB2">
            <w:r>
              <w:t xml:space="preserve">Bring BC community Lab data into Island Health DDE as per protocol detailed in Table II. </w:t>
            </w:r>
          </w:p>
        </w:tc>
        <w:tc>
          <w:tcPr>
            <w:tcW w:w="4948" w:type="dxa"/>
            <w:gridSpan w:val="6"/>
            <w:vMerge/>
            <w:vAlign w:val="center"/>
          </w:tcPr>
          <w:p w14:paraId="107C845E" w14:textId="77777777" w:rsidR="00372A7F" w:rsidRDefault="00372A7F" w:rsidP="00693FB2">
            <w:pPr>
              <w:jc w:val="center"/>
            </w:pPr>
          </w:p>
        </w:tc>
      </w:tr>
      <w:tr w:rsidR="00372A7F" w14:paraId="417F9875" w14:textId="77777777" w:rsidTr="00693FB2">
        <w:tc>
          <w:tcPr>
            <w:tcW w:w="626" w:type="dxa"/>
            <w:vAlign w:val="center"/>
          </w:tcPr>
          <w:p w14:paraId="492CB1F4" w14:textId="77777777" w:rsidR="00372A7F" w:rsidRDefault="00372A7F" w:rsidP="00693FB2">
            <w:pPr>
              <w:jc w:val="center"/>
            </w:pPr>
            <w:r>
              <w:t>9</w:t>
            </w:r>
          </w:p>
        </w:tc>
        <w:tc>
          <w:tcPr>
            <w:tcW w:w="7783" w:type="dxa"/>
          </w:tcPr>
          <w:p w14:paraId="52B3A918" w14:textId="77777777" w:rsidR="00372A7F" w:rsidRDefault="00372A7F" w:rsidP="00693FB2">
            <w:r>
              <w:t xml:space="preserve">Employing meta-data associated with research data elements, partition research data into two sub-sets, using the following scheme: </w:t>
            </w:r>
          </w:p>
          <w:p w14:paraId="516AD42F" w14:textId="77777777" w:rsidR="00372A7F" w:rsidRDefault="00372A7F" w:rsidP="00372A7F">
            <w:pPr>
              <w:pStyle w:val="ListParagraph"/>
              <w:numPr>
                <w:ilvl w:val="1"/>
                <w:numId w:val="7"/>
              </w:numPr>
              <w:ind w:left="702" w:hanging="270"/>
            </w:pPr>
            <w:r>
              <w:t>Indirect Identifiers (Quasi-Identifiers)</w:t>
            </w:r>
          </w:p>
          <w:p w14:paraId="0A5B0072" w14:textId="77777777" w:rsidR="00372A7F" w:rsidRDefault="00372A7F" w:rsidP="00372A7F">
            <w:pPr>
              <w:pStyle w:val="ListParagraph"/>
              <w:numPr>
                <w:ilvl w:val="1"/>
                <w:numId w:val="7"/>
              </w:numPr>
              <w:ind w:left="702" w:hanging="270"/>
            </w:pPr>
            <w:r>
              <w:t xml:space="preserve">Attribute Values that could conceivably be linked to Unique Identifiers via the intermediary of actual knowledge that is either held by members of the Research Team or could be acquired by members of the research team. </w:t>
            </w:r>
          </w:p>
        </w:tc>
        <w:tc>
          <w:tcPr>
            <w:tcW w:w="824" w:type="dxa"/>
            <w:vAlign w:val="center"/>
          </w:tcPr>
          <w:p w14:paraId="602CC212" w14:textId="77777777" w:rsidR="00372A7F" w:rsidRDefault="00372A7F" w:rsidP="00693FB2">
            <w:pPr>
              <w:jc w:val="center"/>
            </w:pPr>
          </w:p>
        </w:tc>
        <w:tc>
          <w:tcPr>
            <w:tcW w:w="825" w:type="dxa"/>
            <w:vAlign w:val="center"/>
          </w:tcPr>
          <w:p w14:paraId="301E1045" w14:textId="77777777" w:rsidR="00372A7F" w:rsidRDefault="00372A7F" w:rsidP="00693FB2">
            <w:pPr>
              <w:jc w:val="center"/>
            </w:pPr>
            <w:r>
              <w:t>Perf</w:t>
            </w:r>
          </w:p>
        </w:tc>
        <w:tc>
          <w:tcPr>
            <w:tcW w:w="825" w:type="dxa"/>
            <w:vAlign w:val="center"/>
          </w:tcPr>
          <w:p w14:paraId="0C62F7D8" w14:textId="77777777" w:rsidR="00372A7F" w:rsidRDefault="00372A7F" w:rsidP="00693FB2">
            <w:pPr>
              <w:jc w:val="center"/>
            </w:pPr>
            <w:r>
              <w:t>Perf</w:t>
            </w:r>
          </w:p>
        </w:tc>
        <w:tc>
          <w:tcPr>
            <w:tcW w:w="824" w:type="dxa"/>
            <w:vAlign w:val="center"/>
          </w:tcPr>
          <w:p w14:paraId="4BCAC59A" w14:textId="77777777" w:rsidR="00372A7F" w:rsidRDefault="00372A7F" w:rsidP="00693FB2">
            <w:pPr>
              <w:jc w:val="center"/>
            </w:pPr>
            <w:r>
              <w:t>Perf</w:t>
            </w:r>
          </w:p>
        </w:tc>
        <w:tc>
          <w:tcPr>
            <w:tcW w:w="825" w:type="dxa"/>
            <w:vAlign w:val="center"/>
          </w:tcPr>
          <w:p w14:paraId="3D0B7E43" w14:textId="77777777" w:rsidR="00372A7F" w:rsidRDefault="00372A7F" w:rsidP="00693FB2">
            <w:pPr>
              <w:jc w:val="center"/>
            </w:pPr>
            <w:r>
              <w:t>Perf</w:t>
            </w:r>
          </w:p>
        </w:tc>
        <w:tc>
          <w:tcPr>
            <w:tcW w:w="825" w:type="dxa"/>
            <w:vAlign w:val="center"/>
          </w:tcPr>
          <w:p w14:paraId="7CF79798" w14:textId="77777777" w:rsidR="00372A7F" w:rsidRDefault="00372A7F" w:rsidP="00693FB2">
            <w:pPr>
              <w:jc w:val="center"/>
            </w:pPr>
          </w:p>
        </w:tc>
      </w:tr>
      <w:tr w:rsidR="00372A7F" w14:paraId="0FBA0094" w14:textId="77777777" w:rsidTr="00693FB2">
        <w:tc>
          <w:tcPr>
            <w:tcW w:w="626" w:type="dxa"/>
            <w:vAlign w:val="center"/>
          </w:tcPr>
          <w:p w14:paraId="57088C41" w14:textId="77777777" w:rsidR="00372A7F" w:rsidRDefault="00372A7F" w:rsidP="00693FB2">
            <w:pPr>
              <w:jc w:val="center"/>
            </w:pPr>
            <w:r>
              <w:t>10</w:t>
            </w:r>
          </w:p>
        </w:tc>
        <w:tc>
          <w:tcPr>
            <w:tcW w:w="7783" w:type="dxa"/>
          </w:tcPr>
          <w:p w14:paraId="7DF98BF3" w14:textId="77777777" w:rsidR="00372A7F" w:rsidRDefault="00372A7F" w:rsidP="00693FB2">
            <w:r>
              <w:t>Apply random transformation to dates in the body of Research Information in the DDE in such a way that sequence and duration are preserved at an individual case level. The protocol routinely employed by the Cerner Math group will be followed by the Island Health parties performing these activities</w:t>
            </w:r>
          </w:p>
        </w:tc>
        <w:tc>
          <w:tcPr>
            <w:tcW w:w="824" w:type="dxa"/>
            <w:vAlign w:val="center"/>
          </w:tcPr>
          <w:p w14:paraId="697AF085" w14:textId="77777777" w:rsidR="00372A7F" w:rsidRDefault="00372A7F" w:rsidP="00693FB2">
            <w:pPr>
              <w:jc w:val="center"/>
            </w:pPr>
            <w:r>
              <w:t>Perf</w:t>
            </w:r>
          </w:p>
        </w:tc>
        <w:tc>
          <w:tcPr>
            <w:tcW w:w="825" w:type="dxa"/>
            <w:vAlign w:val="center"/>
          </w:tcPr>
          <w:p w14:paraId="2C6A1946" w14:textId="77777777" w:rsidR="00372A7F" w:rsidRDefault="00372A7F" w:rsidP="00693FB2">
            <w:pPr>
              <w:jc w:val="center"/>
            </w:pPr>
            <w:r>
              <w:t>C/A</w:t>
            </w:r>
          </w:p>
        </w:tc>
        <w:tc>
          <w:tcPr>
            <w:tcW w:w="825" w:type="dxa"/>
            <w:vAlign w:val="center"/>
          </w:tcPr>
          <w:p w14:paraId="7D586F0A" w14:textId="77777777" w:rsidR="00372A7F" w:rsidRDefault="00372A7F" w:rsidP="00693FB2">
            <w:pPr>
              <w:jc w:val="center"/>
            </w:pPr>
            <w:r>
              <w:t>C/A</w:t>
            </w:r>
          </w:p>
        </w:tc>
        <w:tc>
          <w:tcPr>
            <w:tcW w:w="824" w:type="dxa"/>
            <w:vAlign w:val="center"/>
          </w:tcPr>
          <w:p w14:paraId="44A8BFF4" w14:textId="77777777" w:rsidR="00372A7F" w:rsidRDefault="00372A7F" w:rsidP="00693FB2">
            <w:pPr>
              <w:jc w:val="center"/>
            </w:pPr>
            <w:r>
              <w:t>C/A</w:t>
            </w:r>
          </w:p>
        </w:tc>
        <w:tc>
          <w:tcPr>
            <w:tcW w:w="825" w:type="dxa"/>
            <w:vAlign w:val="center"/>
          </w:tcPr>
          <w:p w14:paraId="18D8CE15" w14:textId="77777777" w:rsidR="00372A7F" w:rsidRDefault="00372A7F" w:rsidP="00693FB2">
            <w:pPr>
              <w:jc w:val="center"/>
            </w:pPr>
            <w:r>
              <w:t>C/A</w:t>
            </w:r>
          </w:p>
        </w:tc>
        <w:tc>
          <w:tcPr>
            <w:tcW w:w="825" w:type="dxa"/>
            <w:vAlign w:val="center"/>
          </w:tcPr>
          <w:p w14:paraId="5066B852" w14:textId="77777777" w:rsidR="00372A7F" w:rsidRDefault="00372A7F" w:rsidP="00693FB2">
            <w:pPr>
              <w:jc w:val="center"/>
            </w:pPr>
          </w:p>
        </w:tc>
      </w:tr>
      <w:tr w:rsidR="00372A7F" w14:paraId="10B417E8" w14:textId="77777777" w:rsidTr="00693FB2">
        <w:tc>
          <w:tcPr>
            <w:tcW w:w="626" w:type="dxa"/>
            <w:vAlign w:val="center"/>
          </w:tcPr>
          <w:p w14:paraId="6DB4D89F" w14:textId="77777777" w:rsidR="00372A7F" w:rsidRDefault="00372A7F" w:rsidP="00693FB2">
            <w:pPr>
              <w:jc w:val="center"/>
            </w:pPr>
            <w:r>
              <w:lastRenderedPageBreak/>
              <w:t>11</w:t>
            </w:r>
          </w:p>
        </w:tc>
        <w:tc>
          <w:tcPr>
            <w:tcW w:w="7783" w:type="dxa"/>
          </w:tcPr>
          <w:p w14:paraId="4DE74811" w14:textId="77777777" w:rsidR="00372A7F" w:rsidRDefault="00372A7F" w:rsidP="00693FB2">
            <w:r w:rsidRPr="00566EEF">
              <w:t>Employ Statistical Disclosure Control (SDC) methods to evaluate risks for Re-Identification</w:t>
            </w:r>
            <w:r>
              <w:t>:</w:t>
            </w:r>
          </w:p>
          <w:p w14:paraId="3CC49B34" w14:textId="77777777" w:rsidR="00372A7F" w:rsidRPr="00566EEF" w:rsidRDefault="00372A7F" w:rsidP="00372A7F">
            <w:pPr>
              <w:pStyle w:val="ListParagraph"/>
              <w:numPr>
                <w:ilvl w:val="0"/>
                <w:numId w:val="8"/>
              </w:numPr>
              <w:ind w:left="702" w:hanging="270"/>
            </w:pPr>
            <w:r w:rsidRPr="00566EEF">
              <w:t>Risks associated with Indirect Identifiers</w:t>
            </w:r>
          </w:p>
          <w:p w14:paraId="5D82EA5D" w14:textId="77777777" w:rsidR="00372A7F" w:rsidRDefault="00372A7F" w:rsidP="00372A7F">
            <w:pPr>
              <w:pStyle w:val="ListParagraph"/>
              <w:numPr>
                <w:ilvl w:val="0"/>
                <w:numId w:val="8"/>
              </w:numPr>
              <w:ind w:left="702" w:hanging="270"/>
            </w:pPr>
            <w:r w:rsidRPr="00566EEF">
              <w:t>Risks associated with subset of Attribute Values that have been deemed to hold some potential to function as Indirect Identifiers.</w:t>
            </w:r>
          </w:p>
        </w:tc>
        <w:tc>
          <w:tcPr>
            <w:tcW w:w="824" w:type="dxa"/>
            <w:vAlign w:val="center"/>
          </w:tcPr>
          <w:p w14:paraId="0265CEC6" w14:textId="77777777" w:rsidR="00372A7F" w:rsidRDefault="00372A7F" w:rsidP="00693FB2">
            <w:pPr>
              <w:jc w:val="center"/>
            </w:pPr>
            <w:r>
              <w:t>Perf</w:t>
            </w:r>
          </w:p>
        </w:tc>
        <w:tc>
          <w:tcPr>
            <w:tcW w:w="825" w:type="dxa"/>
            <w:vAlign w:val="center"/>
          </w:tcPr>
          <w:p w14:paraId="16BA455E" w14:textId="77777777" w:rsidR="00372A7F" w:rsidRDefault="00372A7F" w:rsidP="00693FB2">
            <w:pPr>
              <w:jc w:val="center"/>
            </w:pPr>
            <w:r>
              <w:t>Perf</w:t>
            </w:r>
          </w:p>
        </w:tc>
        <w:tc>
          <w:tcPr>
            <w:tcW w:w="825" w:type="dxa"/>
            <w:vAlign w:val="center"/>
          </w:tcPr>
          <w:p w14:paraId="0303ECEA" w14:textId="77777777" w:rsidR="00372A7F" w:rsidRDefault="00372A7F" w:rsidP="00693FB2">
            <w:pPr>
              <w:jc w:val="center"/>
            </w:pPr>
            <w:r>
              <w:t>C/A</w:t>
            </w:r>
          </w:p>
        </w:tc>
        <w:tc>
          <w:tcPr>
            <w:tcW w:w="824" w:type="dxa"/>
            <w:vAlign w:val="center"/>
          </w:tcPr>
          <w:p w14:paraId="48A4753E" w14:textId="77777777" w:rsidR="00372A7F" w:rsidRDefault="00372A7F" w:rsidP="00693FB2">
            <w:pPr>
              <w:jc w:val="center"/>
            </w:pPr>
            <w:r>
              <w:t>C/A</w:t>
            </w:r>
          </w:p>
        </w:tc>
        <w:tc>
          <w:tcPr>
            <w:tcW w:w="825" w:type="dxa"/>
            <w:vAlign w:val="center"/>
          </w:tcPr>
          <w:p w14:paraId="6832BA1E" w14:textId="77777777" w:rsidR="00372A7F" w:rsidRDefault="00372A7F" w:rsidP="00693FB2">
            <w:pPr>
              <w:jc w:val="center"/>
            </w:pPr>
            <w:r>
              <w:t>C/A</w:t>
            </w:r>
          </w:p>
        </w:tc>
        <w:tc>
          <w:tcPr>
            <w:tcW w:w="825" w:type="dxa"/>
            <w:vAlign w:val="center"/>
          </w:tcPr>
          <w:p w14:paraId="7D1B05A2" w14:textId="77777777" w:rsidR="00372A7F" w:rsidRDefault="00372A7F" w:rsidP="00693FB2">
            <w:pPr>
              <w:jc w:val="center"/>
            </w:pPr>
            <w:r>
              <w:t>C/A</w:t>
            </w:r>
          </w:p>
        </w:tc>
      </w:tr>
      <w:tr w:rsidR="00372A7F" w14:paraId="4615B082" w14:textId="77777777" w:rsidTr="00693FB2">
        <w:tc>
          <w:tcPr>
            <w:tcW w:w="626" w:type="dxa"/>
            <w:vAlign w:val="center"/>
          </w:tcPr>
          <w:p w14:paraId="6805E317" w14:textId="77777777" w:rsidR="00372A7F" w:rsidRDefault="00372A7F" w:rsidP="00693FB2">
            <w:pPr>
              <w:jc w:val="center"/>
            </w:pPr>
            <w:r>
              <w:t>12</w:t>
            </w:r>
          </w:p>
        </w:tc>
        <w:tc>
          <w:tcPr>
            <w:tcW w:w="7783" w:type="dxa"/>
          </w:tcPr>
          <w:p w14:paraId="44E5D1F5" w14:textId="77777777" w:rsidR="00372A7F" w:rsidRDefault="00372A7F" w:rsidP="00693FB2">
            <w:r>
              <w:t>Apply transformations to the body of Research Information research data file to address quantified risks for Re-Identification. Options include Perturbative and Non-Perturbative changes, with Non-Perturbative changes regarded as the preferred option</w:t>
            </w:r>
          </w:p>
        </w:tc>
        <w:tc>
          <w:tcPr>
            <w:tcW w:w="824" w:type="dxa"/>
            <w:vAlign w:val="center"/>
          </w:tcPr>
          <w:p w14:paraId="3FB46D5C" w14:textId="77777777" w:rsidR="00372A7F" w:rsidRDefault="00372A7F" w:rsidP="00693FB2">
            <w:pPr>
              <w:jc w:val="center"/>
            </w:pPr>
            <w:r>
              <w:t>Perf</w:t>
            </w:r>
          </w:p>
        </w:tc>
        <w:tc>
          <w:tcPr>
            <w:tcW w:w="825" w:type="dxa"/>
            <w:vAlign w:val="center"/>
          </w:tcPr>
          <w:p w14:paraId="07D43599" w14:textId="77777777" w:rsidR="00372A7F" w:rsidRDefault="00372A7F" w:rsidP="00693FB2">
            <w:pPr>
              <w:jc w:val="center"/>
            </w:pPr>
            <w:r>
              <w:t>Perf</w:t>
            </w:r>
          </w:p>
        </w:tc>
        <w:tc>
          <w:tcPr>
            <w:tcW w:w="825" w:type="dxa"/>
            <w:vAlign w:val="center"/>
          </w:tcPr>
          <w:p w14:paraId="7318D385" w14:textId="77777777" w:rsidR="00372A7F" w:rsidRDefault="00372A7F" w:rsidP="00693FB2">
            <w:pPr>
              <w:jc w:val="center"/>
            </w:pPr>
            <w:r>
              <w:t>C/A</w:t>
            </w:r>
          </w:p>
        </w:tc>
        <w:tc>
          <w:tcPr>
            <w:tcW w:w="824" w:type="dxa"/>
            <w:vAlign w:val="center"/>
          </w:tcPr>
          <w:p w14:paraId="1A778437" w14:textId="77777777" w:rsidR="00372A7F" w:rsidRDefault="00372A7F" w:rsidP="00693FB2">
            <w:pPr>
              <w:jc w:val="center"/>
            </w:pPr>
            <w:r>
              <w:t>C/A</w:t>
            </w:r>
          </w:p>
        </w:tc>
        <w:tc>
          <w:tcPr>
            <w:tcW w:w="825" w:type="dxa"/>
            <w:vAlign w:val="center"/>
          </w:tcPr>
          <w:p w14:paraId="7617DEDC" w14:textId="77777777" w:rsidR="00372A7F" w:rsidRDefault="00372A7F" w:rsidP="00693FB2">
            <w:pPr>
              <w:jc w:val="center"/>
            </w:pPr>
            <w:r>
              <w:t>C/A</w:t>
            </w:r>
          </w:p>
        </w:tc>
        <w:tc>
          <w:tcPr>
            <w:tcW w:w="825" w:type="dxa"/>
            <w:vAlign w:val="center"/>
          </w:tcPr>
          <w:p w14:paraId="0CCD968F" w14:textId="77777777" w:rsidR="00372A7F" w:rsidRDefault="00372A7F" w:rsidP="00693FB2">
            <w:pPr>
              <w:jc w:val="center"/>
            </w:pPr>
          </w:p>
        </w:tc>
      </w:tr>
      <w:tr w:rsidR="00372A7F" w14:paraId="5D87014A" w14:textId="77777777" w:rsidTr="00693FB2">
        <w:tc>
          <w:tcPr>
            <w:tcW w:w="626" w:type="dxa"/>
            <w:vAlign w:val="center"/>
          </w:tcPr>
          <w:p w14:paraId="49214CC8" w14:textId="77777777" w:rsidR="00372A7F" w:rsidRDefault="00372A7F" w:rsidP="00693FB2">
            <w:pPr>
              <w:jc w:val="center"/>
            </w:pPr>
            <w:r>
              <w:t>13</w:t>
            </w:r>
          </w:p>
        </w:tc>
        <w:tc>
          <w:tcPr>
            <w:tcW w:w="7783" w:type="dxa"/>
          </w:tcPr>
          <w:p w14:paraId="1D8B8188" w14:textId="77777777" w:rsidR="00372A7F" w:rsidRDefault="00372A7F" w:rsidP="00693FB2">
            <w:r w:rsidRPr="00291E12">
              <w:t>Generate document detailing: (</w:t>
            </w:r>
            <w:r>
              <w:t>a</w:t>
            </w:r>
            <w:r w:rsidRPr="00291E12">
              <w:t xml:space="preserve">) all of the transformations that have been applied to the research data in order to achieve acceptable levels of risk for </w:t>
            </w:r>
            <w:r>
              <w:t>R</w:t>
            </w:r>
            <w:r w:rsidRPr="00291E12">
              <w:t>e-</w:t>
            </w:r>
            <w:r>
              <w:t>I</w:t>
            </w:r>
            <w:r w:rsidRPr="00291E12">
              <w:t>denti</w:t>
            </w:r>
            <w:r w:rsidRPr="008E453A">
              <w:t>fication, and (</w:t>
            </w:r>
            <w:r>
              <w:t>b</w:t>
            </w:r>
            <w:r w:rsidRPr="008E453A">
              <w:t xml:space="preserve">) all of the analyses conducted to quantify risk for </w:t>
            </w:r>
            <w:r>
              <w:t>R</w:t>
            </w:r>
            <w:r w:rsidRPr="008E453A">
              <w:t>e-</w:t>
            </w:r>
            <w:r>
              <w:t>I</w:t>
            </w:r>
            <w:r w:rsidRPr="008E453A">
              <w:t>dentification</w:t>
            </w:r>
          </w:p>
        </w:tc>
        <w:tc>
          <w:tcPr>
            <w:tcW w:w="824" w:type="dxa"/>
            <w:vAlign w:val="center"/>
          </w:tcPr>
          <w:p w14:paraId="0BF4EEF7" w14:textId="77777777" w:rsidR="00372A7F" w:rsidRDefault="00372A7F" w:rsidP="00693FB2">
            <w:pPr>
              <w:jc w:val="center"/>
            </w:pPr>
            <w:r>
              <w:t>Perf</w:t>
            </w:r>
          </w:p>
        </w:tc>
        <w:tc>
          <w:tcPr>
            <w:tcW w:w="825" w:type="dxa"/>
            <w:vAlign w:val="center"/>
          </w:tcPr>
          <w:p w14:paraId="4E8021D1" w14:textId="77777777" w:rsidR="00372A7F" w:rsidRDefault="00372A7F" w:rsidP="00693FB2">
            <w:pPr>
              <w:jc w:val="center"/>
            </w:pPr>
            <w:r>
              <w:t>Perf</w:t>
            </w:r>
          </w:p>
        </w:tc>
        <w:tc>
          <w:tcPr>
            <w:tcW w:w="825" w:type="dxa"/>
            <w:vAlign w:val="center"/>
          </w:tcPr>
          <w:p w14:paraId="249E2F96" w14:textId="77777777" w:rsidR="00372A7F" w:rsidRDefault="00372A7F" w:rsidP="00693FB2">
            <w:pPr>
              <w:jc w:val="center"/>
            </w:pPr>
            <w:r>
              <w:t>C/A</w:t>
            </w:r>
          </w:p>
        </w:tc>
        <w:tc>
          <w:tcPr>
            <w:tcW w:w="824" w:type="dxa"/>
            <w:vAlign w:val="center"/>
          </w:tcPr>
          <w:p w14:paraId="63944D1B" w14:textId="77777777" w:rsidR="00372A7F" w:rsidRDefault="00372A7F" w:rsidP="00693FB2">
            <w:pPr>
              <w:jc w:val="center"/>
            </w:pPr>
            <w:r>
              <w:t>C/A</w:t>
            </w:r>
          </w:p>
        </w:tc>
        <w:tc>
          <w:tcPr>
            <w:tcW w:w="825" w:type="dxa"/>
            <w:vAlign w:val="center"/>
          </w:tcPr>
          <w:p w14:paraId="4B5EE6D0" w14:textId="77777777" w:rsidR="00372A7F" w:rsidRDefault="00372A7F" w:rsidP="00693FB2">
            <w:pPr>
              <w:jc w:val="center"/>
            </w:pPr>
            <w:r>
              <w:t>C/A</w:t>
            </w:r>
          </w:p>
        </w:tc>
        <w:tc>
          <w:tcPr>
            <w:tcW w:w="825" w:type="dxa"/>
            <w:vAlign w:val="center"/>
          </w:tcPr>
          <w:p w14:paraId="12C9A9E2" w14:textId="77777777" w:rsidR="00372A7F" w:rsidRDefault="00372A7F" w:rsidP="00693FB2">
            <w:pPr>
              <w:jc w:val="center"/>
            </w:pPr>
            <w:r>
              <w:t>C/A</w:t>
            </w:r>
          </w:p>
        </w:tc>
      </w:tr>
      <w:tr w:rsidR="00372A7F" w14:paraId="2BF2A205" w14:textId="77777777" w:rsidTr="00693FB2">
        <w:tc>
          <w:tcPr>
            <w:tcW w:w="626" w:type="dxa"/>
            <w:vAlign w:val="center"/>
          </w:tcPr>
          <w:p w14:paraId="1F496AF2" w14:textId="77777777" w:rsidR="00372A7F" w:rsidRDefault="00372A7F" w:rsidP="00693FB2">
            <w:pPr>
              <w:jc w:val="center"/>
            </w:pPr>
            <w:r>
              <w:t>14</w:t>
            </w:r>
          </w:p>
        </w:tc>
        <w:tc>
          <w:tcPr>
            <w:tcW w:w="7783" w:type="dxa"/>
          </w:tcPr>
          <w:p w14:paraId="5E989171" w14:textId="77777777" w:rsidR="00372A7F" w:rsidRDefault="00372A7F" w:rsidP="00693FB2">
            <w:r>
              <w:t>C</w:t>
            </w:r>
            <w:r w:rsidRPr="008E453A">
              <w:t>irculate</w:t>
            </w:r>
            <w:r>
              <w:t xml:space="preserve"> documentation of</w:t>
            </w:r>
            <w:r w:rsidRPr="008E453A">
              <w:t xml:space="preserve"> results to the </w:t>
            </w:r>
            <w:r>
              <w:t xml:space="preserve">Smart </w:t>
            </w:r>
            <w:proofErr w:type="spellStart"/>
            <w:r>
              <w:t>Antibiogram</w:t>
            </w:r>
            <w:proofErr w:type="spellEnd"/>
            <w:r w:rsidRPr="008E453A">
              <w:t xml:space="preserve"> project Analytics Oversight Group to adjudicate on whether an adequate level of residual risk for </w:t>
            </w:r>
            <w:r>
              <w:t>R</w:t>
            </w:r>
            <w:r w:rsidRPr="008E453A">
              <w:t>e-</w:t>
            </w:r>
            <w:r>
              <w:t>I</w:t>
            </w:r>
            <w:r w:rsidRPr="008E453A">
              <w:t xml:space="preserve">dentification has </w:t>
            </w:r>
            <w:r>
              <w:t xml:space="preserve">met island Health and Cerner Math standards. Minutes generated by the Island Health Director, Applied Clinical Research. </w:t>
            </w:r>
          </w:p>
          <w:p w14:paraId="1E10797D" w14:textId="77777777" w:rsidR="00372A7F" w:rsidRDefault="00372A7F" w:rsidP="00693FB2">
            <w:pPr>
              <w:ind w:left="720"/>
            </w:pPr>
            <w:r>
              <w:t xml:space="preserve">If the data are not approved for disclosure to Researchers – GOTO Step 12.  </w:t>
            </w:r>
          </w:p>
          <w:p w14:paraId="7911774A" w14:textId="77777777" w:rsidR="00372A7F" w:rsidRDefault="00372A7F" w:rsidP="00693FB2">
            <w:pPr>
              <w:ind w:left="720"/>
            </w:pPr>
            <w:r>
              <w:t>If the data are approved for disclosure to Researchers – GOTO Step 15.</w:t>
            </w:r>
          </w:p>
        </w:tc>
        <w:tc>
          <w:tcPr>
            <w:tcW w:w="824" w:type="dxa"/>
            <w:vAlign w:val="center"/>
          </w:tcPr>
          <w:p w14:paraId="2E1A4BA5" w14:textId="77777777" w:rsidR="00372A7F" w:rsidRDefault="00372A7F" w:rsidP="00693FB2">
            <w:pPr>
              <w:jc w:val="center"/>
            </w:pPr>
          </w:p>
        </w:tc>
        <w:tc>
          <w:tcPr>
            <w:tcW w:w="825" w:type="dxa"/>
            <w:vAlign w:val="center"/>
          </w:tcPr>
          <w:p w14:paraId="41D4B2DC" w14:textId="77777777" w:rsidR="00372A7F" w:rsidRDefault="00372A7F" w:rsidP="00693FB2">
            <w:pPr>
              <w:jc w:val="center"/>
            </w:pPr>
            <w:r>
              <w:t>Perf</w:t>
            </w:r>
          </w:p>
        </w:tc>
        <w:tc>
          <w:tcPr>
            <w:tcW w:w="825" w:type="dxa"/>
            <w:vAlign w:val="center"/>
          </w:tcPr>
          <w:p w14:paraId="17DE8B6C" w14:textId="77777777" w:rsidR="00372A7F" w:rsidRDefault="00372A7F" w:rsidP="00693FB2">
            <w:pPr>
              <w:jc w:val="center"/>
            </w:pPr>
          </w:p>
        </w:tc>
        <w:tc>
          <w:tcPr>
            <w:tcW w:w="824" w:type="dxa"/>
            <w:vAlign w:val="center"/>
          </w:tcPr>
          <w:p w14:paraId="4F977E7B" w14:textId="77777777" w:rsidR="00372A7F" w:rsidRDefault="00372A7F" w:rsidP="00693FB2">
            <w:pPr>
              <w:jc w:val="center"/>
            </w:pPr>
          </w:p>
        </w:tc>
        <w:tc>
          <w:tcPr>
            <w:tcW w:w="825" w:type="dxa"/>
            <w:vAlign w:val="center"/>
          </w:tcPr>
          <w:p w14:paraId="01DC2322" w14:textId="77777777" w:rsidR="00372A7F" w:rsidRDefault="00372A7F" w:rsidP="00693FB2">
            <w:pPr>
              <w:jc w:val="center"/>
            </w:pPr>
          </w:p>
        </w:tc>
        <w:tc>
          <w:tcPr>
            <w:tcW w:w="825" w:type="dxa"/>
            <w:vAlign w:val="center"/>
          </w:tcPr>
          <w:p w14:paraId="753C78C9" w14:textId="77777777" w:rsidR="00372A7F" w:rsidRDefault="00372A7F" w:rsidP="00693FB2">
            <w:pPr>
              <w:jc w:val="center"/>
            </w:pPr>
            <w:proofErr w:type="spellStart"/>
            <w:r>
              <w:t>Adj</w:t>
            </w:r>
            <w:proofErr w:type="spellEnd"/>
            <w:r>
              <w:t>/ App</w:t>
            </w:r>
          </w:p>
        </w:tc>
      </w:tr>
      <w:tr w:rsidR="00372A7F" w14:paraId="2FCE559B" w14:textId="77777777" w:rsidTr="00693FB2">
        <w:tc>
          <w:tcPr>
            <w:tcW w:w="626" w:type="dxa"/>
            <w:vAlign w:val="center"/>
          </w:tcPr>
          <w:p w14:paraId="163E730F" w14:textId="77777777" w:rsidR="00372A7F" w:rsidRDefault="00372A7F" w:rsidP="00693FB2">
            <w:pPr>
              <w:jc w:val="center"/>
            </w:pPr>
            <w:r>
              <w:t>15</w:t>
            </w:r>
          </w:p>
        </w:tc>
        <w:tc>
          <w:tcPr>
            <w:tcW w:w="7783" w:type="dxa"/>
          </w:tcPr>
          <w:p w14:paraId="74D0C6BC" w14:textId="77777777" w:rsidR="00372A7F" w:rsidRDefault="00372A7F" w:rsidP="00693FB2">
            <w:r w:rsidRPr="00291E12">
              <w:t xml:space="preserve">Authorize Island Health Information Management/Information Technology to activate accounts for </w:t>
            </w:r>
            <w:r>
              <w:t xml:space="preserve">Cerner Math Researchers. This enables these Researchers to interact with the Smart </w:t>
            </w:r>
            <w:proofErr w:type="spellStart"/>
            <w:r>
              <w:t>Antibiogram</w:t>
            </w:r>
            <w:proofErr w:type="spellEnd"/>
            <w:r>
              <w:t xml:space="preserve"> Research Information </w:t>
            </w:r>
            <w:r w:rsidRPr="00291E12">
              <w:t xml:space="preserve">through a </w:t>
            </w:r>
            <w:r w:rsidRPr="008E453A">
              <w:t xml:space="preserve">VPN tunnel into the </w:t>
            </w:r>
            <w:r>
              <w:t>DDE</w:t>
            </w:r>
            <w:r w:rsidRPr="008E453A">
              <w:t xml:space="preserve"> in the Island Health firewall</w:t>
            </w:r>
          </w:p>
        </w:tc>
        <w:tc>
          <w:tcPr>
            <w:tcW w:w="824" w:type="dxa"/>
            <w:vAlign w:val="center"/>
          </w:tcPr>
          <w:p w14:paraId="086514A9" w14:textId="77777777" w:rsidR="00372A7F" w:rsidRDefault="00372A7F" w:rsidP="00693FB2">
            <w:pPr>
              <w:jc w:val="center"/>
            </w:pPr>
          </w:p>
        </w:tc>
        <w:tc>
          <w:tcPr>
            <w:tcW w:w="825" w:type="dxa"/>
            <w:vAlign w:val="center"/>
          </w:tcPr>
          <w:p w14:paraId="28D63C56" w14:textId="77777777" w:rsidR="00372A7F" w:rsidRDefault="00372A7F" w:rsidP="00693FB2">
            <w:pPr>
              <w:jc w:val="center"/>
            </w:pPr>
            <w:r>
              <w:t>Perf</w:t>
            </w:r>
          </w:p>
        </w:tc>
        <w:tc>
          <w:tcPr>
            <w:tcW w:w="825" w:type="dxa"/>
            <w:vAlign w:val="center"/>
          </w:tcPr>
          <w:p w14:paraId="3DD577C6" w14:textId="77777777" w:rsidR="00372A7F" w:rsidRDefault="00372A7F" w:rsidP="00693FB2">
            <w:pPr>
              <w:jc w:val="center"/>
            </w:pPr>
          </w:p>
        </w:tc>
        <w:tc>
          <w:tcPr>
            <w:tcW w:w="824" w:type="dxa"/>
            <w:vAlign w:val="center"/>
          </w:tcPr>
          <w:p w14:paraId="4160BA2D" w14:textId="77777777" w:rsidR="00372A7F" w:rsidRDefault="00372A7F" w:rsidP="00693FB2">
            <w:pPr>
              <w:jc w:val="center"/>
            </w:pPr>
          </w:p>
        </w:tc>
        <w:tc>
          <w:tcPr>
            <w:tcW w:w="825" w:type="dxa"/>
            <w:vAlign w:val="center"/>
          </w:tcPr>
          <w:p w14:paraId="36D3229F" w14:textId="77777777" w:rsidR="00372A7F" w:rsidRDefault="00372A7F" w:rsidP="00693FB2">
            <w:pPr>
              <w:jc w:val="center"/>
            </w:pPr>
          </w:p>
        </w:tc>
        <w:tc>
          <w:tcPr>
            <w:tcW w:w="825" w:type="dxa"/>
            <w:vAlign w:val="center"/>
          </w:tcPr>
          <w:p w14:paraId="5CE3F22B" w14:textId="77777777" w:rsidR="00372A7F" w:rsidRDefault="00372A7F" w:rsidP="00693FB2">
            <w:pPr>
              <w:jc w:val="center"/>
            </w:pPr>
          </w:p>
        </w:tc>
      </w:tr>
      <w:tr w:rsidR="00372A7F" w14:paraId="3777071E" w14:textId="77777777" w:rsidTr="00693FB2">
        <w:tc>
          <w:tcPr>
            <w:tcW w:w="626" w:type="dxa"/>
            <w:vAlign w:val="center"/>
          </w:tcPr>
          <w:p w14:paraId="19B6EA10" w14:textId="77777777" w:rsidR="00372A7F" w:rsidRDefault="00372A7F" w:rsidP="00693FB2">
            <w:pPr>
              <w:jc w:val="center"/>
            </w:pPr>
            <w:r>
              <w:t>16</w:t>
            </w:r>
          </w:p>
        </w:tc>
        <w:tc>
          <w:tcPr>
            <w:tcW w:w="7783" w:type="dxa"/>
          </w:tcPr>
          <w:p w14:paraId="193E179F" w14:textId="77777777" w:rsidR="00372A7F" w:rsidRDefault="00372A7F" w:rsidP="00693FB2">
            <w:r>
              <w:t xml:space="preserve">Island Health Data Warehouse Staff add Researchers to the authorization groups associated with contents and locations of the Smart </w:t>
            </w:r>
            <w:proofErr w:type="spellStart"/>
            <w:r>
              <w:t>Antibiogram</w:t>
            </w:r>
            <w:proofErr w:type="spellEnd"/>
            <w:r>
              <w:t xml:space="preserve"> data)</w:t>
            </w:r>
          </w:p>
        </w:tc>
        <w:tc>
          <w:tcPr>
            <w:tcW w:w="824" w:type="dxa"/>
            <w:vAlign w:val="center"/>
          </w:tcPr>
          <w:p w14:paraId="7E1CDDE3" w14:textId="77777777" w:rsidR="00372A7F" w:rsidRDefault="00372A7F" w:rsidP="00693FB2">
            <w:pPr>
              <w:jc w:val="center"/>
            </w:pPr>
            <w:r>
              <w:t>Perf</w:t>
            </w:r>
          </w:p>
        </w:tc>
        <w:tc>
          <w:tcPr>
            <w:tcW w:w="825" w:type="dxa"/>
            <w:vAlign w:val="center"/>
          </w:tcPr>
          <w:p w14:paraId="34795755" w14:textId="77777777" w:rsidR="00372A7F" w:rsidRDefault="00372A7F" w:rsidP="00693FB2">
            <w:pPr>
              <w:jc w:val="center"/>
            </w:pPr>
          </w:p>
        </w:tc>
        <w:tc>
          <w:tcPr>
            <w:tcW w:w="825" w:type="dxa"/>
            <w:vAlign w:val="center"/>
          </w:tcPr>
          <w:p w14:paraId="2E183A1C" w14:textId="77777777" w:rsidR="00372A7F" w:rsidRDefault="00372A7F" w:rsidP="00693FB2">
            <w:pPr>
              <w:jc w:val="center"/>
            </w:pPr>
          </w:p>
        </w:tc>
        <w:tc>
          <w:tcPr>
            <w:tcW w:w="824" w:type="dxa"/>
            <w:vAlign w:val="center"/>
          </w:tcPr>
          <w:p w14:paraId="727A2307" w14:textId="77777777" w:rsidR="00372A7F" w:rsidRDefault="00372A7F" w:rsidP="00693FB2">
            <w:pPr>
              <w:jc w:val="center"/>
            </w:pPr>
          </w:p>
        </w:tc>
        <w:tc>
          <w:tcPr>
            <w:tcW w:w="825" w:type="dxa"/>
            <w:vAlign w:val="center"/>
          </w:tcPr>
          <w:p w14:paraId="529EC219" w14:textId="77777777" w:rsidR="00372A7F" w:rsidRDefault="00372A7F" w:rsidP="00693FB2">
            <w:pPr>
              <w:jc w:val="center"/>
            </w:pPr>
          </w:p>
        </w:tc>
        <w:tc>
          <w:tcPr>
            <w:tcW w:w="825" w:type="dxa"/>
            <w:vAlign w:val="center"/>
          </w:tcPr>
          <w:p w14:paraId="2F890AFB" w14:textId="77777777" w:rsidR="00372A7F" w:rsidRDefault="00372A7F" w:rsidP="00693FB2">
            <w:pPr>
              <w:jc w:val="center"/>
            </w:pPr>
          </w:p>
        </w:tc>
      </w:tr>
    </w:tbl>
    <w:p w14:paraId="6C58CBC2" w14:textId="77777777" w:rsidR="00372A7F" w:rsidRDefault="00372A7F" w:rsidP="00372A7F"/>
    <w:p w14:paraId="258DC4B8" w14:textId="77777777" w:rsidR="00372A7F" w:rsidRPr="000578FA" w:rsidRDefault="00372A7F" w:rsidP="00372A7F">
      <w:r>
        <w:br w:type="page"/>
      </w:r>
      <w:r w:rsidRPr="00F100BF">
        <w:rPr>
          <w:b/>
        </w:rPr>
        <w:lastRenderedPageBreak/>
        <w:t xml:space="preserve">Table </w:t>
      </w:r>
      <w:r>
        <w:rPr>
          <w:b/>
        </w:rPr>
        <w:t>2</w:t>
      </w:r>
      <w:r w:rsidRPr="00F100BF">
        <w:rPr>
          <w:b/>
        </w:rPr>
        <w:t xml:space="preserve">. </w:t>
      </w:r>
      <w:r w:rsidRPr="000578FA">
        <w:t>Linking Island Health Data with Externally-Supplied Pharmacy and Lab Data inside the Island Health Data Disclosure Environment</w:t>
      </w:r>
    </w:p>
    <w:tbl>
      <w:tblPr>
        <w:tblStyle w:val="TableGrid"/>
        <w:tblW w:w="12879" w:type="dxa"/>
        <w:tblLook w:val="04A0" w:firstRow="1" w:lastRow="0" w:firstColumn="1" w:lastColumn="0" w:noHBand="0" w:noVBand="1"/>
      </w:tblPr>
      <w:tblGrid>
        <w:gridCol w:w="670"/>
        <w:gridCol w:w="6039"/>
        <w:gridCol w:w="814"/>
        <w:gridCol w:w="817"/>
        <w:gridCol w:w="806"/>
        <w:gridCol w:w="817"/>
        <w:gridCol w:w="990"/>
        <w:gridCol w:w="949"/>
        <w:gridCol w:w="977"/>
      </w:tblGrid>
      <w:tr w:rsidR="00372A7F" w14:paraId="1A0D5304" w14:textId="77777777" w:rsidTr="00693FB2">
        <w:tc>
          <w:tcPr>
            <w:tcW w:w="626" w:type="dxa"/>
            <w:vMerge w:val="restart"/>
            <w:shd w:val="clear" w:color="auto" w:fill="DEEAF6" w:themeFill="accent1" w:themeFillTint="33"/>
            <w:vAlign w:val="bottom"/>
          </w:tcPr>
          <w:p w14:paraId="4AC08868" w14:textId="77777777" w:rsidR="00372A7F" w:rsidRPr="006A76CD" w:rsidRDefault="00372A7F" w:rsidP="00693FB2">
            <w:pPr>
              <w:rPr>
                <w:b/>
              </w:rPr>
            </w:pPr>
            <w:r w:rsidRPr="006A76CD">
              <w:rPr>
                <w:b/>
              </w:rPr>
              <w:t>Step</w:t>
            </w:r>
          </w:p>
        </w:tc>
        <w:tc>
          <w:tcPr>
            <w:tcW w:w="6479" w:type="dxa"/>
            <w:vMerge w:val="restart"/>
            <w:shd w:val="clear" w:color="auto" w:fill="DEEAF6" w:themeFill="accent1" w:themeFillTint="33"/>
            <w:vAlign w:val="bottom"/>
          </w:tcPr>
          <w:p w14:paraId="573DD526" w14:textId="77777777" w:rsidR="00372A7F" w:rsidRPr="006A76CD" w:rsidRDefault="00372A7F" w:rsidP="00693FB2">
            <w:pPr>
              <w:rPr>
                <w:b/>
              </w:rPr>
            </w:pPr>
            <w:r w:rsidRPr="006A76CD">
              <w:rPr>
                <w:b/>
              </w:rPr>
              <w:t>Activity</w:t>
            </w:r>
          </w:p>
        </w:tc>
        <w:tc>
          <w:tcPr>
            <w:tcW w:w="825" w:type="dxa"/>
            <w:shd w:val="clear" w:color="auto" w:fill="DEEAF6" w:themeFill="accent1" w:themeFillTint="33"/>
          </w:tcPr>
          <w:p w14:paraId="7A26E4B3" w14:textId="77777777" w:rsidR="00372A7F" w:rsidRPr="006A76CD" w:rsidRDefault="00372A7F" w:rsidP="00693FB2">
            <w:pPr>
              <w:jc w:val="center"/>
              <w:rPr>
                <w:b/>
              </w:rPr>
            </w:pPr>
          </w:p>
        </w:tc>
        <w:tc>
          <w:tcPr>
            <w:tcW w:w="4949" w:type="dxa"/>
            <w:gridSpan w:val="6"/>
            <w:shd w:val="clear" w:color="auto" w:fill="DEEAF6" w:themeFill="accent1" w:themeFillTint="33"/>
          </w:tcPr>
          <w:p w14:paraId="41209552" w14:textId="77777777" w:rsidR="00372A7F" w:rsidRPr="006A76CD" w:rsidRDefault="00372A7F" w:rsidP="00693FB2">
            <w:pPr>
              <w:jc w:val="center"/>
              <w:rPr>
                <w:b/>
              </w:rPr>
            </w:pPr>
            <w:r w:rsidRPr="006A76CD">
              <w:rPr>
                <w:b/>
              </w:rPr>
              <w:t>Parties Involved</w:t>
            </w:r>
          </w:p>
        </w:tc>
      </w:tr>
      <w:tr w:rsidR="00372A7F" w14:paraId="5D990893" w14:textId="77777777" w:rsidTr="00693FB2">
        <w:tc>
          <w:tcPr>
            <w:tcW w:w="626" w:type="dxa"/>
            <w:vMerge/>
            <w:shd w:val="clear" w:color="auto" w:fill="DEEAF6" w:themeFill="accent1" w:themeFillTint="33"/>
          </w:tcPr>
          <w:p w14:paraId="0C368D55" w14:textId="77777777" w:rsidR="00372A7F" w:rsidRPr="006A76CD" w:rsidRDefault="00372A7F" w:rsidP="00693FB2">
            <w:pPr>
              <w:rPr>
                <w:b/>
              </w:rPr>
            </w:pPr>
          </w:p>
        </w:tc>
        <w:tc>
          <w:tcPr>
            <w:tcW w:w="6479" w:type="dxa"/>
            <w:vMerge/>
            <w:shd w:val="clear" w:color="auto" w:fill="DEEAF6" w:themeFill="accent1" w:themeFillTint="33"/>
          </w:tcPr>
          <w:p w14:paraId="23D8B74B" w14:textId="77777777" w:rsidR="00372A7F" w:rsidRPr="006A76CD" w:rsidRDefault="00372A7F" w:rsidP="00693FB2">
            <w:pPr>
              <w:rPr>
                <w:b/>
              </w:rPr>
            </w:pPr>
          </w:p>
        </w:tc>
        <w:tc>
          <w:tcPr>
            <w:tcW w:w="825" w:type="dxa"/>
            <w:shd w:val="clear" w:color="auto" w:fill="DEEAF6" w:themeFill="accent1" w:themeFillTint="33"/>
            <w:vAlign w:val="bottom"/>
          </w:tcPr>
          <w:p w14:paraId="4BFC81AD" w14:textId="77777777" w:rsidR="00372A7F" w:rsidRPr="006A76CD" w:rsidRDefault="00372A7F" w:rsidP="00693FB2">
            <w:pPr>
              <w:jc w:val="center"/>
              <w:rPr>
                <w:b/>
              </w:rPr>
            </w:pPr>
            <w:r w:rsidRPr="006A76CD">
              <w:rPr>
                <w:b/>
              </w:rPr>
              <w:t>IH DW Staff</w:t>
            </w:r>
          </w:p>
        </w:tc>
        <w:tc>
          <w:tcPr>
            <w:tcW w:w="825" w:type="dxa"/>
            <w:shd w:val="clear" w:color="auto" w:fill="DEEAF6" w:themeFill="accent1" w:themeFillTint="33"/>
            <w:vAlign w:val="bottom"/>
          </w:tcPr>
          <w:p w14:paraId="3107A3FD" w14:textId="77777777" w:rsidR="00372A7F" w:rsidRPr="006A76CD" w:rsidRDefault="00372A7F" w:rsidP="00693FB2">
            <w:pPr>
              <w:jc w:val="center"/>
              <w:rPr>
                <w:b/>
              </w:rPr>
            </w:pPr>
            <w:r w:rsidRPr="006A76CD">
              <w:rPr>
                <w:b/>
              </w:rPr>
              <w:t>IH Dir ACR</w:t>
            </w:r>
          </w:p>
        </w:tc>
        <w:tc>
          <w:tcPr>
            <w:tcW w:w="825" w:type="dxa"/>
            <w:shd w:val="clear" w:color="auto" w:fill="DEEAF6" w:themeFill="accent1" w:themeFillTint="33"/>
            <w:vAlign w:val="bottom"/>
          </w:tcPr>
          <w:p w14:paraId="0D2AE818" w14:textId="77777777" w:rsidR="00372A7F" w:rsidRPr="006A76CD" w:rsidRDefault="00372A7F" w:rsidP="00693FB2">
            <w:pPr>
              <w:jc w:val="center"/>
              <w:rPr>
                <w:b/>
              </w:rPr>
            </w:pPr>
            <w:r>
              <w:rPr>
                <w:b/>
              </w:rPr>
              <w:t>IH</w:t>
            </w:r>
            <w:r w:rsidRPr="006A76CD">
              <w:rPr>
                <w:b/>
              </w:rPr>
              <w:t xml:space="preserve"> Res</w:t>
            </w:r>
          </w:p>
        </w:tc>
        <w:tc>
          <w:tcPr>
            <w:tcW w:w="824" w:type="dxa"/>
            <w:shd w:val="clear" w:color="auto" w:fill="DEEAF6" w:themeFill="accent1" w:themeFillTint="33"/>
            <w:vAlign w:val="bottom"/>
          </w:tcPr>
          <w:p w14:paraId="4216A9A0" w14:textId="77777777" w:rsidR="00372A7F" w:rsidRPr="006A76CD" w:rsidRDefault="00372A7F" w:rsidP="00693FB2">
            <w:pPr>
              <w:jc w:val="center"/>
              <w:rPr>
                <w:b/>
              </w:rPr>
            </w:pPr>
            <w:proofErr w:type="spellStart"/>
            <w:r>
              <w:rPr>
                <w:b/>
              </w:rPr>
              <w:t>MoH</w:t>
            </w:r>
            <w:proofErr w:type="spellEnd"/>
          </w:p>
        </w:tc>
        <w:tc>
          <w:tcPr>
            <w:tcW w:w="825" w:type="dxa"/>
            <w:shd w:val="clear" w:color="auto" w:fill="DEEAF6" w:themeFill="accent1" w:themeFillTint="33"/>
          </w:tcPr>
          <w:p w14:paraId="7A762ED8" w14:textId="77777777" w:rsidR="00372A7F" w:rsidRDefault="00372A7F" w:rsidP="00693FB2">
            <w:pPr>
              <w:jc w:val="center"/>
              <w:rPr>
                <w:b/>
              </w:rPr>
            </w:pPr>
            <w:proofErr w:type="spellStart"/>
            <w:r>
              <w:rPr>
                <w:b/>
              </w:rPr>
              <w:t>Com’ty</w:t>
            </w:r>
            <w:proofErr w:type="spellEnd"/>
          </w:p>
          <w:p w14:paraId="22F01EDD" w14:textId="77777777" w:rsidR="00372A7F" w:rsidRPr="006A76CD" w:rsidRDefault="00372A7F" w:rsidP="00693FB2">
            <w:pPr>
              <w:jc w:val="center"/>
              <w:rPr>
                <w:b/>
              </w:rPr>
            </w:pPr>
            <w:r>
              <w:rPr>
                <w:b/>
              </w:rPr>
              <w:t>Labs</w:t>
            </w:r>
          </w:p>
        </w:tc>
        <w:tc>
          <w:tcPr>
            <w:tcW w:w="825" w:type="dxa"/>
            <w:shd w:val="clear" w:color="auto" w:fill="DEEAF6" w:themeFill="accent1" w:themeFillTint="33"/>
            <w:vAlign w:val="bottom"/>
          </w:tcPr>
          <w:p w14:paraId="70DCCAA4" w14:textId="77777777" w:rsidR="00372A7F" w:rsidRPr="006A76CD" w:rsidRDefault="00372A7F" w:rsidP="00693FB2">
            <w:pPr>
              <w:jc w:val="center"/>
              <w:rPr>
                <w:b/>
              </w:rPr>
            </w:pPr>
            <w:r w:rsidRPr="006A76CD">
              <w:rPr>
                <w:b/>
              </w:rPr>
              <w:t>Cerner Res</w:t>
            </w:r>
          </w:p>
        </w:tc>
        <w:tc>
          <w:tcPr>
            <w:tcW w:w="825" w:type="dxa"/>
            <w:shd w:val="clear" w:color="auto" w:fill="DEEAF6" w:themeFill="accent1" w:themeFillTint="33"/>
            <w:vAlign w:val="bottom"/>
          </w:tcPr>
          <w:p w14:paraId="6156E4EB" w14:textId="77777777" w:rsidR="00372A7F" w:rsidRPr="006A76CD" w:rsidRDefault="00372A7F" w:rsidP="00693FB2">
            <w:pPr>
              <w:tabs>
                <w:tab w:val="left" w:pos="321"/>
              </w:tabs>
              <w:jc w:val="center"/>
              <w:rPr>
                <w:b/>
              </w:rPr>
            </w:pPr>
            <w:proofErr w:type="spellStart"/>
            <w:r w:rsidRPr="006A76CD">
              <w:rPr>
                <w:b/>
              </w:rPr>
              <w:t>O’sight</w:t>
            </w:r>
            <w:proofErr w:type="spellEnd"/>
            <w:r w:rsidRPr="006A76CD">
              <w:rPr>
                <w:b/>
              </w:rPr>
              <w:t xml:space="preserve"> Group</w:t>
            </w:r>
          </w:p>
        </w:tc>
      </w:tr>
      <w:tr w:rsidR="00372A7F" w14:paraId="5AA7AB08" w14:textId="77777777" w:rsidTr="00693FB2">
        <w:tc>
          <w:tcPr>
            <w:tcW w:w="626" w:type="dxa"/>
            <w:vAlign w:val="center"/>
          </w:tcPr>
          <w:p w14:paraId="52EADD3F" w14:textId="77777777" w:rsidR="00372A7F" w:rsidRDefault="00372A7F" w:rsidP="00693FB2">
            <w:pPr>
              <w:jc w:val="center"/>
            </w:pPr>
            <w:r>
              <w:t>1</w:t>
            </w:r>
          </w:p>
        </w:tc>
        <w:tc>
          <w:tcPr>
            <w:tcW w:w="6479" w:type="dxa"/>
          </w:tcPr>
          <w:p w14:paraId="17369EAB" w14:textId="77777777" w:rsidR="00372A7F" w:rsidRDefault="00372A7F" w:rsidP="00693FB2">
            <w:r>
              <w:t>Island Health creates the REB-approved study population and a list of anonymized Study ID’s associated with that population.</w:t>
            </w:r>
          </w:p>
        </w:tc>
        <w:tc>
          <w:tcPr>
            <w:tcW w:w="825" w:type="dxa"/>
            <w:vAlign w:val="center"/>
          </w:tcPr>
          <w:p w14:paraId="2571C55D" w14:textId="77777777" w:rsidR="00372A7F" w:rsidRDefault="00372A7F" w:rsidP="00693FB2">
            <w:pPr>
              <w:jc w:val="center"/>
            </w:pPr>
            <w:r>
              <w:t>Perf</w:t>
            </w:r>
          </w:p>
        </w:tc>
        <w:tc>
          <w:tcPr>
            <w:tcW w:w="825" w:type="dxa"/>
            <w:vAlign w:val="center"/>
          </w:tcPr>
          <w:p w14:paraId="18AD3FF4" w14:textId="77777777" w:rsidR="00372A7F" w:rsidRDefault="00372A7F" w:rsidP="00693FB2">
            <w:pPr>
              <w:jc w:val="center"/>
            </w:pPr>
          </w:p>
        </w:tc>
        <w:tc>
          <w:tcPr>
            <w:tcW w:w="825" w:type="dxa"/>
            <w:vAlign w:val="center"/>
          </w:tcPr>
          <w:p w14:paraId="497B2BD6" w14:textId="77777777" w:rsidR="00372A7F" w:rsidRDefault="00372A7F" w:rsidP="00693FB2">
            <w:pPr>
              <w:jc w:val="center"/>
            </w:pPr>
          </w:p>
        </w:tc>
        <w:tc>
          <w:tcPr>
            <w:tcW w:w="824" w:type="dxa"/>
            <w:vAlign w:val="center"/>
          </w:tcPr>
          <w:p w14:paraId="154D936D" w14:textId="77777777" w:rsidR="00372A7F" w:rsidRDefault="00372A7F" w:rsidP="00693FB2">
            <w:pPr>
              <w:jc w:val="center"/>
            </w:pPr>
          </w:p>
        </w:tc>
        <w:tc>
          <w:tcPr>
            <w:tcW w:w="825" w:type="dxa"/>
            <w:vAlign w:val="center"/>
          </w:tcPr>
          <w:p w14:paraId="5C1D788A" w14:textId="77777777" w:rsidR="00372A7F" w:rsidRDefault="00372A7F" w:rsidP="00693FB2">
            <w:pPr>
              <w:jc w:val="center"/>
            </w:pPr>
          </w:p>
        </w:tc>
        <w:tc>
          <w:tcPr>
            <w:tcW w:w="825" w:type="dxa"/>
            <w:vAlign w:val="center"/>
          </w:tcPr>
          <w:p w14:paraId="71A62BF5" w14:textId="77777777" w:rsidR="00372A7F" w:rsidRDefault="00372A7F" w:rsidP="00693FB2">
            <w:pPr>
              <w:jc w:val="center"/>
            </w:pPr>
          </w:p>
        </w:tc>
        <w:tc>
          <w:tcPr>
            <w:tcW w:w="825" w:type="dxa"/>
            <w:vAlign w:val="center"/>
          </w:tcPr>
          <w:p w14:paraId="0EF15071" w14:textId="77777777" w:rsidR="00372A7F" w:rsidRDefault="00372A7F" w:rsidP="00693FB2">
            <w:pPr>
              <w:jc w:val="center"/>
            </w:pPr>
          </w:p>
        </w:tc>
      </w:tr>
      <w:tr w:rsidR="00372A7F" w14:paraId="360A9184" w14:textId="77777777" w:rsidTr="00693FB2">
        <w:tc>
          <w:tcPr>
            <w:tcW w:w="626" w:type="dxa"/>
            <w:vAlign w:val="center"/>
          </w:tcPr>
          <w:p w14:paraId="6D5943A5" w14:textId="77777777" w:rsidR="00372A7F" w:rsidRDefault="00372A7F" w:rsidP="00693FB2">
            <w:pPr>
              <w:jc w:val="center"/>
            </w:pPr>
            <w:r>
              <w:t>2</w:t>
            </w:r>
          </w:p>
        </w:tc>
        <w:tc>
          <w:tcPr>
            <w:tcW w:w="6479" w:type="dxa"/>
          </w:tcPr>
          <w:p w14:paraId="148506CE" w14:textId="77777777" w:rsidR="00372A7F" w:rsidRDefault="00372A7F" w:rsidP="00693FB2">
            <w:r>
              <w:t xml:space="preserve">Island Health creates temporary anonymized Study ID’s that map onto the Island Health Study ID’s used inside the Smart </w:t>
            </w:r>
            <w:proofErr w:type="spellStart"/>
            <w:r>
              <w:t>Antibiogram</w:t>
            </w:r>
            <w:proofErr w:type="spellEnd"/>
            <w:r>
              <w:t xml:space="preserve"> data holding.</w:t>
            </w:r>
          </w:p>
        </w:tc>
        <w:tc>
          <w:tcPr>
            <w:tcW w:w="825" w:type="dxa"/>
            <w:vAlign w:val="center"/>
          </w:tcPr>
          <w:p w14:paraId="4E62DC09" w14:textId="77777777" w:rsidR="00372A7F" w:rsidRDefault="00372A7F" w:rsidP="00693FB2">
            <w:pPr>
              <w:jc w:val="center"/>
            </w:pPr>
            <w:r>
              <w:t>Perf</w:t>
            </w:r>
          </w:p>
        </w:tc>
        <w:tc>
          <w:tcPr>
            <w:tcW w:w="825" w:type="dxa"/>
            <w:vAlign w:val="center"/>
          </w:tcPr>
          <w:p w14:paraId="41A01EE2" w14:textId="77777777" w:rsidR="00372A7F" w:rsidRDefault="00372A7F" w:rsidP="00693FB2">
            <w:pPr>
              <w:jc w:val="center"/>
            </w:pPr>
          </w:p>
        </w:tc>
        <w:tc>
          <w:tcPr>
            <w:tcW w:w="825" w:type="dxa"/>
            <w:vAlign w:val="center"/>
          </w:tcPr>
          <w:p w14:paraId="36CDA73C" w14:textId="77777777" w:rsidR="00372A7F" w:rsidRDefault="00372A7F" w:rsidP="00693FB2">
            <w:pPr>
              <w:jc w:val="center"/>
            </w:pPr>
          </w:p>
        </w:tc>
        <w:tc>
          <w:tcPr>
            <w:tcW w:w="824" w:type="dxa"/>
            <w:vAlign w:val="center"/>
          </w:tcPr>
          <w:p w14:paraId="0A956831" w14:textId="77777777" w:rsidR="00372A7F" w:rsidRDefault="00372A7F" w:rsidP="00693FB2">
            <w:pPr>
              <w:jc w:val="center"/>
            </w:pPr>
          </w:p>
        </w:tc>
        <w:tc>
          <w:tcPr>
            <w:tcW w:w="825" w:type="dxa"/>
            <w:vAlign w:val="center"/>
          </w:tcPr>
          <w:p w14:paraId="20CAC68A" w14:textId="77777777" w:rsidR="00372A7F" w:rsidRDefault="00372A7F" w:rsidP="00693FB2">
            <w:pPr>
              <w:jc w:val="center"/>
            </w:pPr>
          </w:p>
        </w:tc>
        <w:tc>
          <w:tcPr>
            <w:tcW w:w="825" w:type="dxa"/>
            <w:vAlign w:val="center"/>
          </w:tcPr>
          <w:p w14:paraId="1E2F7274" w14:textId="77777777" w:rsidR="00372A7F" w:rsidRDefault="00372A7F" w:rsidP="00693FB2">
            <w:pPr>
              <w:jc w:val="center"/>
            </w:pPr>
          </w:p>
        </w:tc>
        <w:tc>
          <w:tcPr>
            <w:tcW w:w="825" w:type="dxa"/>
            <w:vAlign w:val="center"/>
          </w:tcPr>
          <w:p w14:paraId="1D468936" w14:textId="77777777" w:rsidR="00372A7F" w:rsidRDefault="00372A7F" w:rsidP="00693FB2">
            <w:pPr>
              <w:jc w:val="center"/>
            </w:pPr>
          </w:p>
        </w:tc>
      </w:tr>
      <w:tr w:rsidR="00372A7F" w14:paraId="2CCED34D" w14:textId="77777777" w:rsidTr="00693FB2">
        <w:tc>
          <w:tcPr>
            <w:tcW w:w="626" w:type="dxa"/>
            <w:vAlign w:val="center"/>
          </w:tcPr>
          <w:p w14:paraId="4E7D57EF" w14:textId="77777777" w:rsidR="00372A7F" w:rsidRDefault="00372A7F" w:rsidP="00693FB2">
            <w:pPr>
              <w:jc w:val="center"/>
            </w:pPr>
            <w:r>
              <w:t>3</w:t>
            </w:r>
          </w:p>
        </w:tc>
        <w:tc>
          <w:tcPr>
            <w:tcW w:w="6479" w:type="dxa"/>
          </w:tcPr>
          <w:p w14:paraId="39A343A4" w14:textId="77777777" w:rsidR="00372A7F" w:rsidRDefault="00372A7F" w:rsidP="00693FB2">
            <w:r>
              <w:t>Island Health maps temporary Study ID’s onto PHN’s.</w:t>
            </w:r>
          </w:p>
        </w:tc>
        <w:tc>
          <w:tcPr>
            <w:tcW w:w="825" w:type="dxa"/>
            <w:vAlign w:val="center"/>
          </w:tcPr>
          <w:p w14:paraId="4766BFEC" w14:textId="77777777" w:rsidR="00372A7F" w:rsidRDefault="00372A7F" w:rsidP="00693FB2">
            <w:pPr>
              <w:jc w:val="center"/>
            </w:pPr>
            <w:r>
              <w:t>Perf</w:t>
            </w:r>
          </w:p>
        </w:tc>
        <w:tc>
          <w:tcPr>
            <w:tcW w:w="825" w:type="dxa"/>
            <w:vAlign w:val="center"/>
          </w:tcPr>
          <w:p w14:paraId="4BDD964D" w14:textId="77777777" w:rsidR="00372A7F" w:rsidRDefault="00372A7F" w:rsidP="00693FB2">
            <w:pPr>
              <w:jc w:val="center"/>
            </w:pPr>
          </w:p>
        </w:tc>
        <w:tc>
          <w:tcPr>
            <w:tcW w:w="825" w:type="dxa"/>
            <w:vAlign w:val="center"/>
          </w:tcPr>
          <w:p w14:paraId="0EDBF273" w14:textId="77777777" w:rsidR="00372A7F" w:rsidRDefault="00372A7F" w:rsidP="00693FB2">
            <w:pPr>
              <w:jc w:val="center"/>
            </w:pPr>
          </w:p>
        </w:tc>
        <w:tc>
          <w:tcPr>
            <w:tcW w:w="824" w:type="dxa"/>
            <w:vAlign w:val="center"/>
          </w:tcPr>
          <w:p w14:paraId="26F0DD87" w14:textId="77777777" w:rsidR="00372A7F" w:rsidRDefault="00372A7F" w:rsidP="00693FB2">
            <w:pPr>
              <w:jc w:val="center"/>
            </w:pPr>
          </w:p>
        </w:tc>
        <w:tc>
          <w:tcPr>
            <w:tcW w:w="825" w:type="dxa"/>
            <w:vAlign w:val="center"/>
          </w:tcPr>
          <w:p w14:paraId="016F3CEB" w14:textId="77777777" w:rsidR="00372A7F" w:rsidRDefault="00372A7F" w:rsidP="00693FB2">
            <w:pPr>
              <w:jc w:val="center"/>
            </w:pPr>
          </w:p>
        </w:tc>
        <w:tc>
          <w:tcPr>
            <w:tcW w:w="825" w:type="dxa"/>
            <w:vAlign w:val="center"/>
          </w:tcPr>
          <w:p w14:paraId="2380B1AE" w14:textId="77777777" w:rsidR="00372A7F" w:rsidRDefault="00372A7F" w:rsidP="00693FB2">
            <w:pPr>
              <w:jc w:val="center"/>
            </w:pPr>
          </w:p>
        </w:tc>
        <w:tc>
          <w:tcPr>
            <w:tcW w:w="825" w:type="dxa"/>
            <w:vAlign w:val="center"/>
          </w:tcPr>
          <w:p w14:paraId="1B2D1D6E" w14:textId="77777777" w:rsidR="00372A7F" w:rsidRDefault="00372A7F" w:rsidP="00693FB2">
            <w:pPr>
              <w:jc w:val="center"/>
            </w:pPr>
          </w:p>
        </w:tc>
      </w:tr>
      <w:tr w:rsidR="00372A7F" w14:paraId="32929CEC" w14:textId="77777777" w:rsidTr="00693FB2">
        <w:tc>
          <w:tcPr>
            <w:tcW w:w="626" w:type="dxa"/>
            <w:vAlign w:val="center"/>
          </w:tcPr>
          <w:p w14:paraId="158CF400" w14:textId="77777777" w:rsidR="00372A7F" w:rsidRDefault="00372A7F" w:rsidP="00693FB2">
            <w:pPr>
              <w:jc w:val="center"/>
            </w:pPr>
            <w:r>
              <w:t>4</w:t>
            </w:r>
          </w:p>
        </w:tc>
        <w:tc>
          <w:tcPr>
            <w:tcW w:w="6479" w:type="dxa"/>
          </w:tcPr>
          <w:p w14:paraId="5B79569D" w14:textId="77777777" w:rsidR="00372A7F" w:rsidRDefault="00372A7F" w:rsidP="00693FB2">
            <w:r>
              <w:t xml:space="preserve">Island Health provides </w:t>
            </w:r>
            <w:proofErr w:type="spellStart"/>
            <w:r>
              <w:t>MoH</w:t>
            </w:r>
            <w:proofErr w:type="spellEnd"/>
            <w:r>
              <w:t xml:space="preserve"> or holder of Community Lab data with a linkage file consisting of a list of temporary Study ID’s and PHNs. </w:t>
            </w:r>
          </w:p>
        </w:tc>
        <w:tc>
          <w:tcPr>
            <w:tcW w:w="825" w:type="dxa"/>
            <w:vAlign w:val="center"/>
          </w:tcPr>
          <w:p w14:paraId="58FCA67A" w14:textId="77777777" w:rsidR="00372A7F" w:rsidRDefault="00372A7F" w:rsidP="00693FB2">
            <w:pPr>
              <w:jc w:val="center"/>
            </w:pPr>
            <w:r>
              <w:t>Perf</w:t>
            </w:r>
          </w:p>
        </w:tc>
        <w:tc>
          <w:tcPr>
            <w:tcW w:w="825" w:type="dxa"/>
            <w:vAlign w:val="center"/>
          </w:tcPr>
          <w:p w14:paraId="6F8B8BF5" w14:textId="77777777" w:rsidR="00372A7F" w:rsidRDefault="00372A7F" w:rsidP="00693FB2">
            <w:pPr>
              <w:jc w:val="center"/>
            </w:pPr>
          </w:p>
        </w:tc>
        <w:tc>
          <w:tcPr>
            <w:tcW w:w="825" w:type="dxa"/>
            <w:vAlign w:val="center"/>
          </w:tcPr>
          <w:p w14:paraId="57851696" w14:textId="77777777" w:rsidR="00372A7F" w:rsidRDefault="00372A7F" w:rsidP="00693FB2">
            <w:pPr>
              <w:jc w:val="center"/>
            </w:pPr>
          </w:p>
        </w:tc>
        <w:tc>
          <w:tcPr>
            <w:tcW w:w="824" w:type="dxa"/>
            <w:vAlign w:val="center"/>
          </w:tcPr>
          <w:p w14:paraId="27C05794" w14:textId="77777777" w:rsidR="00372A7F" w:rsidRDefault="00372A7F" w:rsidP="00693FB2">
            <w:pPr>
              <w:jc w:val="center"/>
            </w:pPr>
            <w:r>
              <w:t>Perf</w:t>
            </w:r>
          </w:p>
        </w:tc>
        <w:tc>
          <w:tcPr>
            <w:tcW w:w="825" w:type="dxa"/>
            <w:vAlign w:val="center"/>
          </w:tcPr>
          <w:p w14:paraId="18EC8F80" w14:textId="77777777" w:rsidR="00372A7F" w:rsidRDefault="00372A7F" w:rsidP="00693FB2">
            <w:pPr>
              <w:jc w:val="center"/>
            </w:pPr>
          </w:p>
        </w:tc>
        <w:tc>
          <w:tcPr>
            <w:tcW w:w="825" w:type="dxa"/>
            <w:vAlign w:val="center"/>
          </w:tcPr>
          <w:p w14:paraId="4649E6F5" w14:textId="77777777" w:rsidR="00372A7F" w:rsidRDefault="00372A7F" w:rsidP="00693FB2">
            <w:pPr>
              <w:jc w:val="center"/>
            </w:pPr>
            <w:r>
              <w:t>Perf</w:t>
            </w:r>
          </w:p>
        </w:tc>
        <w:tc>
          <w:tcPr>
            <w:tcW w:w="825" w:type="dxa"/>
            <w:vAlign w:val="center"/>
          </w:tcPr>
          <w:p w14:paraId="1C2E2D75" w14:textId="77777777" w:rsidR="00372A7F" w:rsidRDefault="00372A7F" w:rsidP="00693FB2">
            <w:pPr>
              <w:jc w:val="center"/>
            </w:pPr>
          </w:p>
        </w:tc>
      </w:tr>
      <w:tr w:rsidR="00372A7F" w14:paraId="51A101BF" w14:textId="77777777" w:rsidTr="00693FB2">
        <w:tc>
          <w:tcPr>
            <w:tcW w:w="626" w:type="dxa"/>
            <w:vAlign w:val="center"/>
          </w:tcPr>
          <w:p w14:paraId="3D9AE526" w14:textId="77777777" w:rsidR="00372A7F" w:rsidRDefault="00372A7F" w:rsidP="00693FB2">
            <w:pPr>
              <w:jc w:val="center"/>
            </w:pPr>
            <w:r>
              <w:t>5</w:t>
            </w:r>
          </w:p>
        </w:tc>
        <w:tc>
          <w:tcPr>
            <w:tcW w:w="6479" w:type="dxa"/>
          </w:tcPr>
          <w:p w14:paraId="7A55AD5B" w14:textId="77777777" w:rsidR="00372A7F" w:rsidRDefault="00372A7F" w:rsidP="00693FB2">
            <w:proofErr w:type="spellStart"/>
            <w:r>
              <w:t>MoH</w:t>
            </w:r>
            <w:proofErr w:type="spellEnd"/>
            <w:r>
              <w:t xml:space="preserve"> or holder of Community Lab data attaches Pharmacy/Lab data to PHN’s  and then substitutes temporary Study ID’s for PHN’s, deleting the PHN’s from the files to be returned to Island Health.</w:t>
            </w:r>
          </w:p>
        </w:tc>
        <w:tc>
          <w:tcPr>
            <w:tcW w:w="825" w:type="dxa"/>
            <w:vAlign w:val="center"/>
          </w:tcPr>
          <w:p w14:paraId="43E871FF" w14:textId="77777777" w:rsidR="00372A7F" w:rsidRDefault="00372A7F" w:rsidP="00693FB2">
            <w:pPr>
              <w:jc w:val="center"/>
            </w:pPr>
          </w:p>
        </w:tc>
        <w:tc>
          <w:tcPr>
            <w:tcW w:w="825" w:type="dxa"/>
            <w:vAlign w:val="center"/>
          </w:tcPr>
          <w:p w14:paraId="476A19E1" w14:textId="77777777" w:rsidR="00372A7F" w:rsidRDefault="00372A7F" w:rsidP="00693FB2">
            <w:pPr>
              <w:jc w:val="center"/>
            </w:pPr>
          </w:p>
        </w:tc>
        <w:tc>
          <w:tcPr>
            <w:tcW w:w="825" w:type="dxa"/>
            <w:vAlign w:val="center"/>
          </w:tcPr>
          <w:p w14:paraId="4C6FA933" w14:textId="77777777" w:rsidR="00372A7F" w:rsidRDefault="00372A7F" w:rsidP="00693FB2">
            <w:pPr>
              <w:jc w:val="center"/>
            </w:pPr>
          </w:p>
        </w:tc>
        <w:tc>
          <w:tcPr>
            <w:tcW w:w="824" w:type="dxa"/>
            <w:vAlign w:val="center"/>
          </w:tcPr>
          <w:p w14:paraId="72BAE8E9" w14:textId="77777777" w:rsidR="00372A7F" w:rsidRDefault="00372A7F" w:rsidP="00693FB2">
            <w:pPr>
              <w:jc w:val="center"/>
            </w:pPr>
            <w:r>
              <w:t>Perf</w:t>
            </w:r>
          </w:p>
        </w:tc>
        <w:tc>
          <w:tcPr>
            <w:tcW w:w="825" w:type="dxa"/>
            <w:vAlign w:val="center"/>
          </w:tcPr>
          <w:p w14:paraId="07861541" w14:textId="77777777" w:rsidR="00372A7F" w:rsidRDefault="00372A7F" w:rsidP="00693FB2">
            <w:pPr>
              <w:jc w:val="center"/>
            </w:pPr>
            <w:r>
              <w:t>Perf</w:t>
            </w:r>
          </w:p>
        </w:tc>
        <w:tc>
          <w:tcPr>
            <w:tcW w:w="825" w:type="dxa"/>
            <w:vAlign w:val="center"/>
          </w:tcPr>
          <w:p w14:paraId="3DEA1397" w14:textId="77777777" w:rsidR="00372A7F" w:rsidRDefault="00372A7F" w:rsidP="00693FB2">
            <w:pPr>
              <w:jc w:val="center"/>
            </w:pPr>
            <w:r>
              <w:t>Perf</w:t>
            </w:r>
          </w:p>
        </w:tc>
        <w:tc>
          <w:tcPr>
            <w:tcW w:w="825" w:type="dxa"/>
            <w:vAlign w:val="center"/>
          </w:tcPr>
          <w:p w14:paraId="57FE4B71" w14:textId="77777777" w:rsidR="00372A7F" w:rsidRDefault="00372A7F" w:rsidP="00693FB2">
            <w:pPr>
              <w:jc w:val="center"/>
            </w:pPr>
          </w:p>
        </w:tc>
      </w:tr>
      <w:tr w:rsidR="00372A7F" w14:paraId="4F1A70D9" w14:textId="77777777" w:rsidTr="00693FB2">
        <w:tc>
          <w:tcPr>
            <w:tcW w:w="626" w:type="dxa"/>
            <w:vAlign w:val="center"/>
          </w:tcPr>
          <w:p w14:paraId="28CCD21B" w14:textId="77777777" w:rsidR="00372A7F" w:rsidRDefault="00372A7F" w:rsidP="00693FB2">
            <w:pPr>
              <w:jc w:val="center"/>
            </w:pPr>
            <w:r>
              <w:t>6</w:t>
            </w:r>
          </w:p>
        </w:tc>
        <w:tc>
          <w:tcPr>
            <w:tcW w:w="6479" w:type="dxa"/>
          </w:tcPr>
          <w:p w14:paraId="54A527DB" w14:textId="77777777" w:rsidR="00372A7F" w:rsidRDefault="00372A7F" w:rsidP="00693FB2">
            <w:proofErr w:type="spellStart"/>
            <w:r>
              <w:t>MoH</w:t>
            </w:r>
            <w:proofErr w:type="spellEnd"/>
            <w:r>
              <w:t xml:space="preserve"> or holder of Community Lab data sends Island Health data warehouse staff the requested, REB-approved data, with temporary Study ID’s associated with the Records. A Secure File Transfer protocol approved by all parties involved in the disclosure is employed.</w:t>
            </w:r>
          </w:p>
        </w:tc>
        <w:tc>
          <w:tcPr>
            <w:tcW w:w="825" w:type="dxa"/>
            <w:vAlign w:val="center"/>
          </w:tcPr>
          <w:p w14:paraId="5EF6D26D" w14:textId="77777777" w:rsidR="00372A7F" w:rsidRDefault="00372A7F" w:rsidP="00693FB2">
            <w:pPr>
              <w:jc w:val="center"/>
            </w:pPr>
          </w:p>
        </w:tc>
        <w:tc>
          <w:tcPr>
            <w:tcW w:w="825" w:type="dxa"/>
            <w:vAlign w:val="center"/>
          </w:tcPr>
          <w:p w14:paraId="3DF37F95" w14:textId="77777777" w:rsidR="00372A7F" w:rsidRDefault="00372A7F" w:rsidP="00693FB2">
            <w:pPr>
              <w:jc w:val="center"/>
            </w:pPr>
          </w:p>
        </w:tc>
        <w:tc>
          <w:tcPr>
            <w:tcW w:w="825" w:type="dxa"/>
            <w:vAlign w:val="center"/>
          </w:tcPr>
          <w:p w14:paraId="417244C1" w14:textId="77777777" w:rsidR="00372A7F" w:rsidRDefault="00372A7F" w:rsidP="00693FB2">
            <w:pPr>
              <w:jc w:val="center"/>
            </w:pPr>
          </w:p>
        </w:tc>
        <w:tc>
          <w:tcPr>
            <w:tcW w:w="824" w:type="dxa"/>
            <w:vAlign w:val="center"/>
          </w:tcPr>
          <w:p w14:paraId="57C480D8" w14:textId="77777777" w:rsidR="00372A7F" w:rsidRDefault="00372A7F" w:rsidP="00693FB2">
            <w:pPr>
              <w:jc w:val="center"/>
            </w:pPr>
            <w:r>
              <w:t>Perf</w:t>
            </w:r>
          </w:p>
        </w:tc>
        <w:tc>
          <w:tcPr>
            <w:tcW w:w="825" w:type="dxa"/>
            <w:vAlign w:val="center"/>
          </w:tcPr>
          <w:p w14:paraId="288FCB6B" w14:textId="77777777" w:rsidR="00372A7F" w:rsidRDefault="00372A7F" w:rsidP="00693FB2">
            <w:pPr>
              <w:jc w:val="center"/>
            </w:pPr>
            <w:r>
              <w:t>Perf</w:t>
            </w:r>
          </w:p>
        </w:tc>
        <w:tc>
          <w:tcPr>
            <w:tcW w:w="825" w:type="dxa"/>
            <w:vAlign w:val="center"/>
          </w:tcPr>
          <w:p w14:paraId="2F7B7F65" w14:textId="77777777" w:rsidR="00372A7F" w:rsidRDefault="00372A7F" w:rsidP="00693FB2">
            <w:pPr>
              <w:jc w:val="center"/>
            </w:pPr>
          </w:p>
        </w:tc>
        <w:tc>
          <w:tcPr>
            <w:tcW w:w="825" w:type="dxa"/>
            <w:vAlign w:val="center"/>
          </w:tcPr>
          <w:p w14:paraId="2FD31006" w14:textId="77777777" w:rsidR="00372A7F" w:rsidRDefault="00372A7F" w:rsidP="00693FB2">
            <w:pPr>
              <w:jc w:val="center"/>
            </w:pPr>
          </w:p>
        </w:tc>
      </w:tr>
      <w:tr w:rsidR="00372A7F" w14:paraId="67C47955" w14:textId="77777777" w:rsidTr="00693FB2">
        <w:tc>
          <w:tcPr>
            <w:tcW w:w="626" w:type="dxa"/>
            <w:vAlign w:val="center"/>
          </w:tcPr>
          <w:p w14:paraId="4468174A" w14:textId="77777777" w:rsidR="00372A7F" w:rsidRDefault="00372A7F" w:rsidP="00693FB2">
            <w:pPr>
              <w:jc w:val="center"/>
            </w:pPr>
            <w:r>
              <w:t>7</w:t>
            </w:r>
          </w:p>
        </w:tc>
        <w:tc>
          <w:tcPr>
            <w:tcW w:w="6479" w:type="dxa"/>
          </w:tcPr>
          <w:p w14:paraId="68523F48" w14:textId="77777777" w:rsidR="00372A7F" w:rsidRDefault="00372A7F" w:rsidP="00693FB2">
            <w:r>
              <w:t xml:space="preserve">Island Health attaches </w:t>
            </w:r>
            <w:proofErr w:type="spellStart"/>
            <w:r>
              <w:t>MoH</w:t>
            </w:r>
            <w:proofErr w:type="spellEnd"/>
            <w:r>
              <w:t xml:space="preserve"> or holder of Community Lab data to Smart </w:t>
            </w:r>
            <w:proofErr w:type="spellStart"/>
            <w:r>
              <w:t>Antibiogram</w:t>
            </w:r>
            <w:proofErr w:type="spellEnd"/>
            <w:r>
              <w:t xml:space="preserve"> study population using the Island Health key that links temporary Study ID’s to the Study ID’s employed in Smart </w:t>
            </w:r>
            <w:proofErr w:type="spellStart"/>
            <w:r>
              <w:t>Antibiogram</w:t>
            </w:r>
            <w:proofErr w:type="spellEnd"/>
            <w:r>
              <w:t xml:space="preserve"> data holding. </w:t>
            </w:r>
          </w:p>
        </w:tc>
        <w:tc>
          <w:tcPr>
            <w:tcW w:w="825" w:type="dxa"/>
            <w:vAlign w:val="center"/>
          </w:tcPr>
          <w:p w14:paraId="36529F59" w14:textId="77777777" w:rsidR="00372A7F" w:rsidRDefault="00372A7F" w:rsidP="00693FB2">
            <w:pPr>
              <w:jc w:val="center"/>
            </w:pPr>
            <w:r>
              <w:t>Perf</w:t>
            </w:r>
          </w:p>
        </w:tc>
        <w:tc>
          <w:tcPr>
            <w:tcW w:w="825" w:type="dxa"/>
            <w:vAlign w:val="center"/>
          </w:tcPr>
          <w:p w14:paraId="1AB7EC48" w14:textId="77777777" w:rsidR="00372A7F" w:rsidRDefault="00372A7F" w:rsidP="00693FB2">
            <w:pPr>
              <w:jc w:val="center"/>
            </w:pPr>
          </w:p>
        </w:tc>
        <w:tc>
          <w:tcPr>
            <w:tcW w:w="825" w:type="dxa"/>
            <w:vAlign w:val="center"/>
          </w:tcPr>
          <w:p w14:paraId="1CF03C8F" w14:textId="77777777" w:rsidR="00372A7F" w:rsidRDefault="00372A7F" w:rsidP="00693FB2">
            <w:pPr>
              <w:jc w:val="center"/>
            </w:pPr>
          </w:p>
        </w:tc>
        <w:tc>
          <w:tcPr>
            <w:tcW w:w="824" w:type="dxa"/>
            <w:vAlign w:val="center"/>
          </w:tcPr>
          <w:p w14:paraId="474FE87B" w14:textId="77777777" w:rsidR="00372A7F" w:rsidRDefault="00372A7F" w:rsidP="00693FB2">
            <w:pPr>
              <w:jc w:val="center"/>
            </w:pPr>
          </w:p>
        </w:tc>
        <w:tc>
          <w:tcPr>
            <w:tcW w:w="825" w:type="dxa"/>
            <w:vAlign w:val="center"/>
          </w:tcPr>
          <w:p w14:paraId="5F9688CE" w14:textId="77777777" w:rsidR="00372A7F" w:rsidRDefault="00372A7F" w:rsidP="00693FB2">
            <w:pPr>
              <w:jc w:val="center"/>
            </w:pPr>
          </w:p>
        </w:tc>
        <w:tc>
          <w:tcPr>
            <w:tcW w:w="825" w:type="dxa"/>
            <w:vAlign w:val="center"/>
          </w:tcPr>
          <w:p w14:paraId="2D0B23AC" w14:textId="77777777" w:rsidR="00372A7F" w:rsidRDefault="00372A7F" w:rsidP="00693FB2">
            <w:pPr>
              <w:jc w:val="center"/>
            </w:pPr>
          </w:p>
        </w:tc>
        <w:tc>
          <w:tcPr>
            <w:tcW w:w="825" w:type="dxa"/>
            <w:vAlign w:val="center"/>
          </w:tcPr>
          <w:p w14:paraId="1F645959" w14:textId="77777777" w:rsidR="00372A7F" w:rsidRDefault="00372A7F" w:rsidP="00693FB2">
            <w:pPr>
              <w:jc w:val="center"/>
            </w:pPr>
          </w:p>
        </w:tc>
      </w:tr>
      <w:tr w:rsidR="00372A7F" w14:paraId="16256BD7" w14:textId="77777777" w:rsidTr="00693FB2">
        <w:tc>
          <w:tcPr>
            <w:tcW w:w="626" w:type="dxa"/>
            <w:vAlign w:val="center"/>
          </w:tcPr>
          <w:p w14:paraId="776F8F16" w14:textId="77777777" w:rsidR="00372A7F" w:rsidRDefault="00372A7F" w:rsidP="00693FB2">
            <w:pPr>
              <w:jc w:val="center"/>
            </w:pPr>
            <w:r>
              <w:t>8</w:t>
            </w:r>
          </w:p>
        </w:tc>
        <w:tc>
          <w:tcPr>
            <w:tcW w:w="6479" w:type="dxa"/>
          </w:tcPr>
          <w:p w14:paraId="0DD13DB3" w14:textId="77777777" w:rsidR="00372A7F" w:rsidRDefault="00372A7F" w:rsidP="00693FB2">
            <w:r>
              <w:t xml:space="preserve">Island Health notifies </w:t>
            </w:r>
            <w:proofErr w:type="spellStart"/>
            <w:r>
              <w:t>MoH</w:t>
            </w:r>
            <w:proofErr w:type="spellEnd"/>
            <w:r>
              <w:t xml:space="preserve"> or holder of Community Lab data that the linkage has been completed. </w:t>
            </w:r>
          </w:p>
        </w:tc>
        <w:tc>
          <w:tcPr>
            <w:tcW w:w="825" w:type="dxa"/>
            <w:vAlign w:val="center"/>
          </w:tcPr>
          <w:p w14:paraId="2F38B580" w14:textId="77777777" w:rsidR="00372A7F" w:rsidRDefault="00372A7F" w:rsidP="00693FB2">
            <w:pPr>
              <w:jc w:val="center"/>
            </w:pPr>
            <w:r>
              <w:t>Perf</w:t>
            </w:r>
          </w:p>
        </w:tc>
        <w:tc>
          <w:tcPr>
            <w:tcW w:w="825" w:type="dxa"/>
            <w:vAlign w:val="center"/>
          </w:tcPr>
          <w:p w14:paraId="2D97AF31" w14:textId="77777777" w:rsidR="00372A7F" w:rsidRDefault="00372A7F" w:rsidP="00693FB2">
            <w:pPr>
              <w:jc w:val="center"/>
            </w:pPr>
          </w:p>
        </w:tc>
        <w:tc>
          <w:tcPr>
            <w:tcW w:w="825" w:type="dxa"/>
            <w:vAlign w:val="center"/>
          </w:tcPr>
          <w:p w14:paraId="2F28AD6A" w14:textId="77777777" w:rsidR="00372A7F" w:rsidRDefault="00372A7F" w:rsidP="00693FB2">
            <w:pPr>
              <w:jc w:val="center"/>
            </w:pPr>
          </w:p>
        </w:tc>
        <w:tc>
          <w:tcPr>
            <w:tcW w:w="824" w:type="dxa"/>
            <w:vAlign w:val="center"/>
          </w:tcPr>
          <w:p w14:paraId="46918157" w14:textId="77777777" w:rsidR="00372A7F" w:rsidRDefault="00372A7F" w:rsidP="00693FB2">
            <w:pPr>
              <w:jc w:val="center"/>
            </w:pPr>
          </w:p>
        </w:tc>
        <w:tc>
          <w:tcPr>
            <w:tcW w:w="825" w:type="dxa"/>
            <w:vAlign w:val="center"/>
          </w:tcPr>
          <w:p w14:paraId="571BCB88" w14:textId="77777777" w:rsidR="00372A7F" w:rsidRDefault="00372A7F" w:rsidP="00693FB2">
            <w:pPr>
              <w:jc w:val="center"/>
            </w:pPr>
          </w:p>
        </w:tc>
        <w:tc>
          <w:tcPr>
            <w:tcW w:w="825" w:type="dxa"/>
            <w:vAlign w:val="center"/>
          </w:tcPr>
          <w:p w14:paraId="605C13F2" w14:textId="77777777" w:rsidR="00372A7F" w:rsidRDefault="00372A7F" w:rsidP="00693FB2">
            <w:pPr>
              <w:jc w:val="center"/>
            </w:pPr>
            <w:r>
              <w:t>Perf</w:t>
            </w:r>
          </w:p>
        </w:tc>
        <w:tc>
          <w:tcPr>
            <w:tcW w:w="825" w:type="dxa"/>
            <w:vAlign w:val="center"/>
          </w:tcPr>
          <w:p w14:paraId="47760833" w14:textId="77777777" w:rsidR="00372A7F" w:rsidRDefault="00372A7F" w:rsidP="00693FB2">
            <w:pPr>
              <w:jc w:val="center"/>
            </w:pPr>
          </w:p>
        </w:tc>
      </w:tr>
      <w:tr w:rsidR="00372A7F" w14:paraId="17FAF333" w14:textId="77777777" w:rsidTr="00693FB2">
        <w:tc>
          <w:tcPr>
            <w:tcW w:w="626" w:type="dxa"/>
            <w:vAlign w:val="center"/>
          </w:tcPr>
          <w:p w14:paraId="34A6CC61" w14:textId="77777777" w:rsidR="00372A7F" w:rsidRDefault="00372A7F" w:rsidP="00693FB2">
            <w:pPr>
              <w:jc w:val="center"/>
            </w:pPr>
            <w:r>
              <w:t>9</w:t>
            </w:r>
          </w:p>
        </w:tc>
        <w:tc>
          <w:tcPr>
            <w:tcW w:w="6479" w:type="dxa"/>
          </w:tcPr>
          <w:p w14:paraId="7DFB84B2" w14:textId="77777777" w:rsidR="00372A7F" w:rsidRDefault="00372A7F" w:rsidP="00693FB2">
            <w:proofErr w:type="spellStart"/>
            <w:r>
              <w:t>MoH</w:t>
            </w:r>
            <w:proofErr w:type="spellEnd"/>
            <w:r>
              <w:t xml:space="preserve"> or holder of the Community Lab data destroys the linkage key that associates temporary Study ID’s with PHN’s.</w:t>
            </w:r>
          </w:p>
        </w:tc>
        <w:tc>
          <w:tcPr>
            <w:tcW w:w="825" w:type="dxa"/>
            <w:vAlign w:val="center"/>
          </w:tcPr>
          <w:p w14:paraId="351E8A3D" w14:textId="77777777" w:rsidR="00372A7F" w:rsidRDefault="00372A7F" w:rsidP="00693FB2">
            <w:pPr>
              <w:jc w:val="center"/>
            </w:pPr>
          </w:p>
        </w:tc>
        <w:tc>
          <w:tcPr>
            <w:tcW w:w="825" w:type="dxa"/>
            <w:vAlign w:val="center"/>
          </w:tcPr>
          <w:p w14:paraId="6FAA1D73" w14:textId="77777777" w:rsidR="00372A7F" w:rsidRDefault="00372A7F" w:rsidP="00693FB2">
            <w:pPr>
              <w:jc w:val="center"/>
            </w:pPr>
          </w:p>
        </w:tc>
        <w:tc>
          <w:tcPr>
            <w:tcW w:w="825" w:type="dxa"/>
            <w:vAlign w:val="center"/>
          </w:tcPr>
          <w:p w14:paraId="6C38B611" w14:textId="77777777" w:rsidR="00372A7F" w:rsidRDefault="00372A7F" w:rsidP="00693FB2">
            <w:pPr>
              <w:jc w:val="center"/>
            </w:pPr>
          </w:p>
        </w:tc>
        <w:tc>
          <w:tcPr>
            <w:tcW w:w="824" w:type="dxa"/>
            <w:vAlign w:val="center"/>
          </w:tcPr>
          <w:p w14:paraId="56AD9C97" w14:textId="77777777" w:rsidR="00372A7F" w:rsidRDefault="00372A7F" w:rsidP="00693FB2">
            <w:pPr>
              <w:jc w:val="center"/>
            </w:pPr>
            <w:r>
              <w:t>Perf</w:t>
            </w:r>
          </w:p>
        </w:tc>
        <w:tc>
          <w:tcPr>
            <w:tcW w:w="825" w:type="dxa"/>
            <w:vAlign w:val="center"/>
          </w:tcPr>
          <w:p w14:paraId="5D5D34C8" w14:textId="77777777" w:rsidR="00372A7F" w:rsidRDefault="00372A7F" w:rsidP="00693FB2">
            <w:pPr>
              <w:jc w:val="center"/>
            </w:pPr>
            <w:r>
              <w:t>Perf</w:t>
            </w:r>
          </w:p>
        </w:tc>
        <w:tc>
          <w:tcPr>
            <w:tcW w:w="825" w:type="dxa"/>
            <w:vAlign w:val="center"/>
          </w:tcPr>
          <w:p w14:paraId="5BBEB405" w14:textId="77777777" w:rsidR="00372A7F" w:rsidRDefault="00372A7F" w:rsidP="00693FB2">
            <w:pPr>
              <w:jc w:val="center"/>
            </w:pPr>
            <w:r>
              <w:t>C/A</w:t>
            </w:r>
          </w:p>
        </w:tc>
        <w:tc>
          <w:tcPr>
            <w:tcW w:w="825" w:type="dxa"/>
            <w:vAlign w:val="center"/>
          </w:tcPr>
          <w:p w14:paraId="3E0D1C14" w14:textId="77777777" w:rsidR="00372A7F" w:rsidRDefault="00372A7F" w:rsidP="00693FB2">
            <w:pPr>
              <w:jc w:val="center"/>
            </w:pPr>
          </w:p>
        </w:tc>
      </w:tr>
      <w:tr w:rsidR="00372A7F" w14:paraId="3488EB72" w14:textId="77777777" w:rsidTr="00693FB2">
        <w:tc>
          <w:tcPr>
            <w:tcW w:w="626" w:type="dxa"/>
            <w:vAlign w:val="center"/>
          </w:tcPr>
          <w:p w14:paraId="1150AD64" w14:textId="77777777" w:rsidR="00372A7F" w:rsidRDefault="00372A7F" w:rsidP="00693FB2">
            <w:pPr>
              <w:jc w:val="center"/>
            </w:pPr>
            <w:r>
              <w:t>10</w:t>
            </w:r>
          </w:p>
        </w:tc>
        <w:tc>
          <w:tcPr>
            <w:tcW w:w="6479" w:type="dxa"/>
          </w:tcPr>
          <w:p w14:paraId="5F18A234" w14:textId="77777777" w:rsidR="00372A7F" w:rsidRDefault="00372A7F" w:rsidP="00693FB2">
            <w:proofErr w:type="spellStart"/>
            <w:r>
              <w:t>MoH</w:t>
            </w:r>
            <w:proofErr w:type="spellEnd"/>
            <w:r>
              <w:t xml:space="preserve"> or holder of the Community Lab data notifies Island Health that the linkage keys have been destroyed </w:t>
            </w:r>
          </w:p>
        </w:tc>
        <w:tc>
          <w:tcPr>
            <w:tcW w:w="825" w:type="dxa"/>
            <w:vAlign w:val="center"/>
          </w:tcPr>
          <w:p w14:paraId="4F138CAA" w14:textId="77777777" w:rsidR="00372A7F" w:rsidRDefault="00372A7F" w:rsidP="00693FB2">
            <w:pPr>
              <w:jc w:val="center"/>
            </w:pPr>
            <w:r>
              <w:t>Perf</w:t>
            </w:r>
          </w:p>
        </w:tc>
        <w:tc>
          <w:tcPr>
            <w:tcW w:w="825" w:type="dxa"/>
            <w:vAlign w:val="center"/>
          </w:tcPr>
          <w:p w14:paraId="3C08458D" w14:textId="77777777" w:rsidR="00372A7F" w:rsidRDefault="00372A7F" w:rsidP="00693FB2">
            <w:pPr>
              <w:jc w:val="center"/>
            </w:pPr>
          </w:p>
        </w:tc>
        <w:tc>
          <w:tcPr>
            <w:tcW w:w="825" w:type="dxa"/>
            <w:vAlign w:val="center"/>
          </w:tcPr>
          <w:p w14:paraId="24610C5D" w14:textId="77777777" w:rsidR="00372A7F" w:rsidRDefault="00372A7F" w:rsidP="00693FB2">
            <w:pPr>
              <w:jc w:val="center"/>
            </w:pPr>
          </w:p>
        </w:tc>
        <w:tc>
          <w:tcPr>
            <w:tcW w:w="824" w:type="dxa"/>
            <w:vAlign w:val="center"/>
          </w:tcPr>
          <w:p w14:paraId="3A2412F8" w14:textId="77777777" w:rsidR="00372A7F" w:rsidRDefault="00372A7F" w:rsidP="00693FB2">
            <w:pPr>
              <w:jc w:val="center"/>
            </w:pPr>
            <w:r>
              <w:t>Perf</w:t>
            </w:r>
          </w:p>
        </w:tc>
        <w:tc>
          <w:tcPr>
            <w:tcW w:w="825" w:type="dxa"/>
            <w:vAlign w:val="center"/>
          </w:tcPr>
          <w:p w14:paraId="14F87D00" w14:textId="77777777" w:rsidR="00372A7F" w:rsidRDefault="00372A7F" w:rsidP="00693FB2">
            <w:pPr>
              <w:jc w:val="center"/>
            </w:pPr>
            <w:r>
              <w:t>Perf</w:t>
            </w:r>
          </w:p>
        </w:tc>
        <w:tc>
          <w:tcPr>
            <w:tcW w:w="825" w:type="dxa"/>
            <w:vAlign w:val="center"/>
          </w:tcPr>
          <w:p w14:paraId="1BE038BA" w14:textId="77777777" w:rsidR="00372A7F" w:rsidRDefault="00372A7F" w:rsidP="00693FB2">
            <w:pPr>
              <w:jc w:val="center"/>
            </w:pPr>
          </w:p>
        </w:tc>
        <w:tc>
          <w:tcPr>
            <w:tcW w:w="825" w:type="dxa"/>
            <w:vAlign w:val="center"/>
          </w:tcPr>
          <w:p w14:paraId="03ECF53E" w14:textId="77777777" w:rsidR="00372A7F" w:rsidRDefault="00372A7F" w:rsidP="00693FB2">
            <w:pPr>
              <w:jc w:val="center"/>
            </w:pPr>
          </w:p>
        </w:tc>
      </w:tr>
      <w:tr w:rsidR="00372A7F" w14:paraId="6387233B" w14:textId="77777777" w:rsidTr="00693FB2">
        <w:tc>
          <w:tcPr>
            <w:tcW w:w="626" w:type="dxa"/>
            <w:vAlign w:val="center"/>
          </w:tcPr>
          <w:p w14:paraId="03BD366E" w14:textId="77777777" w:rsidR="00372A7F" w:rsidRDefault="00372A7F" w:rsidP="00693FB2">
            <w:pPr>
              <w:jc w:val="center"/>
            </w:pPr>
            <w:r>
              <w:lastRenderedPageBreak/>
              <w:t>11</w:t>
            </w:r>
          </w:p>
        </w:tc>
        <w:tc>
          <w:tcPr>
            <w:tcW w:w="6479" w:type="dxa"/>
          </w:tcPr>
          <w:p w14:paraId="0CDDCE6A" w14:textId="77777777" w:rsidR="00372A7F" w:rsidRDefault="00372A7F" w:rsidP="00693FB2">
            <w:r>
              <w:t xml:space="preserve">Island Health data warehouse retains a copy of the linkage key for the data retention period associated with the research. This key is never disclosed to Researchers. </w:t>
            </w:r>
          </w:p>
        </w:tc>
        <w:tc>
          <w:tcPr>
            <w:tcW w:w="825" w:type="dxa"/>
            <w:vAlign w:val="center"/>
          </w:tcPr>
          <w:p w14:paraId="344471AE" w14:textId="77777777" w:rsidR="00372A7F" w:rsidRDefault="00372A7F" w:rsidP="00693FB2">
            <w:pPr>
              <w:jc w:val="center"/>
            </w:pPr>
            <w:r>
              <w:t>Perf</w:t>
            </w:r>
          </w:p>
        </w:tc>
        <w:tc>
          <w:tcPr>
            <w:tcW w:w="825" w:type="dxa"/>
            <w:vAlign w:val="center"/>
          </w:tcPr>
          <w:p w14:paraId="40C9EA64" w14:textId="77777777" w:rsidR="00372A7F" w:rsidRDefault="00372A7F" w:rsidP="00693FB2">
            <w:pPr>
              <w:jc w:val="center"/>
            </w:pPr>
          </w:p>
        </w:tc>
        <w:tc>
          <w:tcPr>
            <w:tcW w:w="825" w:type="dxa"/>
            <w:vAlign w:val="center"/>
          </w:tcPr>
          <w:p w14:paraId="1D31D16D" w14:textId="77777777" w:rsidR="00372A7F" w:rsidRDefault="00372A7F" w:rsidP="00693FB2">
            <w:pPr>
              <w:jc w:val="center"/>
            </w:pPr>
          </w:p>
        </w:tc>
        <w:tc>
          <w:tcPr>
            <w:tcW w:w="824" w:type="dxa"/>
            <w:vAlign w:val="center"/>
          </w:tcPr>
          <w:p w14:paraId="1B3C06EF" w14:textId="77777777" w:rsidR="00372A7F" w:rsidRDefault="00372A7F" w:rsidP="00693FB2">
            <w:pPr>
              <w:jc w:val="center"/>
            </w:pPr>
          </w:p>
        </w:tc>
        <w:tc>
          <w:tcPr>
            <w:tcW w:w="825" w:type="dxa"/>
            <w:vAlign w:val="center"/>
          </w:tcPr>
          <w:p w14:paraId="68E2CB79" w14:textId="77777777" w:rsidR="00372A7F" w:rsidRDefault="00372A7F" w:rsidP="00693FB2">
            <w:pPr>
              <w:jc w:val="center"/>
            </w:pPr>
          </w:p>
        </w:tc>
        <w:tc>
          <w:tcPr>
            <w:tcW w:w="825" w:type="dxa"/>
            <w:vAlign w:val="center"/>
          </w:tcPr>
          <w:p w14:paraId="5FA4DA30" w14:textId="77777777" w:rsidR="00372A7F" w:rsidRDefault="00372A7F" w:rsidP="00693FB2">
            <w:pPr>
              <w:jc w:val="center"/>
            </w:pPr>
          </w:p>
        </w:tc>
        <w:tc>
          <w:tcPr>
            <w:tcW w:w="825" w:type="dxa"/>
            <w:vAlign w:val="center"/>
          </w:tcPr>
          <w:p w14:paraId="52535F98" w14:textId="77777777" w:rsidR="00372A7F" w:rsidRDefault="00372A7F" w:rsidP="00693FB2">
            <w:pPr>
              <w:jc w:val="center"/>
            </w:pPr>
          </w:p>
        </w:tc>
      </w:tr>
      <w:tr w:rsidR="00372A7F" w14:paraId="6F9CDF11" w14:textId="77777777" w:rsidTr="00693FB2">
        <w:tc>
          <w:tcPr>
            <w:tcW w:w="626" w:type="dxa"/>
            <w:vAlign w:val="center"/>
          </w:tcPr>
          <w:p w14:paraId="525F868B" w14:textId="77777777" w:rsidR="00372A7F" w:rsidRDefault="00372A7F" w:rsidP="00693FB2">
            <w:pPr>
              <w:jc w:val="center"/>
            </w:pPr>
            <w:r>
              <w:t>12</w:t>
            </w:r>
          </w:p>
        </w:tc>
        <w:tc>
          <w:tcPr>
            <w:tcW w:w="6479" w:type="dxa"/>
          </w:tcPr>
          <w:p w14:paraId="35B962DB" w14:textId="77777777" w:rsidR="00372A7F" w:rsidRDefault="00372A7F" w:rsidP="00693FB2">
            <w:r>
              <w:t xml:space="preserve">Review, sign-off on implementation of the protocol followed to bring </w:t>
            </w:r>
            <w:proofErr w:type="spellStart"/>
            <w:r>
              <w:t>MoH</w:t>
            </w:r>
            <w:proofErr w:type="spellEnd"/>
            <w:r>
              <w:t xml:space="preserve"> or holder of Community Lab data into the Island Health Smart </w:t>
            </w:r>
            <w:proofErr w:type="spellStart"/>
            <w:r>
              <w:t>Antibiogram</w:t>
            </w:r>
            <w:proofErr w:type="spellEnd"/>
            <w:r>
              <w:t xml:space="preserve"> data holding.</w:t>
            </w:r>
          </w:p>
        </w:tc>
        <w:tc>
          <w:tcPr>
            <w:tcW w:w="825" w:type="dxa"/>
            <w:vAlign w:val="center"/>
          </w:tcPr>
          <w:p w14:paraId="241235AA" w14:textId="77777777" w:rsidR="00372A7F" w:rsidRDefault="00372A7F" w:rsidP="00693FB2">
            <w:pPr>
              <w:jc w:val="center"/>
            </w:pPr>
          </w:p>
        </w:tc>
        <w:tc>
          <w:tcPr>
            <w:tcW w:w="825" w:type="dxa"/>
            <w:vAlign w:val="center"/>
          </w:tcPr>
          <w:p w14:paraId="69A186E2" w14:textId="77777777" w:rsidR="00372A7F" w:rsidRDefault="00372A7F" w:rsidP="00693FB2">
            <w:pPr>
              <w:jc w:val="center"/>
            </w:pPr>
            <w:r>
              <w:t>Perf</w:t>
            </w:r>
          </w:p>
        </w:tc>
        <w:tc>
          <w:tcPr>
            <w:tcW w:w="825" w:type="dxa"/>
            <w:vAlign w:val="center"/>
          </w:tcPr>
          <w:p w14:paraId="74C07AEB" w14:textId="77777777" w:rsidR="00372A7F" w:rsidRDefault="00372A7F" w:rsidP="00693FB2">
            <w:pPr>
              <w:jc w:val="center"/>
            </w:pPr>
            <w:r>
              <w:t>C/A</w:t>
            </w:r>
          </w:p>
        </w:tc>
        <w:tc>
          <w:tcPr>
            <w:tcW w:w="824" w:type="dxa"/>
            <w:vAlign w:val="center"/>
          </w:tcPr>
          <w:p w14:paraId="17387C04" w14:textId="77777777" w:rsidR="00372A7F" w:rsidRDefault="00372A7F" w:rsidP="00693FB2">
            <w:pPr>
              <w:jc w:val="center"/>
            </w:pPr>
            <w:r>
              <w:t>C/A</w:t>
            </w:r>
          </w:p>
        </w:tc>
        <w:tc>
          <w:tcPr>
            <w:tcW w:w="825" w:type="dxa"/>
            <w:vAlign w:val="center"/>
          </w:tcPr>
          <w:p w14:paraId="6CFA55A1" w14:textId="77777777" w:rsidR="00372A7F" w:rsidRDefault="00372A7F" w:rsidP="00693FB2">
            <w:pPr>
              <w:jc w:val="center"/>
            </w:pPr>
            <w:r>
              <w:t>C/A</w:t>
            </w:r>
          </w:p>
        </w:tc>
        <w:tc>
          <w:tcPr>
            <w:tcW w:w="825" w:type="dxa"/>
            <w:vAlign w:val="center"/>
          </w:tcPr>
          <w:p w14:paraId="5AB3F9D2" w14:textId="77777777" w:rsidR="00372A7F" w:rsidRDefault="00372A7F" w:rsidP="00693FB2">
            <w:pPr>
              <w:jc w:val="center"/>
            </w:pPr>
            <w:r>
              <w:t>C/A</w:t>
            </w:r>
          </w:p>
        </w:tc>
        <w:tc>
          <w:tcPr>
            <w:tcW w:w="825" w:type="dxa"/>
            <w:vAlign w:val="center"/>
          </w:tcPr>
          <w:p w14:paraId="4583E2B4" w14:textId="77777777" w:rsidR="00372A7F" w:rsidRDefault="00372A7F" w:rsidP="00693FB2">
            <w:pPr>
              <w:jc w:val="center"/>
            </w:pPr>
            <w:r>
              <w:t>Perf</w:t>
            </w:r>
          </w:p>
        </w:tc>
      </w:tr>
    </w:tbl>
    <w:p w14:paraId="70267A8C" w14:textId="77777777" w:rsidR="00372A7F" w:rsidRDefault="00372A7F" w:rsidP="00372A7F">
      <w:pPr>
        <w:rPr>
          <w:b/>
        </w:rPr>
      </w:pPr>
    </w:p>
    <w:p w14:paraId="0F3831F1" w14:textId="77777777" w:rsidR="00372A7F" w:rsidRDefault="00372A7F" w:rsidP="00372A7F"/>
    <w:p w14:paraId="79E09F5F" w14:textId="77777777" w:rsidR="00372A7F" w:rsidRDefault="00372A7F" w:rsidP="00372A7F"/>
    <w:p w14:paraId="179451B6" w14:textId="3EECD5F5" w:rsidR="00CF7F80" w:rsidRPr="00E171B7" w:rsidRDefault="00CF7F80" w:rsidP="00E171B7">
      <w:pPr>
        <w:spacing w:after="160" w:line="259" w:lineRule="auto"/>
        <w:rPr>
          <w:rFonts w:asciiTheme="minorHAnsi" w:hAnsiTheme="minorHAnsi"/>
          <w:b/>
          <w:kern w:val="32"/>
          <w:sz w:val="28"/>
          <w:szCs w:val="20"/>
          <w:lang w:val="en-CA" w:eastAsia="en-CA"/>
        </w:rPr>
      </w:pPr>
    </w:p>
    <w:sectPr w:rsidR="00CF7F80" w:rsidRPr="00E171B7" w:rsidSect="00B26A7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0F660" w14:textId="77777777" w:rsidR="008F6395" w:rsidRDefault="008F6395">
      <w:r>
        <w:separator/>
      </w:r>
    </w:p>
  </w:endnote>
  <w:endnote w:type="continuationSeparator" w:id="0">
    <w:p w14:paraId="7C7305BB" w14:textId="77777777" w:rsidR="008F6395" w:rsidRDefault="008F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93C" w14:textId="77777777" w:rsidR="00693FB2" w:rsidRDefault="00693FB2" w:rsidP="00693FB2">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CB1436" w14:textId="77777777" w:rsidR="00693FB2" w:rsidRDefault="00693FB2" w:rsidP="00693F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11780" w14:textId="5A6AB971" w:rsidR="00693FB2" w:rsidRPr="000578FA" w:rsidRDefault="00693FB2" w:rsidP="00693FB2">
    <w:pPr>
      <w:pStyle w:val="Footer"/>
      <w:tabs>
        <w:tab w:val="clear" w:pos="8640"/>
        <w:tab w:val="right" w:pos="9270"/>
      </w:tabs>
      <w:ind w:right="360"/>
      <w:rPr>
        <w:rFonts w:ascii="Arial" w:hAnsi="Arial"/>
        <w:i/>
        <w:color w:val="000000" w:themeColor="text1"/>
        <w:sz w:val="20"/>
      </w:rPr>
    </w:pPr>
    <w:r>
      <w:rPr>
        <w:rStyle w:val="PageNumber"/>
        <w:rFonts w:ascii="Arial" w:hAnsi="Arial"/>
        <w:sz w:val="20"/>
      </w:rPr>
      <w:t xml:space="preserve">Version Date: </w:t>
    </w:r>
    <w:r w:rsidRPr="00460A1A">
      <w:rPr>
        <w:rStyle w:val="PageNumber"/>
        <w:rFonts w:ascii="Arial" w:hAnsi="Arial"/>
        <w:i/>
        <w:color w:val="0033CC"/>
        <w:sz w:val="20"/>
      </w:rPr>
      <w:t xml:space="preserve"> </w:t>
    </w:r>
    <w:r w:rsidR="004A4CAD">
      <w:rPr>
        <w:rStyle w:val="PageNumber"/>
        <w:rFonts w:ascii="Arial" w:hAnsi="Arial"/>
        <w:i/>
        <w:color w:val="000000" w:themeColor="text1"/>
        <w:sz w:val="20"/>
      </w:rPr>
      <w:t>June 13</w:t>
    </w:r>
    <w:r>
      <w:rPr>
        <w:rStyle w:val="PageNumber"/>
        <w:rFonts w:ascii="Arial" w:hAnsi="Arial"/>
        <w:i/>
        <w:color w:val="000000" w:themeColor="text1"/>
        <w:sz w:val="20"/>
      </w:rPr>
      <w:t>, 2017</w:t>
    </w:r>
    <w:r w:rsidRPr="00460A1A">
      <w:rPr>
        <w:rStyle w:val="PageNumber"/>
        <w:rFonts w:ascii="Arial" w:hAnsi="Arial"/>
        <w:i/>
        <w:color w:val="0033CC"/>
        <w:sz w:val="20"/>
      </w:rPr>
      <w:tab/>
    </w:r>
    <w:r>
      <w:rPr>
        <w:rStyle w:val="PageNumber"/>
        <w:rFonts w:ascii="Arial" w:hAnsi="Arial"/>
        <w:sz w:val="20"/>
      </w:rPr>
      <w:tab/>
    </w:r>
    <w:r w:rsidRPr="00460A1A">
      <w:rPr>
        <w:rStyle w:val="PageNumber"/>
        <w:rFonts w:ascii="Arial" w:hAnsi="Arial"/>
        <w:b/>
        <w:sz w:val="20"/>
      </w:rPr>
      <w:t xml:space="preserve">Page </w:t>
    </w:r>
    <w:r w:rsidRPr="00460A1A">
      <w:rPr>
        <w:rStyle w:val="PageNumber"/>
        <w:rFonts w:ascii="Arial" w:hAnsi="Arial"/>
        <w:b/>
        <w:sz w:val="20"/>
      </w:rPr>
      <w:fldChar w:fldCharType="begin"/>
    </w:r>
    <w:r w:rsidRPr="00460A1A">
      <w:rPr>
        <w:rStyle w:val="PageNumber"/>
        <w:rFonts w:ascii="Arial" w:hAnsi="Arial"/>
        <w:b/>
        <w:sz w:val="20"/>
      </w:rPr>
      <w:instrText xml:space="preserve"> PAGE </w:instrText>
    </w:r>
    <w:r w:rsidRPr="00460A1A">
      <w:rPr>
        <w:rStyle w:val="PageNumber"/>
        <w:rFonts w:ascii="Arial" w:hAnsi="Arial"/>
        <w:b/>
        <w:sz w:val="20"/>
      </w:rPr>
      <w:fldChar w:fldCharType="separate"/>
    </w:r>
    <w:r w:rsidR="002A1B70">
      <w:rPr>
        <w:rStyle w:val="PageNumber"/>
        <w:rFonts w:ascii="Arial" w:hAnsi="Arial"/>
        <w:b/>
        <w:noProof/>
        <w:sz w:val="20"/>
      </w:rPr>
      <w:t>2</w:t>
    </w:r>
    <w:r w:rsidRPr="00460A1A">
      <w:rPr>
        <w:rStyle w:val="PageNumber"/>
        <w:rFonts w:ascii="Arial" w:hAnsi="Arial"/>
        <w:b/>
        <w:sz w:val="20"/>
      </w:rPr>
      <w:fldChar w:fldCharType="end"/>
    </w:r>
    <w:r w:rsidRPr="00460A1A">
      <w:rPr>
        <w:rStyle w:val="PageNumber"/>
        <w:rFonts w:ascii="Arial" w:hAnsi="Arial"/>
        <w:b/>
        <w:sz w:val="20"/>
      </w:rPr>
      <w:t xml:space="preserve"> of </w:t>
    </w:r>
    <w:r w:rsidRPr="00460A1A">
      <w:rPr>
        <w:rStyle w:val="PageNumber"/>
        <w:rFonts w:ascii="Arial" w:hAnsi="Arial"/>
        <w:b/>
        <w:sz w:val="20"/>
      </w:rPr>
      <w:fldChar w:fldCharType="begin"/>
    </w:r>
    <w:r w:rsidRPr="00460A1A">
      <w:rPr>
        <w:rStyle w:val="PageNumber"/>
        <w:rFonts w:ascii="Arial" w:hAnsi="Arial"/>
        <w:b/>
        <w:sz w:val="20"/>
      </w:rPr>
      <w:instrText xml:space="preserve"> NUMPAGES </w:instrText>
    </w:r>
    <w:r w:rsidRPr="00460A1A">
      <w:rPr>
        <w:rStyle w:val="PageNumber"/>
        <w:rFonts w:ascii="Arial" w:hAnsi="Arial"/>
        <w:b/>
        <w:sz w:val="20"/>
      </w:rPr>
      <w:fldChar w:fldCharType="separate"/>
    </w:r>
    <w:r w:rsidR="002A1B70">
      <w:rPr>
        <w:rStyle w:val="PageNumber"/>
        <w:rFonts w:ascii="Arial" w:hAnsi="Arial"/>
        <w:b/>
        <w:noProof/>
        <w:sz w:val="20"/>
      </w:rPr>
      <w:t>12</w:t>
    </w:r>
    <w:r w:rsidRPr="00460A1A">
      <w:rPr>
        <w:rStyle w:val="PageNumber"/>
        <w:rFonts w:ascii="Arial" w:hAnsi="Arial"/>
        <w:b/>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4264F" w14:textId="77777777" w:rsidR="008F6395" w:rsidRDefault="008F6395">
      <w:r>
        <w:separator/>
      </w:r>
    </w:p>
  </w:footnote>
  <w:footnote w:type="continuationSeparator" w:id="0">
    <w:p w14:paraId="7120361D" w14:textId="77777777" w:rsidR="008F6395" w:rsidRDefault="008F63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DFD"/>
    <w:multiLevelType w:val="multilevel"/>
    <w:tmpl w:val="C388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B467F"/>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08636E2C"/>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D1E4815"/>
    <w:multiLevelType w:val="hybridMultilevel"/>
    <w:tmpl w:val="9052F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2C72A5"/>
    <w:multiLevelType w:val="hybridMultilevel"/>
    <w:tmpl w:val="EFCE55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4E76E47"/>
    <w:multiLevelType w:val="hybridMultilevel"/>
    <w:tmpl w:val="C97053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7330DA"/>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7F570C5"/>
    <w:multiLevelType w:val="multilevel"/>
    <w:tmpl w:val="DD0A56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6956"/>
        </w:tabs>
        <w:ind w:left="69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8">
    <w:nsid w:val="398E382A"/>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A32117D"/>
    <w:multiLevelType w:val="hybridMultilevel"/>
    <w:tmpl w:val="DA801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35426"/>
    <w:multiLevelType w:val="hybridMultilevel"/>
    <w:tmpl w:val="E0DAC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C917B36"/>
    <w:multiLevelType w:val="hybridMultilevel"/>
    <w:tmpl w:val="3148EB5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646079A2"/>
    <w:multiLevelType w:val="hybridMultilevel"/>
    <w:tmpl w:val="0134A3A2"/>
    <w:lvl w:ilvl="0" w:tplc="19CCF210">
      <w:start w:val="99"/>
      <w:numFmt w:val="bullet"/>
      <w:lvlText w:val="-"/>
      <w:lvlJc w:val="left"/>
      <w:pPr>
        <w:ind w:left="792" w:hanging="360"/>
      </w:pPr>
      <w:rPr>
        <w:rFonts w:ascii="Calibri" w:eastAsia="Times New Roman" w:hAnsi="Calibri"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77F967B2"/>
    <w:multiLevelType w:val="hybridMultilevel"/>
    <w:tmpl w:val="A636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1"/>
  </w:num>
  <w:num w:numId="5">
    <w:abstractNumId w:val="8"/>
  </w:num>
  <w:num w:numId="6">
    <w:abstractNumId w:val="6"/>
  </w:num>
  <w:num w:numId="7">
    <w:abstractNumId w:val="5"/>
  </w:num>
  <w:num w:numId="8">
    <w:abstractNumId w:val="11"/>
  </w:num>
  <w:num w:numId="9">
    <w:abstractNumId w:val="12"/>
  </w:num>
  <w:num w:numId="10">
    <w:abstractNumId w:val="13"/>
  </w:num>
  <w:num w:numId="11">
    <w:abstractNumId w:val="0"/>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79"/>
    <w:rsid w:val="00003C0B"/>
    <w:rsid w:val="00023D3A"/>
    <w:rsid w:val="00042FA2"/>
    <w:rsid w:val="000601B7"/>
    <w:rsid w:val="000659B1"/>
    <w:rsid w:val="0007043D"/>
    <w:rsid w:val="00081F1C"/>
    <w:rsid w:val="00091812"/>
    <w:rsid w:val="00094E76"/>
    <w:rsid w:val="000B2339"/>
    <w:rsid w:val="000D5FF5"/>
    <w:rsid w:val="000E38EF"/>
    <w:rsid w:val="000E394B"/>
    <w:rsid w:val="000E3DF3"/>
    <w:rsid w:val="00163217"/>
    <w:rsid w:val="00173BCC"/>
    <w:rsid w:val="00174F6A"/>
    <w:rsid w:val="001930AA"/>
    <w:rsid w:val="001A5FFC"/>
    <w:rsid w:val="001B760B"/>
    <w:rsid w:val="001E179E"/>
    <w:rsid w:val="001E3883"/>
    <w:rsid w:val="001E7F96"/>
    <w:rsid w:val="0020203C"/>
    <w:rsid w:val="0020656E"/>
    <w:rsid w:val="00206E46"/>
    <w:rsid w:val="00223EFE"/>
    <w:rsid w:val="0022742D"/>
    <w:rsid w:val="002A1B70"/>
    <w:rsid w:val="002A3212"/>
    <w:rsid w:val="002B6D14"/>
    <w:rsid w:val="002B71B3"/>
    <w:rsid w:val="002C3B52"/>
    <w:rsid w:val="002D79F7"/>
    <w:rsid w:val="00334B8C"/>
    <w:rsid w:val="003520BB"/>
    <w:rsid w:val="003659D5"/>
    <w:rsid w:val="00372A7F"/>
    <w:rsid w:val="0037542C"/>
    <w:rsid w:val="003813CD"/>
    <w:rsid w:val="0039708A"/>
    <w:rsid w:val="003A0F77"/>
    <w:rsid w:val="003C0D99"/>
    <w:rsid w:val="00410A8B"/>
    <w:rsid w:val="00412534"/>
    <w:rsid w:val="0041410D"/>
    <w:rsid w:val="0043320D"/>
    <w:rsid w:val="00433264"/>
    <w:rsid w:val="00434CF4"/>
    <w:rsid w:val="004971E6"/>
    <w:rsid w:val="004A4CAD"/>
    <w:rsid w:val="004B0700"/>
    <w:rsid w:val="004D59FB"/>
    <w:rsid w:val="00545407"/>
    <w:rsid w:val="0055482F"/>
    <w:rsid w:val="00562F88"/>
    <w:rsid w:val="00594EF3"/>
    <w:rsid w:val="005A6A9B"/>
    <w:rsid w:val="005C3115"/>
    <w:rsid w:val="005D1E4C"/>
    <w:rsid w:val="005F0EC8"/>
    <w:rsid w:val="005F0F29"/>
    <w:rsid w:val="00615154"/>
    <w:rsid w:val="00692339"/>
    <w:rsid w:val="00693FB2"/>
    <w:rsid w:val="006A20EB"/>
    <w:rsid w:val="006C12C1"/>
    <w:rsid w:val="006C57BB"/>
    <w:rsid w:val="006E4B1D"/>
    <w:rsid w:val="00726CEE"/>
    <w:rsid w:val="00732B5C"/>
    <w:rsid w:val="00735E2A"/>
    <w:rsid w:val="0074092B"/>
    <w:rsid w:val="007B2B4E"/>
    <w:rsid w:val="007C1815"/>
    <w:rsid w:val="008333FA"/>
    <w:rsid w:val="0088322E"/>
    <w:rsid w:val="00891066"/>
    <w:rsid w:val="008B3F75"/>
    <w:rsid w:val="008C7B41"/>
    <w:rsid w:val="008F0C78"/>
    <w:rsid w:val="008F6395"/>
    <w:rsid w:val="00905B55"/>
    <w:rsid w:val="00930DC7"/>
    <w:rsid w:val="00935B43"/>
    <w:rsid w:val="009A1166"/>
    <w:rsid w:val="009B1F78"/>
    <w:rsid w:val="009C61F1"/>
    <w:rsid w:val="009F13CC"/>
    <w:rsid w:val="00A52EA4"/>
    <w:rsid w:val="00A729FC"/>
    <w:rsid w:val="00A7733C"/>
    <w:rsid w:val="00A90D36"/>
    <w:rsid w:val="00AF2D8E"/>
    <w:rsid w:val="00B0022F"/>
    <w:rsid w:val="00B01E44"/>
    <w:rsid w:val="00B05DCF"/>
    <w:rsid w:val="00B2052C"/>
    <w:rsid w:val="00B26A79"/>
    <w:rsid w:val="00B50D9B"/>
    <w:rsid w:val="00B7510B"/>
    <w:rsid w:val="00B932CD"/>
    <w:rsid w:val="00BA3483"/>
    <w:rsid w:val="00BC06CF"/>
    <w:rsid w:val="00BE04E1"/>
    <w:rsid w:val="00C028B2"/>
    <w:rsid w:val="00C30E5F"/>
    <w:rsid w:val="00C53EEF"/>
    <w:rsid w:val="00C565A6"/>
    <w:rsid w:val="00C64B04"/>
    <w:rsid w:val="00CC2524"/>
    <w:rsid w:val="00CC6DAB"/>
    <w:rsid w:val="00CD2856"/>
    <w:rsid w:val="00CD4A31"/>
    <w:rsid w:val="00CF7F80"/>
    <w:rsid w:val="00D701D9"/>
    <w:rsid w:val="00D90DE2"/>
    <w:rsid w:val="00D96A6D"/>
    <w:rsid w:val="00DA2E1B"/>
    <w:rsid w:val="00DA6C33"/>
    <w:rsid w:val="00DF2BD9"/>
    <w:rsid w:val="00E04DD7"/>
    <w:rsid w:val="00E10819"/>
    <w:rsid w:val="00E171B7"/>
    <w:rsid w:val="00E26B4B"/>
    <w:rsid w:val="00E50554"/>
    <w:rsid w:val="00E81699"/>
    <w:rsid w:val="00EC34CF"/>
    <w:rsid w:val="00ED4887"/>
    <w:rsid w:val="00F10AF2"/>
    <w:rsid w:val="00F13707"/>
    <w:rsid w:val="00F17332"/>
    <w:rsid w:val="00F360D9"/>
    <w:rsid w:val="00F420EF"/>
    <w:rsid w:val="00F579A9"/>
    <w:rsid w:val="00F60257"/>
    <w:rsid w:val="00F61616"/>
    <w:rsid w:val="00F75D2E"/>
    <w:rsid w:val="00F765E8"/>
    <w:rsid w:val="00FA44B3"/>
    <w:rsid w:val="00FC0241"/>
    <w:rsid w:val="00FF0FB5"/>
    <w:rsid w:val="00FF291F"/>
    <w:rsid w:val="00FF54C3"/>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21D0"/>
  <w15:chartTrackingRefBased/>
  <w15:docId w15:val="{9ACD965A-1725-4B0E-8710-53D20E95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6D14"/>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qFormat/>
    <w:rsid w:val="00B26A79"/>
    <w:pPr>
      <w:keepNext/>
      <w:numPr>
        <w:numId w:val="1"/>
      </w:numPr>
      <w:spacing w:before="240" w:after="60"/>
      <w:outlineLvl w:val="0"/>
    </w:pPr>
    <w:rPr>
      <w:rFonts w:asciiTheme="minorHAnsi" w:hAnsiTheme="minorHAnsi"/>
      <w:b/>
      <w:kern w:val="32"/>
      <w:sz w:val="28"/>
      <w:szCs w:val="20"/>
    </w:rPr>
  </w:style>
  <w:style w:type="paragraph" w:styleId="Heading2">
    <w:name w:val="heading 2"/>
    <w:basedOn w:val="Normal"/>
    <w:next w:val="Normal"/>
    <w:link w:val="Heading2Char"/>
    <w:qFormat/>
    <w:rsid w:val="00B26A79"/>
    <w:pPr>
      <w:keepNext/>
      <w:numPr>
        <w:ilvl w:val="1"/>
        <w:numId w:val="1"/>
      </w:numPr>
      <w:spacing w:before="240" w:after="60"/>
      <w:ind w:left="578" w:hanging="578"/>
      <w:outlineLvl w:val="1"/>
    </w:pPr>
    <w:rPr>
      <w:rFonts w:asciiTheme="minorHAnsi" w:hAnsiTheme="minorHAnsi"/>
      <w:b/>
      <w:i/>
      <w:szCs w:val="20"/>
    </w:rPr>
  </w:style>
  <w:style w:type="paragraph" w:styleId="Heading3">
    <w:name w:val="heading 3"/>
    <w:basedOn w:val="Normal"/>
    <w:next w:val="Normal"/>
    <w:link w:val="Heading3Char"/>
    <w:qFormat/>
    <w:rsid w:val="00B26A79"/>
    <w:pPr>
      <w:keepNext/>
      <w:numPr>
        <w:ilvl w:val="2"/>
        <w:numId w:val="1"/>
      </w:numPr>
      <w:spacing w:before="240" w:after="60"/>
      <w:outlineLvl w:val="2"/>
    </w:pPr>
    <w:rPr>
      <w:rFonts w:asciiTheme="minorHAnsi" w:hAnsiTheme="minorHAnsi"/>
      <w:b/>
      <w:szCs w:val="20"/>
    </w:rPr>
  </w:style>
  <w:style w:type="paragraph" w:styleId="Heading4">
    <w:name w:val="heading 4"/>
    <w:basedOn w:val="Normal"/>
    <w:next w:val="Normal"/>
    <w:link w:val="Heading4Char"/>
    <w:qFormat/>
    <w:rsid w:val="00B26A79"/>
    <w:pPr>
      <w:keepNext/>
      <w:numPr>
        <w:ilvl w:val="3"/>
        <w:numId w:val="1"/>
      </w:numPr>
      <w:spacing w:before="240" w:after="60"/>
      <w:outlineLvl w:val="3"/>
    </w:pPr>
    <w:rPr>
      <w:b/>
      <w:szCs w:val="20"/>
    </w:rPr>
  </w:style>
  <w:style w:type="paragraph" w:styleId="Heading5">
    <w:name w:val="heading 5"/>
    <w:basedOn w:val="Normal"/>
    <w:next w:val="Normal"/>
    <w:link w:val="Heading5Char"/>
    <w:qFormat/>
    <w:rsid w:val="00B26A79"/>
    <w:pPr>
      <w:numPr>
        <w:ilvl w:val="4"/>
        <w:numId w:val="1"/>
      </w:numPr>
      <w:spacing w:before="240" w:after="60"/>
      <w:outlineLvl w:val="4"/>
    </w:pPr>
    <w:rPr>
      <w:rFonts w:ascii="Times" w:hAnsi="Times"/>
      <w:b/>
      <w:i/>
      <w:sz w:val="26"/>
      <w:szCs w:val="20"/>
    </w:rPr>
  </w:style>
  <w:style w:type="paragraph" w:styleId="Heading6">
    <w:name w:val="heading 6"/>
    <w:basedOn w:val="Normal"/>
    <w:next w:val="Normal"/>
    <w:link w:val="Heading6Char"/>
    <w:qFormat/>
    <w:rsid w:val="00B26A79"/>
    <w:pPr>
      <w:numPr>
        <w:ilvl w:val="5"/>
        <w:numId w:val="1"/>
      </w:numPr>
      <w:spacing w:before="240" w:after="60"/>
      <w:outlineLvl w:val="5"/>
    </w:pPr>
    <w:rPr>
      <w:rFonts w:ascii="Times" w:hAnsi="Times"/>
      <w:b/>
      <w:szCs w:val="20"/>
    </w:rPr>
  </w:style>
  <w:style w:type="paragraph" w:styleId="Heading7">
    <w:name w:val="heading 7"/>
    <w:basedOn w:val="Normal"/>
    <w:next w:val="Normal"/>
    <w:link w:val="Heading7Char"/>
    <w:qFormat/>
    <w:rsid w:val="00B26A79"/>
    <w:pPr>
      <w:numPr>
        <w:ilvl w:val="6"/>
        <w:numId w:val="1"/>
      </w:numPr>
      <w:spacing w:before="240" w:after="60"/>
      <w:outlineLvl w:val="6"/>
    </w:pPr>
    <w:rPr>
      <w:rFonts w:ascii="Times" w:hAnsi="Times"/>
      <w:szCs w:val="20"/>
    </w:rPr>
  </w:style>
  <w:style w:type="paragraph" w:styleId="Heading8">
    <w:name w:val="heading 8"/>
    <w:basedOn w:val="Normal"/>
    <w:next w:val="Normal"/>
    <w:link w:val="Heading8Char"/>
    <w:qFormat/>
    <w:rsid w:val="00B26A79"/>
    <w:pPr>
      <w:numPr>
        <w:ilvl w:val="7"/>
        <w:numId w:val="1"/>
      </w:numPr>
      <w:spacing w:before="240" w:after="60"/>
      <w:outlineLvl w:val="7"/>
    </w:pPr>
    <w:rPr>
      <w:rFonts w:ascii="Times" w:hAnsi="Times"/>
      <w:i/>
      <w:szCs w:val="20"/>
    </w:rPr>
  </w:style>
  <w:style w:type="paragraph" w:styleId="Heading9">
    <w:name w:val="heading 9"/>
    <w:basedOn w:val="Normal"/>
    <w:next w:val="Normal"/>
    <w:link w:val="Heading9Char"/>
    <w:qFormat/>
    <w:rsid w:val="00B26A79"/>
    <w:pPr>
      <w:numPr>
        <w:ilvl w:val="8"/>
        <w:numId w:val="1"/>
      </w:numPr>
      <w:spacing w:before="240" w:after="60"/>
      <w:outlineLvl w:val="8"/>
    </w:pPr>
    <w:rPr>
      <w:rFonts w:ascii="Helvetica" w:hAnsi="Helvetica"/>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A79"/>
    <w:rPr>
      <w:rFonts w:eastAsia="Times New Roman" w:cs="Times New Roman"/>
      <w:b/>
      <w:kern w:val="32"/>
      <w:sz w:val="28"/>
      <w:szCs w:val="20"/>
      <w:lang w:val="en-US"/>
    </w:rPr>
  </w:style>
  <w:style w:type="character" w:customStyle="1" w:styleId="Heading2Char">
    <w:name w:val="Heading 2 Char"/>
    <w:basedOn w:val="DefaultParagraphFont"/>
    <w:link w:val="Heading2"/>
    <w:rsid w:val="00B26A79"/>
    <w:rPr>
      <w:rFonts w:eastAsia="Times New Roman" w:cs="Times New Roman"/>
      <w:b/>
      <w:i/>
      <w:sz w:val="24"/>
      <w:szCs w:val="20"/>
      <w:lang w:val="en-US"/>
    </w:rPr>
  </w:style>
  <w:style w:type="character" w:customStyle="1" w:styleId="Heading3Char">
    <w:name w:val="Heading 3 Char"/>
    <w:basedOn w:val="DefaultParagraphFont"/>
    <w:link w:val="Heading3"/>
    <w:rsid w:val="00B26A79"/>
    <w:rPr>
      <w:rFonts w:eastAsia="Times New Roman" w:cs="Times New Roman"/>
      <w:b/>
      <w:szCs w:val="20"/>
      <w:lang w:val="en-US"/>
    </w:rPr>
  </w:style>
  <w:style w:type="character" w:customStyle="1" w:styleId="Heading4Char">
    <w:name w:val="Heading 4 Char"/>
    <w:basedOn w:val="DefaultParagraphFont"/>
    <w:link w:val="Heading4"/>
    <w:rsid w:val="00B26A79"/>
    <w:rPr>
      <w:rFonts w:ascii="Calibri" w:eastAsia="Times New Roman" w:hAnsi="Calibri" w:cs="Times New Roman"/>
      <w:b/>
      <w:szCs w:val="20"/>
      <w:lang w:val="en-US"/>
    </w:rPr>
  </w:style>
  <w:style w:type="character" w:customStyle="1" w:styleId="Heading5Char">
    <w:name w:val="Heading 5 Char"/>
    <w:basedOn w:val="DefaultParagraphFont"/>
    <w:link w:val="Heading5"/>
    <w:rsid w:val="00B26A79"/>
    <w:rPr>
      <w:rFonts w:ascii="Times" w:eastAsia="Times New Roman" w:hAnsi="Times" w:cs="Times New Roman"/>
      <w:b/>
      <w:i/>
      <w:sz w:val="26"/>
      <w:szCs w:val="20"/>
      <w:lang w:val="en-US"/>
    </w:rPr>
  </w:style>
  <w:style w:type="character" w:customStyle="1" w:styleId="Heading6Char">
    <w:name w:val="Heading 6 Char"/>
    <w:basedOn w:val="DefaultParagraphFont"/>
    <w:link w:val="Heading6"/>
    <w:rsid w:val="00B26A79"/>
    <w:rPr>
      <w:rFonts w:ascii="Times" w:eastAsia="Times New Roman" w:hAnsi="Times" w:cs="Times New Roman"/>
      <w:b/>
      <w:szCs w:val="20"/>
      <w:lang w:val="en-US"/>
    </w:rPr>
  </w:style>
  <w:style w:type="character" w:customStyle="1" w:styleId="Heading7Char">
    <w:name w:val="Heading 7 Char"/>
    <w:basedOn w:val="DefaultParagraphFont"/>
    <w:link w:val="Heading7"/>
    <w:rsid w:val="00B26A79"/>
    <w:rPr>
      <w:rFonts w:ascii="Times" w:eastAsia="Times New Roman" w:hAnsi="Times" w:cs="Times New Roman"/>
      <w:szCs w:val="20"/>
      <w:lang w:val="en-US"/>
    </w:rPr>
  </w:style>
  <w:style w:type="character" w:customStyle="1" w:styleId="Heading8Char">
    <w:name w:val="Heading 8 Char"/>
    <w:basedOn w:val="DefaultParagraphFont"/>
    <w:link w:val="Heading8"/>
    <w:rsid w:val="00B26A79"/>
    <w:rPr>
      <w:rFonts w:ascii="Times" w:eastAsia="Times New Roman" w:hAnsi="Times" w:cs="Times New Roman"/>
      <w:i/>
      <w:szCs w:val="20"/>
      <w:lang w:val="en-US"/>
    </w:rPr>
  </w:style>
  <w:style w:type="character" w:customStyle="1" w:styleId="Heading9Char">
    <w:name w:val="Heading 9 Char"/>
    <w:basedOn w:val="DefaultParagraphFont"/>
    <w:link w:val="Heading9"/>
    <w:rsid w:val="00B26A79"/>
    <w:rPr>
      <w:rFonts w:ascii="Helvetica" w:eastAsia="Times New Roman" w:hAnsi="Helvetica" w:cs="Times New Roman"/>
      <w:szCs w:val="20"/>
      <w:lang w:val="en-US"/>
    </w:rPr>
  </w:style>
  <w:style w:type="paragraph" w:styleId="Footer">
    <w:name w:val="footer"/>
    <w:basedOn w:val="Normal"/>
    <w:link w:val="FooterChar"/>
    <w:uiPriority w:val="99"/>
    <w:rsid w:val="00B26A79"/>
    <w:pPr>
      <w:tabs>
        <w:tab w:val="center" w:pos="4320"/>
        <w:tab w:val="right" w:pos="8640"/>
      </w:tabs>
    </w:pPr>
    <w:rPr>
      <w:rFonts w:ascii="Times" w:hAnsi="Times"/>
      <w:szCs w:val="20"/>
    </w:rPr>
  </w:style>
  <w:style w:type="character" w:customStyle="1" w:styleId="FooterChar">
    <w:name w:val="Footer Char"/>
    <w:basedOn w:val="DefaultParagraphFont"/>
    <w:link w:val="Footer"/>
    <w:uiPriority w:val="99"/>
    <w:rsid w:val="00B26A79"/>
    <w:rPr>
      <w:rFonts w:ascii="Times" w:eastAsia="Times New Roman" w:hAnsi="Times" w:cs="Times New Roman"/>
      <w:szCs w:val="20"/>
      <w:lang w:val="en-US"/>
    </w:rPr>
  </w:style>
  <w:style w:type="character" w:styleId="PageNumber">
    <w:name w:val="page number"/>
    <w:rsid w:val="00B26A79"/>
    <w:rPr>
      <w:rFonts w:cs="Times New Roman"/>
    </w:rPr>
  </w:style>
  <w:style w:type="paragraph" w:styleId="ListParagraph">
    <w:name w:val="List Paragraph"/>
    <w:basedOn w:val="Normal"/>
    <w:uiPriority w:val="34"/>
    <w:qFormat/>
    <w:rsid w:val="00B26A79"/>
    <w:pPr>
      <w:ind w:left="720"/>
      <w:contextualSpacing/>
    </w:pPr>
  </w:style>
  <w:style w:type="table" w:styleId="TableGrid">
    <w:name w:val="Table Grid"/>
    <w:basedOn w:val="TableNormal"/>
    <w:uiPriority w:val="39"/>
    <w:rsid w:val="00372A7F"/>
    <w:pPr>
      <w:spacing w:after="0" w:line="240" w:lineRule="auto"/>
    </w:pPr>
    <w:rPr>
      <w:rFonts w:ascii="Times" w:eastAsia="Times New Roman"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0656E"/>
  </w:style>
  <w:style w:type="character" w:styleId="Hyperlink">
    <w:name w:val="Hyperlink"/>
    <w:basedOn w:val="DefaultParagraphFont"/>
    <w:uiPriority w:val="99"/>
    <w:unhideWhenUsed/>
    <w:rsid w:val="00CF7F80"/>
    <w:rPr>
      <w:color w:val="0563C1" w:themeColor="hyperlink"/>
      <w:u w:val="single"/>
    </w:rPr>
  </w:style>
  <w:style w:type="paragraph" w:styleId="Header">
    <w:name w:val="header"/>
    <w:basedOn w:val="Normal"/>
    <w:link w:val="HeaderChar"/>
    <w:uiPriority w:val="99"/>
    <w:unhideWhenUsed/>
    <w:rsid w:val="004A4CAD"/>
    <w:pPr>
      <w:tabs>
        <w:tab w:val="center" w:pos="4680"/>
        <w:tab w:val="right" w:pos="9360"/>
      </w:tabs>
    </w:pPr>
  </w:style>
  <w:style w:type="character" w:customStyle="1" w:styleId="HeaderChar">
    <w:name w:val="Header Char"/>
    <w:basedOn w:val="DefaultParagraphFont"/>
    <w:link w:val="Header"/>
    <w:uiPriority w:val="99"/>
    <w:rsid w:val="004A4CAD"/>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3440">
      <w:bodyDiv w:val="1"/>
      <w:marLeft w:val="0"/>
      <w:marRight w:val="0"/>
      <w:marTop w:val="0"/>
      <w:marBottom w:val="0"/>
      <w:divBdr>
        <w:top w:val="none" w:sz="0" w:space="0" w:color="auto"/>
        <w:left w:val="none" w:sz="0" w:space="0" w:color="auto"/>
        <w:bottom w:val="none" w:sz="0" w:space="0" w:color="auto"/>
        <w:right w:val="none" w:sz="0" w:space="0" w:color="auto"/>
      </w:divBdr>
    </w:div>
    <w:div w:id="283926683">
      <w:bodyDiv w:val="1"/>
      <w:marLeft w:val="0"/>
      <w:marRight w:val="0"/>
      <w:marTop w:val="0"/>
      <w:marBottom w:val="0"/>
      <w:divBdr>
        <w:top w:val="none" w:sz="0" w:space="0" w:color="auto"/>
        <w:left w:val="none" w:sz="0" w:space="0" w:color="auto"/>
        <w:bottom w:val="none" w:sz="0" w:space="0" w:color="auto"/>
        <w:right w:val="none" w:sz="0" w:space="0" w:color="auto"/>
      </w:divBdr>
    </w:div>
    <w:div w:id="308829582">
      <w:bodyDiv w:val="1"/>
      <w:marLeft w:val="0"/>
      <w:marRight w:val="0"/>
      <w:marTop w:val="0"/>
      <w:marBottom w:val="0"/>
      <w:divBdr>
        <w:top w:val="none" w:sz="0" w:space="0" w:color="auto"/>
        <w:left w:val="none" w:sz="0" w:space="0" w:color="auto"/>
        <w:bottom w:val="none" w:sz="0" w:space="0" w:color="auto"/>
        <w:right w:val="none" w:sz="0" w:space="0" w:color="auto"/>
      </w:divBdr>
    </w:div>
    <w:div w:id="314333857">
      <w:bodyDiv w:val="1"/>
      <w:marLeft w:val="0"/>
      <w:marRight w:val="0"/>
      <w:marTop w:val="0"/>
      <w:marBottom w:val="0"/>
      <w:divBdr>
        <w:top w:val="none" w:sz="0" w:space="0" w:color="auto"/>
        <w:left w:val="none" w:sz="0" w:space="0" w:color="auto"/>
        <w:bottom w:val="none" w:sz="0" w:space="0" w:color="auto"/>
        <w:right w:val="none" w:sz="0" w:space="0" w:color="auto"/>
      </w:divBdr>
    </w:div>
    <w:div w:id="321009909">
      <w:bodyDiv w:val="1"/>
      <w:marLeft w:val="0"/>
      <w:marRight w:val="0"/>
      <w:marTop w:val="0"/>
      <w:marBottom w:val="0"/>
      <w:divBdr>
        <w:top w:val="none" w:sz="0" w:space="0" w:color="auto"/>
        <w:left w:val="none" w:sz="0" w:space="0" w:color="auto"/>
        <w:bottom w:val="none" w:sz="0" w:space="0" w:color="auto"/>
        <w:right w:val="none" w:sz="0" w:space="0" w:color="auto"/>
      </w:divBdr>
    </w:div>
    <w:div w:id="386688284">
      <w:bodyDiv w:val="1"/>
      <w:marLeft w:val="0"/>
      <w:marRight w:val="0"/>
      <w:marTop w:val="0"/>
      <w:marBottom w:val="0"/>
      <w:divBdr>
        <w:top w:val="none" w:sz="0" w:space="0" w:color="auto"/>
        <w:left w:val="none" w:sz="0" w:space="0" w:color="auto"/>
        <w:bottom w:val="none" w:sz="0" w:space="0" w:color="auto"/>
        <w:right w:val="none" w:sz="0" w:space="0" w:color="auto"/>
      </w:divBdr>
    </w:div>
    <w:div w:id="509299701">
      <w:bodyDiv w:val="1"/>
      <w:marLeft w:val="0"/>
      <w:marRight w:val="0"/>
      <w:marTop w:val="0"/>
      <w:marBottom w:val="0"/>
      <w:divBdr>
        <w:top w:val="none" w:sz="0" w:space="0" w:color="auto"/>
        <w:left w:val="none" w:sz="0" w:space="0" w:color="auto"/>
        <w:bottom w:val="none" w:sz="0" w:space="0" w:color="auto"/>
        <w:right w:val="none" w:sz="0" w:space="0" w:color="auto"/>
      </w:divBdr>
    </w:div>
    <w:div w:id="523516958">
      <w:bodyDiv w:val="1"/>
      <w:marLeft w:val="0"/>
      <w:marRight w:val="0"/>
      <w:marTop w:val="0"/>
      <w:marBottom w:val="0"/>
      <w:divBdr>
        <w:top w:val="none" w:sz="0" w:space="0" w:color="auto"/>
        <w:left w:val="none" w:sz="0" w:space="0" w:color="auto"/>
        <w:bottom w:val="none" w:sz="0" w:space="0" w:color="auto"/>
        <w:right w:val="none" w:sz="0" w:space="0" w:color="auto"/>
      </w:divBdr>
    </w:div>
    <w:div w:id="618874747">
      <w:bodyDiv w:val="1"/>
      <w:marLeft w:val="0"/>
      <w:marRight w:val="0"/>
      <w:marTop w:val="0"/>
      <w:marBottom w:val="0"/>
      <w:divBdr>
        <w:top w:val="none" w:sz="0" w:space="0" w:color="auto"/>
        <w:left w:val="none" w:sz="0" w:space="0" w:color="auto"/>
        <w:bottom w:val="none" w:sz="0" w:space="0" w:color="auto"/>
        <w:right w:val="none" w:sz="0" w:space="0" w:color="auto"/>
      </w:divBdr>
    </w:div>
    <w:div w:id="691305535">
      <w:bodyDiv w:val="1"/>
      <w:marLeft w:val="0"/>
      <w:marRight w:val="0"/>
      <w:marTop w:val="0"/>
      <w:marBottom w:val="0"/>
      <w:divBdr>
        <w:top w:val="none" w:sz="0" w:space="0" w:color="auto"/>
        <w:left w:val="none" w:sz="0" w:space="0" w:color="auto"/>
        <w:bottom w:val="none" w:sz="0" w:space="0" w:color="auto"/>
        <w:right w:val="none" w:sz="0" w:space="0" w:color="auto"/>
      </w:divBdr>
    </w:div>
    <w:div w:id="724377001">
      <w:bodyDiv w:val="1"/>
      <w:marLeft w:val="0"/>
      <w:marRight w:val="0"/>
      <w:marTop w:val="0"/>
      <w:marBottom w:val="0"/>
      <w:divBdr>
        <w:top w:val="none" w:sz="0" w:space="0" w:color="auto"/>
        <w:left w:val="none" w:sz="0" w:space="0" w:color="auto"/>
        <w:bottom w:val="none" w:sz="0" w:space="0" w:color="auto"/>
        <w:right w:val="none" w:sz="0" w:space="0" w:color="auto"/>
      </w:divBdr>
    </w:div>
    <w:div w:id="853350283">
      <w:bodyDiv w:val="1"/>
      <w:marLeft w:val="0"/>
      <w:marRight w:val="0"/>
      <w:marTop w:val="0"/>
      <w:marBottom w:val="0"/>
      <w:divBdr>
        <w:top w:val="none" w:sz="0" w:space="0" w:color="auto"/>
        <w:left w:val="none" w:sz="0" w:space="0" w:color="auto"/>
        <w:bottom w:val="none" w:sz="0" w:space="0" w:color="auto"/>
        <w:right w:val="none" w:sz="0" w:space="0" w:color="auto"/>
      </w:divBdr>
    </w:div>
    <w:div w:id="874077153">
      <w:bodyDiv w:val="1"/>
      <w:marLeft w:val="0"/>
      <w:marRight w:val="0"/>
      <w:marTop w:val="0"/>
      <w:marBottom w:val="0"/>
      <w:divBdr>
        <w:top w:val="none" w:sz="0" w:space="0" w:color="auto"/>
        <w:left w:val="none" w:sz="0" w:space="0" w:color="auto"/>
        <w:bottom w:val="none" w:sz="0" w:space="0" w:color="auto"/>
        <w:right w:val="none" w:sz="0" w:space="0" w:color="auto"/>
      </w:divBdr>
    </w:div>
    <w:div w:id="880825868">
      <w:bodyDiv w:val="1"/>
      <w:marLeft w:val="0"/>
      <w:marRight w:val="0"/>
      <w:marTop w:val="0"/>
      <w:marBottom w:val="0"/>
      <w:divBdr>
        <w:top w:val="none" w:sz="0" w:space="0" w:color="auto"/>
        <w:left w:val="none" w:sz="0" w:space="0" w:color="auto"/>
        <w:bottom w:val="none" w:sz="0" w:space="0" w:color="auto"/>
        <w:right w:val="none" w:sz="0" w:space="0" w:color="auto"/>
      </w:divBdr>
    </w:div>
    <w:div w:id="894854896">
      <w:bodyDiv w:val="1"/>
      <w:marLeft w:val="0"/>
      <w:marRight w:val="0"/>
      <w:marTop w:val="0"/>
      <w:marBottom w:val="0"/>
      <w:divBdr>
        <w:top w:val="none" w:sz="0" w:space="0" w:color="auto"/>
        <w:left w:val="none" w:sz="0" w:space="0" w:color="auto"/>
        <w:bottom w:val="none" w:sz="0" w:space="0" w:color="auto"/>
        <w:right w:val="none" w:sz="0" w:space="0" w:color="auto"/>
      </w:divBdr>
    </w:div>
    <w:div w:id="1009992672">
      <w:bodyDiv w:val="1"/>
      <w:marLeft w:val="0"/>
      <w:marRight w:val="0"/>
      <w:marTop w:val="0"/>
      <w:marBottom w:val="0"/>
      <w:divBdr>
        <w:top w:val="none" w:sz="0" w:space="0" w:color="auto"/>
        <w:left w:val="none" w:sz="0" w:space="0" w:color="auto"/>
        <w:bottom w:val="none" w:sz="0" w:space="0" w:color="auto"/>
        <w:right w:val="none" w:sz="0" w:space="0" w:color="auto"/>
      </w:divBdr>
    </w:div>
    <w:div w:id="1098065261">
      <w:bodyDiv w:val="1"/>
      <w:marLeft w:val="0"/>
      <w:marRight w:val="0"/>
      <w:marTop w:val="0"/>
      <w:marBottom w:val="0"/>
      <w:divBdr>
        <w:top w:val="none" w:sz="0" w:space="0" w:color="auto"/>
        <w:left w:val="none" w:sz="0" w:space="0" w:color="auto"/>
        <w:bottom w:val="none" w:sz="0" w:space="0" w:color="auto"/>
        <w:right w:val="none" w:sz="0" w:space="0" w:color="auto"/>
      </w:divBdr>
    </w:div>
    <w:div w:id="1194615531">
      <w:bodyDiv w:val="1"/>
      <w:marLeft w:val="0"/>
      <w:marRight w:val="0"/>
      <w:marTop w:val="0"/>
      <w:marBottom w:val="0"/>
      <w:divBdr>
        <w:top w:val="none" w:sz="0" w:space="0" w:color="auto"/>
        <w:left w:val="none" w:sz="0" w:space="0" w:color="auto"/>
        <w:bottom w:val="none" w:sz="0" w:space="0" w:color="auto"/>
        <w:right w:val="none" w:sz="0" w:space="0" w:color="auto"/>
      </w:divBdr>
    </w:div>
    <w:div w:id="1236625348">
      <w:bodyDiv w:val="1"/>
      <w:marLeft w:val="0"/>
      <w:marRight w:val="0"/>
      <w:marTop w:val="0"/>
      <w:marBottom w:val="0"/>
      <w:divBdr>
        <w:top w:val="none" w:sz="0" w:space="0" w:color="auto"/>
        <w:left w:val="none" w:sz="0" w:space="0" w:color="auto"/>
        <w:bottom w:val="none" w:sz="0" w:space="0" w:color="auto"/>
        <w:right w:val="none" w:sz="0" w:space="0" w:color="auto"/>
      </w:divBdr>
    </w:div>
    <w:div w:id="1335188662">
      <w:bodyDiv w:val="1"/>
      <w:marLeft w:val="0"/>
      <w:marRight w:val="0"/>
      <w:marTop w:val="0"/>
      <w:marBottom w:val="0"/>
      <w:divBdr>
        <w:top w:val="none" w:sz="0" w:space="0" w:color="auto"/>
        <w:left w:val="none" w:sz="0" w:space="0" w:color="auto"/>
        <w:bottom w:val="none" w:sz="0" w:space="0" w:color="auto"/>
        <w:right w:val="none" w:sz="0" w:space="0" w:color="auto"/>
      </w:divBdr>
    </w:div>
    <w:div w:id="1338532769">
      <w:bodyDiv w:val="1"/>
      <w:marLeft w:val="0"/>
      <w:marRight w:val="0"/>
      <w:marTop w:val="0"/>
      <w:marBottom w:val="0"/>
      <w:divBdr>
        <w:top w:val="none" w:sz="0" w:space="0" w:color="auto"/>
        <w:left w:val="none" w:sz="0" w:space="0" w:color="auto"/>
        <w:bottom w:val="none" w:sz="0" w:space="0" w:color="auto"/>
        <w:right w:val="none" w:sz="0" w:space="0" w:color="auto"/>
      </w:divBdr>
    </w:div>
    <w:div w:id="1353385328">
      <w:bodyDiv w:val="1"/>
      <w:marLeft w:val="0"/>
      <w:marRight w:val="0"/>
      <w:marTop w:val="0"/>
      <w:marBottom w:val="0"/>
      <w:divBdr>
        <w:top w:val="none" w:sz="0" w:space="0" w:color="auto"/>
        <w:left w:val="none" w:sz="0" w:space="0" w:color="auto"/>
        <w:bottom w:val="none" w:sz="0" w:space="0" w:color="auto"/>
        <w:right w:val="none" w:sz="0" w:space="0" w:color="auto"/>
      </w:divBdr>
    </w:div>
    <w:div w:id="1413700058">
      <w:bodyDiv w:val="1"/>
      <w:marLeft w:val="0"/>
      <w:marRight w:val="0"/>
      <w:marTop w:val="0"/>
      <w:marBottom w:val="0"/>
      <w:divBdr>
        <w:top w:val="none" w:sz="0" w:space="0" w:color="auto"/>
        <w:left w:val="none" w:sz="0" w:space="0" w:color="auto"/>
        <w:bottom w:val="none" w:sz="0" w:space="0" w:color="auto"/>
        <w:right w:val="none" w:sz="0" w:space="0" w:color="auto"/>
      </w:divBdr>
    </w:div>
    <w:div w:id="1566798742">
      <w:bodyDiv w:val="1"/>
      <w:marLeft w:val="0"/>
      <w:marRight w:val="0"/>
      <w:marTop w:val="0"/>
      <w:marBottom w:val="0"/>
      <w:divBdr>
        <w:top w:val="none" w:sz="0" w:space="0" w:color="auto"/>
        <w:left w:val="none" w:sz="0" w:space="0" w:color="auto"/>
        <w:bottom w:val="none" w:sz="0" w:space="0" w:color="auto"/>
        <w:right w:val="none" w:sz="0" w:space="0" w:color="auto"/>
      </w:divBdr>
    </w:div>
    <w:div w:id="1660768667">
      <w:bodyDiv w:val="1"/>
      <w:marLeft w:val="0"/>
      <w:marRight w:val="0"/>
      <w:marTop w:val="0"/>
      <w:marBottom w:val="0"/>
      <w:divBdr>
        <w:top w:val="none" w:sz="0" w:space="0" w:color="auto"/>
        <w:left w:val="none" w:sz="0" w:space="0" w:color="auto"/>
        <w:bottom w:val="none" w:sz="0" w:space="0" w:color="auto"/>
        <w:right w:val="none" w:sz="0" w:space="0" w:color="auto"/>
      </w:divBdr>
    </w:div>
    <w:div w:id="1706368933">
      <w:bodyDiv w:val="1"/>
      <w:marLeft w:val="0"/>
      <w:marRight w:val="0"/>
      <w:marTop w:val="0"/>
      <w:marBottom w:val="0"/>
      <w:divBdr>
        <w:top w:val="none" w:sz="0" w:space="0" w:color="auto"/>
        <w:left w:val="none" w:sz="0" w:space="0" w:color="auto"/>
        <w:bottom w:val="none" w:sz="0" w:space="0" w:color="auto"/>
        <w:right w:val="none" w:sz="0" w:space="0" w:color="auto"/>
      </w:divBdr>
    </w:div>
    <w:div w:id="1823504556">
      <w:bodyDiv w:val="1"/>
      <w:marLeft w:val="0"/>
      <w:marRight w:val="0"/>
      <w:marTop w:val="0"/>
      <w:marBottom w:val="0"/>
      <w:divBdr>
        <w:top w:val="none" w:sz="0" w:space="0" w:color="auto"/>
        <w:left w:val="none" w:sz="0" w:space="0" w:color="auto"/>
        <w:bottom w:val="none" w:sz="0" w:space="0" w:color="auto"/>
        <w:right w:val="none" w:sz="0" w:space="0" w:color="auto"/>
      </w:divBdr>
    </w:div>
    <w:div w:id="1824814489">
      <w:bodyDiv w:val="1"/>
      <w:marLeft w:val="0"/>
      <w:marRight w:val="0"/>
      <w:marTop w:val="0"/>
      <w:marBottom w:val="0"/>
      <w:divBdr>
        <w:top w:val="none" w:sz="0" w:space="0" w:color="auto"/>
        <w:left w:val="none" w:sz="0" w:space="0" w:color="auto"/>
        <w:bottom w:val="none" w:sz="0" w:space="0" w:color="auto"/>
        <w:right w:val="none" w:sz="0" w:space="0" w:color="auto"/>
      </w:divBdr>
    </w:div>
    <w:div w:id="1886866919">
      <w:bodyDiv w:val="1"/>
      <w:marLeft w:val="0"/>
      <w:marRight w:val="0"/>
      <w:marTop w:val="0"/>
      <w:marBottom w:val="0"/>
      <w:divBdr>
        <w:top w:val="none" w:sz="0" w:space="0" w:color="auto"/>
        <w:left w:val="none" w:sz="0" w:space="0" w:color="auto"/>
        <w:bottom w:val="none" w:sz="0" w:space="0" w:color="auto"/>
        <w:right w:val="none" w:sz="0" w:space="0" w:color="auto"/>
      </w:divBdr>
    </w:div>
    <w:div w:id="1943106174">
      <w:bodyDiv w:val="1"/>
      <w:marLeft w:val="0"/>
      <w:marRight w:val="0"/>
      <w:marTop w:val="0"/>
      <w:marBottom w:val="0"/>
      <w:divBdr>
        <w:top w:val="none" w:sz="0" w:space="0" w:color="auto"/>
        <w:left w:val="none" w:sz="0" w:space="0" w:color="auto"/>
        <w:bottom w:val="none" w:sz="0" w:space="0" w:color="auto"/>
        <w:right w:val="none" w:sz="0" w:space="0" w:color="auto"/>
      </w:divBdr>
    </w:div>
    <w:div w:id="2017616195">
      <w:bodyDiv w:val="1"/>
      <w:marLeft w:val="0"/>
      <w:marRight w:val="0"/>
      <w:marTop w:val="0"/>
      <w:marBottom w:val="0"/>
      <w:divBdr>
        <w:top w:val="none" w:sz="0" w:space="0" w:color="auto"/>
        <w:left w:val="none" w:sz="0" w:space="0" w:color="auto"/>
        <w:bottom w:val="none" w:sz="0" w:space="0" w:color="auto"/>
        <w:right w:val="none" w:sz="0" w:space="0" w:color="auto"/>
      </w:divBdr>
    </w:div>
    <w:div w:id="209423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www.hhs.gov/hipaa/for-professionals/privacy/special-topics/de-identification/index.html" TargetMode="External"/><Relationship Id="rId10" Type="http://schemas.openxmlformats.org/officeDocument/2006/relationships/hyperlink" Target="https://www.hhs.gov/sites/default/files/ocr/privacy/hipaa/understanding/coveredentities/De-identification/hhs_deid_guid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3233</Words>
  <Characters>18430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sfgadmin</dc:creator>
  <cp:keywords/>
  <dc:description/>
  <cp:lastModifiedBy>JKnight</cp:lastModifiedBy>
  <cp:revision>2</cp:revision>
  <dcterms:created xsi:type="dcterms:W3CDTF">2017-06-16T16:49:00Z</dcterms:created>
  <dcterms:modified xsi:type="dcterms:W3CDTF">2017-06-16T16:49:00Z</dcterms:modified>
</cp:coreProperties>
</file>