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A79" w:rsidRPr="0034286D" w:rsidRDefault="00B26A79" w:rsidP="00B26A79">
      <w:pPr>
        <w:jc w:val="both"/>
        <w:rPr>
          <w:rFonts w:asciiTheme="minorHAnsi" w:hAnsiTheme="minorHAnsi" w:cs="Arial"/>
          <w:b/>
          <w:i/>
          <w:color w:val="0033CC"/>
        </w:rPr>
      </w:pPr>
      <w:bookmarkStart w:id="0" w:name="Text1"/>
    </w:p>
    <w:p w:rsidR="00B26A79" w:rsidRPr="0034286D" w:rsidRDefault="00B26A79" w:rsidP="00B26A79">
      <w:pPr>
        <w:jc w:val="both"/>
        <w:rPr>
          <w:rFonts w:asciiTheme="minorHAnsi" w:hAnsiTheme="minorHAnsi" w:cs="Arial"/>
          <w:b/>
          <w:i/>
          <w:color w:val="0033CC"/>
        </w:rPr>
      </w:pPr>
    </w:p>
    <w:p w:rsidR="00B26A79" w:rsidRPr="0034286D" w:rsidRDefault="00B26A79" w:rsidP="00B26A79">
      <w:pPr>
        <w:rPr>
          <w:rFonts w:asciiTheme="minorHAnsi" w:hAnsiTheme="minorHAnsi" w:cs="Arial"/>
          <w:b/>
        </w:rPr>
      </w:pPr>
    </w:p>
    <w:bookmarkEnd w:id="0"/>
    <w:p w:rsidR="00B26A79" w:rsidRPr="0034286D" w:rsidRDefault="00B26A79" w:rsidP="00B26A79">
      <w:pPr>
        <w:jc w:val="center"/>
        <w:rPr>
          <w:rFonts w:asciiTheme="minorHAnsi" w:hAnsiTheme="minorHAnsi"/>
          <w:b/>
          <w:i/>
          <w:color w:val="0000FF"/>
        </w:rPr>
      </w:pPr>
    </w:p>
    <w:p w:rsidR="00B26A79" w:rsidRPr="00285C4E" w:rsidRDefault="00A91E14" w:rsidP="00B26A79">
      <w:pPr>
        <w:jc w:val="center"/>
        <w:rPr>
          <w:rFonts w:asciiTheme="minorHAnsi" w:hAnsiTheme="minorHAnsi"/>
          <w:b/>
          <w:sz w:val="48"/>
        </w:rPr>
      </w:pPr>
      <w:r>
        <w:rPr>
          <w:rFonts w:asciiTheme="minorHAnsi" w:hAnsiTheme="minorHAnsi"/>
          <w:b/>
          <w:sz w:val="40"/>
        </w:rPr>
        <w:t>Understanding</w:t>
      </w:r>
      <w:r w:rsidR="008B7FB1" w:rsidRPr="00285C4E">
        <w:rPr>
          <w:rFonts w:asciiTheme="minorHAnsi" w:hAnsiTheme="minorHAnsi"/>
          <w:b/>
          <w:sz w:val="40"/>
        </w:rPr>
        <w:t xml:space="preserve"> S</w:t>
      </w:r>
      <w:r>
        <w:rPr>
          <w:rFonts w:asciiTheme="minorHAnsi" w:hAnsiTheme="minorHAnsi"/>
          <w:b/>
          <w:sz w:val="40"/>
        </w:rPr>
        <w:t>ervice Utilization for</w:t>
      </w:r>
      <w:r w:rsidR="00FD3F8D" w:rsidRPr="00285C4E">
        <w:rPr>
          <w:rFonts w:asciiTheme="minorHAnsi" w:hAnsiTheme="minorHAnsi"/>
          <w:b/>
          <w:sz w:val="40"/>
        </w:rPr>
        <w:t xml:space="preserve"> Individuals Struggling with Eating D</w:t>
      </w:r>
      <w:r w:rsidR="00AA5B46" w:rsidRPr="00285C4E">
        <w:rPr>
          <w:rFonts w:asciiTheme="minorHAnsi" w:hAnsiTheme="minorHAnsi"/>
          <w:b/>
          <w:sz w:val="40"/>
        </w:rPr>
        <w:t>isorders</w:t>
      </w:r>
    </w:p>
    <w:p w:rsidR="00B26A79" w:rsidRDefault="00B26A79" w:rsidP="00B26A79">
      <w:pPr>
        <w:jc w:val="center"/>
        <w:rPr>
          <w:rFonts w:asciiTheme="minorHAnsi" w:hAnsiTheme="minorHAnsi"/>
          <w:b/>
          <w:i/>
        </w:rPr>
      </w:pPr>
    </w:p>
    <w:p w:rsidR="00B26A79" w:rsidRDefault="00B26A79" w:rsidP="00B26A79">
      <w:pPr>
        <w:jc w:val="center"/>
        <w:rPr>
          <w:rFonts w:asciiTheme="minorHAnsi" w:hAnsiTheme="minorHAnsi"/>
          <w:b/>
          <w:i/>
          <w:color w:val="0000FF"/>
        </w:rPr>
      </w:pP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u w:val="single"/>
        </w:rPr>
      </w:pPr>
      <w:r w:rsidRPr="0034286D">
        <w:rPr>
          <w:rFonts w:asciiTheme="minorHAnsi" w:hAnsiTheme="minorHAnsi"/>
          <w:i/>
          <w:color w:val="0000FF"/>
          <w:u w:val="single"/>
        </w:rPr>
        <w:t xml:space="preserve"> </w:t>
      </w:r>
    </w:p>
    <w:p w:rsidR="00B26A79" w:rsidRPr="0034286D" w:rsidRDefault="00B26A79" w:rsidP="00B26A79">
      <w:pPr>
        <w:rPr>
          <w:rFonts w:asciiTheme="minorHAnsi" w:hAnsiTheme="minorHAnsi"/>
          <w:i/>
          <w:color w:val="0000FF"/>
          <w:u w:val="single"/>
        </w:rPr>
      </w:pPr>
    </w:p>
    <w:p w:rsidR="00B26A79" w:rsidRPr="0034286D" w:rsidRDefault="00B26A79" w:rsidP="00B26A79">
      <w:pPr>
        <w:rPr>
          <w:rFonts w:asciiTheme="minorHAnsi" w:hAnsiTheme="minorHAnsi"/>
          <w:i/>
          <w:color w:val="0000FF"/>
          <w:u w:val="single"/>
        </w:rPr>
      </w:pPr>
    </w:p>
    <w:p w:rsidR="00B26A79" w:rsidRPr="0034286D" w:rsidRDefault="00B26A79" w:rsidP="00B26A79">
      <w:pPr>
        <w:rPr>
          <w:rFonts w:asciiTheme="minorHAnsi" w:hAnsiTheme="minorHAnsi"/>
          <w:i/>
          <w:color w:val="0000FF"/>
          <w:u w:val="single"/>
        </w:rPr>
      </w:pPr>
    </w:p>
    <w:p w:rsidR="00B26A79" w:rsidRPr="008B7FB1" w:rsidRDefault="008B7FB1" w:rsidP="00B26A79">
      <w:pPr>
        <w:rPr>
          <w:rFonts w:asciiTheme="minorHAnsi" w:hAnsiTheme="minorHAnsi"/>
          <w:b/>
          <w:sz w:val="28"/>
        </w:rPr>
      </w:pPr>
      <w:r>
        <w:rPr>
          <w:rFonts w:asciiTheme="minorHAnsi" w:hAnsiTheme="minorHAnsi"/>
          <w:b/>
        </w:rPr>
        <w:br/>
      </w:r>
      <w:r w:rsidR="00B26A79" w:rsidRPr="0034286D">
        <w:rPr>
          <w:rFonts w:asciiTheme="minorHAnsi" w:hAnsiTheme="minorHAnsi"/>
          <w:b/>
        </w:rPr>
        <w:t>Short Study Title:</w:t>
      </w:r>
      <w:r w:rsidR="00B26A79">
        <w:rPr>
          <w:rFonts w:asciiTheme="minorHAnsi" w:hAnsiTheme="minorHAnsi"/>
          <w:b/>
        </w:rPr>
        <w:t xml:space="preserve"> </w:t>
      </w:r>
      <w:r w:rsidR="00B26A79">
        <w:rPr>
          <w:rFonts w:asciiTheme="minorHAnsi" w:hAnsiTheme="minorHAnsi"/>
          <w:b/>
        </w:rPr>
        <w:tab/>
      </w:r>
      <w:r>
        <w:rPr>
          <w:rFonts w:asciiTheme="minorHAnsi" w:hAnsiTheme="minorHAnsi"/>
          <w:b/>
        </w:rPr>
        <w:tab/>
      </w:r>
      <w:r w:rsidRPr="008B7FB1">
        <w:rPr>
          <w:rFonts w:asciiTheme="minorHAnsi" w:hAnsiTheme="minorHAnsi"/>
          <w:b/>
          <w:i/>
          <w:sz w:val="28"/>
        </w:rPr>
        <w:t xml:space="preserve">Eating Disorder </w:t>
      </w:r>
      <w:r>
        <w:rPr>
          <w:rFonts w:asciiTheme="minorHAnsi" w:hAnsiTheme="minorHAnsi"/>
          <w:b/>
          <w:i/>
          <w:sz w:val="28"/>
        </w:rPr>
        <w:t>Service Utilization</w:t>
      </w: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i/>
          <w:color w:val="0000FF"/>
        </w:rPr>
      </w:pPr>
    </w:p>
    <w:p w:rsidR="00B26A79" w:rsidRPr="00953C66" w:rsidRDefault="00B26A79" w:rsidP="00B26A79">
      <w:pPr>
        <w:rPr>
          <w:rFonts w:asciiTheme="minorHAnsi" w:hAnsiTheme="minorHAnsi"/>
          <w:i/>
        </w:rPr>
      </w:pPr>
      <w:r w:rsidRPr="0034286D">
        <w:rPr>
          <w:rFonts w:asciiTheme="minorHAnsi" w:hAnsiTheme="minorHAnsi"/>
          <w:b/>
        </w:rPr>
        <w:t>Principal Investigator</w:t>
      </w:r>
      <w:r w:rsidR="008B7FB1">
        <w:rPr>
          <w:rFonts w:asciiTheme="minorHAnsi" w:hAnsiTheme="minorHAnsi"/>
          <w:b/>
        </w:rPr>
        <w:t>:</w:t>
      </w:r>
      <w:r>
        <w:rPr>
          <w:rFonts w:asciiTheme="minorHAnsi" w:hAnsiTheme="minorHAnsi"/>
          <w:b/>
        </w:rPr>
        <w:tab/>
      </w:r>
      <w:r w:rsidR="008E1BE2">
        <w:rPr>
          <w:rFonts w:asciiTheme="minorHAnsi" w:hAnsiTheme="minorHAnsi"/>
          <w:b/>
        </w:rPr>
        <w:tab/>
      </w:r>
      <w:r w:rsidR="008E1BE2" w:rsidRPr="008B7FB1">
        <w:rPr>
          <w:rFonts w:asciiTheme="minorHAnsi" w:hAnsiTheme="minorHAnsi"/>
          <w:b/>
          <w:i/>
          <w:sz w:val="28"/>
        </w:rPr>
        <w:t>Myles Maillet</w:t>
      </w:r>
      <w:r w:rsidRPr="008B7FB1">
        <w:rPr>
          <w:rFonts w:asciiTheme="minorHAnsi" w:hAnsiTheme="minorHAnsi"/>
          <w:b/>
          <w:i/>
          <w:sz w:val="28"/>
        </w:rPr>
        <w:tab/>
      </w:r>
      <w:r w:rsidRPr="00953C66">
        <w:rPr>
          <w:rFonts w:asciiTheme="minorHAnsi" w:hAnsiTheme="minorHAnsi"/>
          <w:i/>
        </w:rPr>
        <w:t xml:space="preserve"> </w:t>
      </w:r>
      <w:r>
        <w:rPr>
          <w:rFonts w:asciiTheme="minorHAnsi" w:hAnsiTheme="minorHAnsi"/>
          <w:i/>
        </w:rPr>
        <w:t xml:space="preserve">: </w:t>
      </w:r>
      <w:r>
        <w:rPr>
          <w:rFonts w:asciiTheme="minorHAnsi" w:hAnsiTheme="minorHAnsi"/>
          <w:i/>
        </w:rPr>
        <w:tab/>
      </w:r>
      <w:r>
        <w:rPr>
          <w:rFonts w:asciiTheme="minorHAnsi" w:hAnsiTheme="minorHAnsi"/>
          <w:i/>
        </w:rPr>
        <w:tab/>
      </w:r>
    </w:p>
    <w:p w:rsidR="00B26A79" w:rsidRPr="0034286D" w:rsidRDefault="00B26A79" w:rsidP="00B26A79">
      <w:pPr>
        <w:ind w:left="2880" w:hanging="2880"/>
        <w:rPr>
          <w:rFonts w:asciiTheme="minorHAnsi" w:hAnsiTheme="minorHAnsi"/>
          <w:b/>
        </w:rPr>
      </w:pPr>
    </w:p>
    <w:p w:rsidR="00B26A79" w:rsidRPr="008B7FB1" w:rsidRDefault="00B26A79" w:rsidP="00B26A79">
      <w:pPr>
        <w:ind w:left="2880" w:hanging="2880"/>
        <w:rPr>
          <w:rFonts w:asciiTheme="minorHAnsi" w:hAnsiTheme="minorHAnsi"/>
          <w:b/>
          <w:i/>
          <w:color w:val="0000FF"/>
          <w:sz w:val="28"/>
        </w:rPr>
      </w:pPr>
      <w:r w:rsidRPr="0034286D">
        <w:rPr>
          <w:rFonts w:asciiTheme="minorHAnsi" w:hAnsiTheme="minorHAnsi"/>
          <w:b/>
        </w:rPr>
        <w:t>Institutions:</w:t>
      </w:r>
      <w:r w:rsidRPr="0034286D">
        <w:rPr>
          <w:rFonts w:asciiTheme="minorHAnsi" w:hAnsiTheme="minorHAnsi"/>
          <w:b/>
        </w:rPr>
        <w:tab/>
      </w:r>
      <w:r w:rsidRPr="008B7FB1">
        <w:rPr>
          <w:rFonts w:asciiTheme="minorHAnsi" w:hAnsiTheme="minorHAnsi"/>
          <w:b/>
          <w:i/>
          <w:sz w:val="28"/>
        </w:rPr>
        <w:t>Island Health (Vancouver Island Health Authority); C</w:t>
      </w:r>
      <w:r w:rsidR="007E2FDF" w:rsidRPr="008B7FB1">
        <w:rPr>
          <w:rFonts w:asciiTheme="minorHAnsi" w:hAnsiTheme="minorHAnsi"/>
          <w:b/>
          <w:i/>
          <w:sz w:val="28"/>
        </w:rPr>
        <w:t>erner Math (Cerner Corporation)</w:t>
      </w:r>
      <w:r w:rsidR="00FD01E2" w:rsidRPr="008B7FB1">
        <w:rPr>
          <w:rFonts w:asciiTheme="minorHAnsi" w:hAnsiTheme="minorHAnsi"/>
          <w:b/>
          <w:i/>
          <w:sz w:val="28"/>
        </w:rPr>
        <w:t>; University of Victoria</w:t>
      </w:r>
    </w:p>
    <w:p w:rsidR="00B26A79" w:rsidRPr="0034286D" w:rsidRDefault="00B26A79" w:rsidP="00B26A79">
      <w:pPr>
        <w:rPr>
          <w:rFonts w:asciiTheme="minorHAnsi" w:hAnsiTheme="minorHAnsi"/>
          <w:i/>
          <w:color w:val="0000FF"/>
        </w:rPr>
      </w:pP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b/>
        </w:rPr>
      </w:pPr>
      <w:r w:rsidRPr="0034286D">
        <w:rPr>
          <w:rFonts w:asciiTheme="minorHAnsi" w:hAnsiTheme="minorHAnsi"/>
          <w:b/>
        </w:rPr>
        <w:t xml:space="preserve">Protocol version date: </w:t>
      </w:r>
      <w:r>
        <w:rPr>
          <w:rFonts w:asciiTheme="minorHAnsi" w:hAnsiTheme="minorHAnsi"/>
          <w:b/>
        </w:rPr>
        <w:t xml:space="preserve"> </w:t>
      </w:r>
      <w:r w:rsidR="008B7FB1">
        <w:rPr>
          <w:rFonts w:asciiTheme="minorHAnsi" w:hAnsiTheme="minorHAnsi"/>
          <w:b/>
        </w:rPr>
        <w:tab/>
      </w:r>
      <w:r w:rsidR="008B7FB1">
        <w:rPr>
          <w:rFonts w:asciiTheme="minorHAnsi" w:hAnsiTheme="minorHAnsi"/>
          <w:b/>
        </w:rPr>
        <w:tab/>
      </w:r>
      <w:r w:rsidR="0057140F">
        <w:rPr>
          <w:rFonts w:asciiTheme="minorHAnsi" w:hAnsiTheme="minorHAnsi"/>
          <w:b/>
          <w:i/>
          <w:sz w:val="28"/>
        </w:rPr>
        <w:t>June 16</w:t>
      </w:r>
      <w:bookmarkStart w:id="1" w:name="_GoBack"/>
      <w:bookmarkEnd w:id="1"/>
      <w:r w:rsidR="008B7FB1" w:rsidRPr="008B7FB1">
        <w:rPr>
          <w:rFonts w:asciiTheme="minorHAnsi" w:hAnsiTheme="minorHAnsi"/>
          <w:b/>
          <w:i/>
          <w:sz w:val="28"/>
        </w:rPr>
        <w:t>, 2017</w:t>
      </w: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rPr>
      </w:pPr>
    </w:p>
    <w:p w:rsidR="00B26A79" w:rsidRPr="0034286D" w:rsidRDefault="00B26A79" w:rsidP="00B26A79">
      <w:pPr>
        <w:rPr>
          <w:rFonts w:asciiTheme="minorHAnsi" w:hAnsiTheme="minorHAnsi" w:cs="Arial"/>
        </w:rPr>
      </w:pPr>
    </w:p>
    <w:p w:rsidR="00B26A79" w:rsidRPr="0034286D" w:rsidRDefault="00B26A79" w:rsidP="00B26A79">
      <w:pPr>
        <w:jc w:val="center"/>
        <w:rPr>
          <w:rFonts w:asciiTheme="minorHAnsi" w:hAnsiTheme="minorHAnsi" w:cs="Arial"/>
        </w:rPr>
      </w:pPr>
    </w:p>
    <w:p w:rsidR="00C75E9D" w:rsidRDefault="00C75E9D"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8B7FB1" w:rsidRDefault="008B7FB1" w:rsidP="008C3B8C">
      <w:pPr>
        <w:rPr>
          <w:rFonts w:asciiTheme="minorHAnsi" w:hAnsiTheme="minorHAnsi" w:cs="Arial"/>
        </w:rPr>
      </w:pPr>
    </w:p>
    <w:p w:rsidR="00FD3F8D" w:rsidRDefault="00FD3F8D" w:rsidP="008C3B8C">
      <w:pPr>
        <w:rPr>
          <w:rFonts w:asciiTheme="minorHAnsi" w:hAnsiTheme="minorHAnsi" w:cs="Arial"/>
        </w:rPr>
      </w:pPr>
    </w:p>
    <w:p w:rsidR="008B7FB1" w:rsidRDefault="008B7FB1" w:rsidP="008C3B8C">
      <w:pPr>
        <w:rPr>
          <w:rFonts w:asciiTheme="minorHAnsi" w:hAnsiTheme="minorHAnsi" w:cs="Arial"/>
        </w:rPr>
      </w:pPr>
    </w:p>
    <w:p w:rsidR="00FF2629" w:rsidRDefault="00FF2629" w:rsidP="008C3B8C">
      <w:pPr>
        <w:rPr>
          <w:rFonts w:asciiTheme="minorHAnsi" w:hAnsiTheme="minorHAnsi" w:cs="Arial"/>
        </w:rPr>
      </w:pPr>
    </w:p>
    <w:p w:rsidR="00FF2629" w:rsidRDefault="00FF2629" w:rsidP="008C3B8C">
      <w:pPr>
        <w:rPr>
          <w:rFonts w:asciiTheme="minorHAnsi" w:hAnsiTheme="minorHAnsi" w:cs="Arial"/>
        </w:rPr>
      </w:pPr>
    </w:p>
    <w:p w:rsidR="008B7FB1" w:rsidRDefault="008B7FB1" w:rsidP="008C3B8C">
      <w:pPr>
        <w:rPr>
          <w:rFonts w:asciiTheme="minorHAnsi" w:hAnsiTheme="minorHAnsi" w:cs="Arial"/>
        </w:rPr>
      </w:pPr>
    </w:p>
    <w:p w:rsidR="00C42768" w:rsidRDefault="00B26A79" w:rsidP="007E2FDF">
      <w:pPr>
        <w:pStyle w:val="Heading1"/>
      </w:pPr>
      <w:r w:rsidRPr="0034286D">
        <w:lastRenderedPageBreak/>
        <w:t>Protocol Synopsis</w:t>
      </w:r>
    </w:p>
    <w:p w:rsidR="00872174" w:rsidRPr="00A827EE" w:rsidRDefault="00872174" w:rsidP="007E2FDF">
      <w:pPr>
        <w:rPr>
          <w:sz w:val="24"/>
        </w:rPr>
      </w:pPr>
      <w:r w:rsidRPr="00A827EE">
        <w:rPr>
          <w:sz w:val="24"/>
        </w:rPr>
        <w:t xml:space="preserve">This research is concerned with </w:t>
      </w:r>
      <w:r w:rsidR="000A74A7" w:rsidRPr="00A827EE">
        <w:rPr>
          <w:sz w:val="24"/>
        </w:rPr>
        <w:t xml:space="preserve">understanding the profile of individuals currently struggling, or who have struggled with eating disorders (EDs), and the </w:t>
      </w:r>
      <w:r w:rsidRPr="00A827EE">
        <w:rPr>
          <w:sz w:val="24"/>
        </w:rPr>
        <w:t xml:space="preserve">patterns of </w:t>
      </w:r>
      <w:r w:rsidR="000A74A7" w:rsidRPr="00A827EE">
        <w:rPr>
          <w:sz w:val="24"/>
        </w:rPr>
        <w:t xml:space="preserve">Island Health </w:t>
      </w:r>
      <w:r w:rsidRPr="00A827EE">
        <w:rPr>
          <w:sz w:val="24"/>
        </w:rPr>
        <w:t xml:space="preserve">service utilization among </w:t>
      </w:r>
      <w:r w:rsidR="000A74A7" w:rsidRPr="00A827EE">
        <w:rPr>
          <w:sz w:val="24"/>
        </w:rPr>
        <w:t xml:space="preserve">these </w:t>
      </w:r>
      <w:r w:rsidRPr="00A827EE">
        <w:rPr>
          <w:sz w:val="24"/>
        </w:rPr>
        <w:t>individuals on Vancouver Island. Our intention is to investigate the prevalence of anorexia nervosa (AN), bulimia nervosa (BN), and eating disorders not otherwise specified (EDNOS</w:t>
      </w:r>
      <w:r w:rsidR="00DE1187" w:rsidRPr="00A827EE">
        <w:rPr>
          <w:sz w:val="24"/>
        </w:rPr>
        <w:t>; e.g., binge eating disorder</w:t>
      </w:r>
      <w:r w:rsidRPr="00A827EE">
        <w:rPr>
          <w:sz w:val="24"/>
        </w:rPr>
        <w:t xml:space="preserve">), and to further </w:t>
      </w:r>
      <w:r w:rsidR="000A74A7" w:rsidRPr="00A827EE">
        <w:rPr>
          <w:sz w:val="24"/>
        </w:rPr>
        <w:t>explore</w:t>
      </w:r>
      <w:r w:rsidRPr="00A827EE">
        <w:rPr>
          <w:sz w:val="24"/>
        </w:rPr>
        <w:t xml:space="preserve"> various demographic, psychiatric, and other health issues in this population.</w:t>
      </w:r>
      <w:r w:rsidR="00BB1381" w:rsidRPr="00A827EE">
        <w:rPr>
          <w:sz w:val="24"/>
        </w:rPr>
        <w:t xml:space="preserve">  Along with this descriptive investigation, this research is concerned with understanding the patterns of Island Health service</w:t>
      </w:r>
      <w:r w:rsidR="00155EF5" w:rsidRPr="00A827EE">
        <w:rPr>
          <w:sz w:val="24"/>
        </w:rPr>
        <w:t xml:space="preserve"> engagement for this population. More specifically, we aim to</w:t>
      </w:r>
      <w:r w:rsidR="00BB1381" w:rsidRPr="00A827EE">
        <w:rPr>
          <w:sz w:val="24"/>
        </w:rPr>
        <w:t xml:space="preserve"> model risk factors associated with </w:t>
      </w:r>
      <w:r w:rsidR="00DF43BC" w:rsidRPr="00A827EE">
        <w:rPr>
          <w:sz w:val="24"/>
        </w:rPr>
        <w:t xml:space="preserve">outcomes such as </w:t>
      </w:r>
      <w:r w:rsidR="00510494">
        <w:rPr>
          <w:sz w:val="24"/>
        </w:rPr>
        <w:t xml:space="preserve">suicidality, </w:t>
      </w:r>
      <w:r w:rsidR="00BB1381" w:rsidRPr="00A827EE">
        <w:rPr>
          <w:sz w:val="24"/>
        </w:rPr>
        <w:t>self-harm</w:t>
      </w:r>
      <w:r w:rsidR="00510494">
        <w:rPr>
          <w:sz w:val="24"/>
        </w:rPr>
        <w:t>,</w:t>
      </w:r>
      <w:r w:rsidR="00BB1381" w:rsidRPr="00A827EE">
        <w:rPr>
          <w:sz w:val="24"/>
        </w:rPr>
        <w:t xml:space="preserve"> and malnutrition resulting in hospitalization,</w:t>
      </w:r>
      <w:r w:rsidR="00155EF5" w:rsidRPr="00A827EE">
        <w:rPr>
          <w:sz w:val="24"/>
        </w:rPr>
        <w:t xml:space="preserve"> and patient encounters with crisis-response teams and short-term assessments and treatments,</w:t>
      </w:r>
      <w:r w:rsidR="00BB1381" w:rsidRPr="00A827EE">
        <w:rPr>
          <w:sz w:val="24"/>
        </w:rPr>
        <w:t xml:space="preserve"> and to examine the eff</w:t>
      </w:r>
      <w:r w:rsidR="00DF43BC" w:rsidRPr="00A827EE">
        <w:rPr>
          <w:sz w:val="24"/>
        </w:rPr>
        <w:t>icacy</w:t>
      </w:r>
      <w:r w:rsidR="00BB1381" w:rsidRPr="00A827EE">
        <w:rPr>
          <w:sz w:val="24"/>
        </w:rPr>
        <w:t xml:space="preserve"> of services provided for individuals with E</w:t>
      </w:r>
      <w:r w:rsidR="003C710E" w:rsidRPr="00A827EE">
        <w:rPr>
          <w:sz w:val="24"/>
        </w:rPr>
        <w:t>Ds at reducing these outcomes.</w:t>
      </w:r>
    </w:p>
    <w:p w:rsidR="00C42768" w:rsidRDefault="006E4B1D" w:rsidP="007E2FDF">
      <w:pPr>
        <w:pStyle w:val="Heading1"/>
      </w:pPr>
      <w:r>
        <w:t>Background &amp; Rationale</w:t>
      </w:r>
    </w:p>
    <w:p w:rsidR="0019136C" w:rsidRPr="00A827EE" w:rsidRDefault="0019136C" w:rsidP="007E2FDF">
      <w:pPr>
        <w:rPr>
          <w:sz w:val="24"/>
        </w:rPr>
      </w:pPr>
      <w:r w:rsidRPr="00A827EE">
        <w:rPr>
          <w:sz w:val="24"/>
        </w:rPr>
        <w:t>Eating disorders</w:t>
      </w:r>
      <w:r w:rsidR="00617A47" w:rsidRPr="00A827EE">
        <w:rPr>
          <w:sz w:val="24"/>
        </w:rPr>
        <w:t xml:space="preserve"> (EDs)</w:t>
      </w:r>
      <w:r w:rsidRPr="00A827EE">
        <w:rPr>
          <w:sz w:val="24"/>
        </w:rPr>
        <w:t xml:space="preserve"> are a maj</w:t>
      </w:r>
      <w:r w:rsidR="005861B1" w:rsidRPr="00A827EE">
        <w:rPr>
          <w:sz w:val="24"/>
        </w:rPr>
        <w:t>or health concern for Canadians – young women in particular</w:t>
      </w:r>
      <w:r w:rsidRPr="00A827EE">
        <w:rPr>
          <w:sz w:val="24"/>
        </w:rPr>
        <w:t xml:space="preserve">. </w:t>
      </w:r>
      <w:r w:rsidR="005861B1" w:rsidRPr="00A827EE">
        <w:rPr>
          <w:sz w:val="24"/>
        </w:rPr>
        <w:t>More specifically</w:t>
      </w:r>
      <w:r w:rsidRPr="00A827EE">
        <w:rPr>
          <w:sz w:val="24"/>
        </w:rPr>
        <w:t xml:space="preserve">, anorexia nervosa (AN) is believed to </w:t>
      </w:r>
      <w:r w:rsidR="00617A47" w:rsidRPr="00A827EE">
        <w:rPr>
          <w:sz w:val="24"/>
        </w:rPr>
        <w:t>have one of the highest mortality rates of all mental illnesses</w:t>
      </w:r>
      <w:r w:rsidR="005A2CF1" w:rsidRPr="00A827EE">
        <w:rPr>
          <w:sz w:val="24"/>
        </w:rPr>
        <w:t>, as 10% to 15% of individuals die from health problems associated with their disorder, or from suicide</w:t>
      </w:r>
      <w:r w:rsidR="00617A47" w:rsidRPr="00A827EE">
        <w:rPr>
          <w:sz w:val="24"/>
        </w:rPr>
        <w:t xml:space="preserve"> (</w:t>
      </w:r>
      <w:r w:rsidR="00372444" w:rsidRPr="00A827EE">
        <w:rPr>
          <w:sz w:val="24"/>
        </w:rPr>
        <w:t>Sullivan, 2002</w:t>
      </w:r>
      <w:r w:rsidR="00617A47" w:rsidRPr="00A827EE">
        <w:rPr>
          <w:sz w:val="24"/>
        </w:rPr>
        <w:t xml:space="preserve">). Meta-analytic estimates </w:t>
      </w:r>
      <w:r w:rsidR="007233F5" w:rsidRPr="00A827EE">
        <w:rPr>
          <w:sz w:val="24"/>
        </w:rPr>
        <w:t xml:space="preserve">suggest that 3% of women will struggle with an </w:t>
      </w:r>
      <w:r w:rsidR="00372444" w:rsidRPr="00A827EE">
        <w:rPr>
          <w:sz w:val="24"/>
        </w:rPr>
        <w:t>ED</w:t>
      </w:r>
      <w:r w:rsidR="007233F5" w:rsidRPr="00A827EE">
        <w:rPr>
          <w:sz w:val="24"/>
        </w:rPr>
        <w:t xml:space="preserve"> at some point during their lifetime (</w:t>
      </w:r>
      <w:r w:rsidR="00832DF3" w:rsidRPr="00A827EE">
        <w:rPr>
          <w:sz w:val="24"/>
        </w:rPr>
        <w:t>Arcelus et al., 2011</w:t>
      </w:r>
      <w:r w:rsidR="007233F5" w:rsidRPr="00A827EE">
        <w:rPr>
          <w:sz w:val="24"/>
        </w:rPr>
        <w:t>)</w:t>
      </w:r>
      <w:r w:rsidR="00372444" w:rsidRPr="00A827EE">
        <w:rPr>
          <w:sz w:val="24"/>
        </w:rPr>
        <w:t>. Although prevalence rates are significantly lower for males, some researchers and clinicians believe that incidence rates for both sexes are on the rise (</w:t>
      </w:r>
      <w:r w:rsidR="00A729E3">
        <w:rPr>
          <w:sz w:val="24"/>
        </w:rPr>
        <w:t>Hudson et al., 2007</w:t>
      </w:r>
      <w:r w:rsidR="00372444" w:rsidRPr="00A827EE">
        <w:rPr>
          <w:sz w:val="24"/>
        </w:rPr>
        <w:t xml:space="preserve">). </w:t>
      </w:r>
    </w:p>
    <w:p w:rsidR="007E2FDF" w:rsidRPr="00A827EE" w:rsidRDefault="007E2FDF" w:rsidP="007E2FDF">
      <w:pPr>
        <w:rPr>
          <w:sz w:val="24"/>
        </w:rPr>
      </w:pPr>
    </w:p>
    <w:p w:rsidR="00F662F7" w:rsidRPr="00A827EE" w:rsidRDefault="0023452C" w:rsidP="007E2FDF">
      <w:pPr>
        <w:rPr>
          <w:sz w:val="24"/>
        </w:rPr>
      </w:pPr>
      <w:r w:rsidRPr="00A827EE">
        <w:rPr>
          <w:sz w:val="24"/>
        </w:rPr>
        <w:t>C</w:t>
      </w:r>
      <w:r w:rsidR="00F662F7" w:rsidRPr="00A827EE">
        <w:rPr>
          <w:sz w:val="24"/>
        </w:rPr>
        <w:t xml:space="preserve">haracterized by a refusal to maintain a healthy body weight, </w:t>
      </w:r>
      <w:r w:rsidRPr="00A827EE">
        <w:rPr>
          <w:sz w:val="24"/>
        </w:rPr>
        <w:t>AN often results</w:t>
      </w:r>
      <w:r w:rsidR="001B2BFC" w:rsidRPr="00A827EE">
        <w:rPr>
          <w:sz w:val="24"/>
        </w:rPr>
        <w:t xml:space="preserve"> in cardiovascular problems, </w:t>
      </w:r>
      <w:r w:rsidR="00E1692F" w:rsidRPr="00A827EE">
        <w:rPr>
          <w:sz w:val="24"/>
        </w:rPr>
        <w:t xml:space="preserve">hypothermia, and fertility problems among women (Palla &amp; Litt, 1988). </w:t>
      </w:r>
      <w:r w:rsidR="00F662F7" w:rsidRPr="00A827EE">
        <w:rPr>
          <w:sz w:val="24"/>
        </w:rPr>
        <w:t>Cycles of binging and purging are indicative of bulimia nervosa (BN), w</w:t>
      </w:r>
      <w:r w:rsidR="005A2CF1" w:rsidRPr="00A827EE">
        <w:rPr>
          <w:sz w:val="24"/>
        </w:rPr>
        <w:t>hich yields lower mortality rates than AN, but is</w:t>
      </w:r>
      <w:r w:rsidR="00F662F7" w:rsidRPr="00A827EE">
        <w:rPr>
          <w:sz w:val="24"/>
        </w:rPr>
        <w:t xml:space="preserve"> </w:t>
      </w:r>
      <w:r w:rsidRPr="00A827EE">
        <w:rPr>
          <w:sz w:val="24"/>
        </w:rPr>
        <w:t>roughly</w:t>
      </w:r>
      <w:r w:rsidR="00F662F7" w:rsidRPr="00A827EE">
        <w:rPr>
          <w:sz w:val="24"/>
        </w:rPr>
        <w:t xml:space="preserve"> three times </w:t>
      </w:r>
      <w:r w:rsidR="005A2CF1" w:rsidRPr="00A827EE">
        <w:rPr>
          <w:sz w:val="24"/>
        </w:rPr>
        <w:t>more common</w:t>
      </w:r>
      <w:r w:rsidRPr="00A827EE">
        <w:rPr>
          <w:sz w:val="24"/>
        </w:rPr>
        <w:t xml:space="preserve"> (Arcelus et al., 2011</w:t>
      </w:r>
      <w:r w:rsidR="00A827EE" w:rsidRPr="00A827EE">
        <w:rPr>
          <w:sz w:val="24"/>
        </w:rPr>
        <w:t>, Keel et al., 2003</w:t>
      </w:r>
      <w:r w:rsidRPr="00A827EE">
        <w:rPr>
          <w:sz w:val="24"/>
        </w:rPr>
        <w:t>)</w:t>
      </w:r>
      <w:r w:rsidR="005A2CF1" w:rsidRPr="00A827EE">
        <w:rPr>
          <w:sz w:val="24"/>
        </w:rPr>
        <w:t>.</w:t>
      </w:r>
      <w:r w:rsidR="003C0119" w:rsidRPr="00A827EE">
        <w:rPr>
          <w:sz w:val="24"/>
        </w:rPr>
        <w:t xml:space="preserve"> </w:t>
      </w:r>
      <w:r w:rsidRPr="00A827EE">
        <w:rPr>
          <w:sz w:val="24"/>
        </w:rPr>
        <w:t>Individuals diagnosed with an ED are more likely to exhibit</w:t>
      </w:r>
      <w:r w:rsidR="00DE1187" w:rsidRPr="00A827EE">
        <w:rPr>
          <w:sz w:val="24"/>
        </w:rPr>
        <w:t xml:space="preserve"> disordered alcohol use (Bulik et al., 2004), </w:t>
      </w:r>
      <w:r w:rsidRPr="00A827EE">
        <w:rPr>
          <w:sz w:val="24"/>
        </w:rPr>
        <w:t xml:space="preserve">comorbid </w:t>
      </w:r>
      <w:r w:rsidR="00602953" w:rsidRPr="00A827EE">
        <w:rPr>
          <w:sz w:val="24"/>
        </w:rPr>
        <w:t>mental</w:t>
      </w:r>
      <w:r w:rsidR="00DE1187" w:rsidRPr="00A827EE">
        <w:rPr>
          <w:sz w:val="24"/>
        </w:rPr>
        <w:t xml:space="preserve"> </w:t>
      </w:r>
      <w:r w:rsidRPr="00A827EE">
        <w:rPr>
          <w:sz w:val="24"/>
        </w:rPr>
        <w:t>illnesses</w:t>
      </w:r>
      <w:r w:rsidR="00440062" w:rsidRPr="00A827EE">
        <w:rPr>
          <w:sz w:val="24"/>
        </w:rPr>
        <w:t xml:space="preserve"> (e.g., depression, anxiety disorders</w:t>
      </w:r>
      <w:r w:rsidR="00DE1187" w:rsidRPr="00A827EE">
        <w:rPr>
          <w:sz w:val="24"/>
        </w:rPr>
        <w:t xml:space="preserve">, personality disorders; </w:t>
      </w:r>
      <w:r w:rsidR="00440062" w:rsidRPr="00A827EE">
        <w:rPr>
          <w:sz w:val="24"/>
        </w:rPr>
        <w:t>Brau</w:t>
      </w:r>
      <w:r w:rsidR="00DE1187" w:rsidRPr="00A827EE">
        <w:rPr>
          <w:sz w:val="24"/>
        </w:rPr>
        <w:t>n et al., 1994)</w:t>
      </w:r>
      <w:r w:rsidR="00E1692F" w:rsidRPr="00A827EE">
        <w:rPr>
          <w:sz w:val="24"/>
        </w:rPr>
        <w:t>, and both self-harm and suicide attempts (Sansone &amp; Levitt, 2010)</w:t>
      </w:r>
      <w:r w:rsidR="00DE1187" w:rsidRPr="00A827EE">
        <w:rPr>
          <w:sz w:val="24"/>
        </w:rPr>
        <w:t>.</w:t>
      </w:r>
    </w:p>
    <w:p w:rsidR="007E2FDF" w:rsidRPr="00A827EE" w:rsidRDefault="007E2FDF" w:rsidP="007E2FDF">
      <w:pPr>
        <w:rPr>
          <w:sz w:val="24"/>
        </w:rPr>
      </w:pPr>
    </w:p>
    <w:p w:rsidR="00FB0132" w:rsidRPr="00A827EE" w:rsidRDefault="001A5475" w:rsidP="007E2FDF">
      <w:pPr>
        <w:rPr>
          <w:sz w:val="24"/>
        </w:rPr>
      </w:pPr>
      <w:r w:rsidRPr="00A827EE">
        <w:rPr>
          <w:sz w:val="24"/>
        </w:rPr>
        <w:t>To date, most research on EDs has focused on prevalence, covariates,</w:t>
      </w:r>
      <w:r w:rsidR="001450B5" w:rsidRPr="00A827EE">
        <w:rPr>
          <w:sz w:val="24"/>
        </w:rPr>
        <w:t xml:space="preserve"> and predictors of mortality. </w:t>
      </w:r>
      <w:r w:rsidR="001C35CE" w:rsidRPr="00A827EE">
        <w:rPr>
          <w:sz w:val="24"/>
        </w:rPr>
        <w:t>However,</w:t>
      </w:r>
      <w:r w:rsidR="001450B5" w:rsidRPr="00A827EE">
        <w:rPr>
          <w:sz w:val="24"/>
        </w:rPr>
        <w:t xml:space="preserve"> </w:t>
      </w:r>
      <w:r w:rsidR="0023452C" w:rsidRPr="00A827EE">
        <w:rPr>
          <w:sz w:val="24"/>
        </w:rPr>
        <w:t>most previous research has</w:t>
      </w:r>
      <w:r w:rsidR="001450B5" w:rsidRPr="00A827EE">
        <w:rPr>
          <w:sz w:val="24"/>
        </w:rPr>
        <w:t xml:space="preserve"> </w:t>
      </w:r>
      <w:r w:rsidR="00F84EEF" w:rsidRPr="00A827EE">
        <w:rPr>
          <w:sz w:val="24"/>
        </w:rPr>
        <w:t>been limited in scope</w:t>
      </w:r>
      <w:r w:rsidR="00715FF4" w:rsidRPr="00A827EE">
        <w:rPr>
          <w:sz w:val="24"/>
        </w:rPr>
        <w:t xml:space="preserve"> (i.e., specifically focusing on prevalence rates, or on one type of health outcome or comorbid psychiatric illness)</w:t>
      </w:r>
      <w:r w:rsidR="001C35CE" w:rsidRPr="00A827EE">
        <w:rPr>
          <w:sz w:val="24"/>
        </w:rPr>
        <w:t>.</w:t>
      </w:r>
      <w:r w:rsidRPr="00A827EE">
        <w:rPr>
          <w:sz w:val="24"/>
        </w:rPr>
        <w:t xml:space="preserve"> Wh</w:t>
      </w:r>
      <w:r w:rsidR="00715FF4" w:rsidRPr="00A827EE">
        <w:rPr>
          <w:sz w:val="24"/>
        </w:rPr>
        <w:t>ile this research has provided the</w:t>
      </w:r>
      <w:r w:rsidRPr="00A827EE">
        <w:rPr>
          <w:sz w:val="24"/>
        </w:rPr>
        <w:t xml:space="preserve"> </w:t>
      </w:r>
      <w:r w:rsidR="00715FF4" w:rsidRPr="00A827EE">
        <w:rPr>
          <w:sz w:val="24"/>
        </w:rPr>
        <w:t>necessary</w:t>
      </w:r>
      <w:r w:rsidR="00F84EEF" w:rsidRPr="00A827EE">
        <w:rPr>
          <w:sz w:val="24"/>
        </w:rPr>
        <w:t xml:space="preserve"> </w:t>
      </w:r>
      <w:r w:rsidRPr="00A827EE">
        <w:rPr>
          <w:sz w:val="24"/>
        </w:rPr>
        <w:t>founda</w:t>
      </w:r>
      <w:r w:rsidR="00D355E2" w:rsidRPr="00A827EE">
        <w:rPr>
          <w:sz w:val="24"/>
        </w:rPr>
        <w:t>tion</w:t>
      </w:r>
      <w:r w:rsidR="001C35CE" w:rsidRPr="00A827EE">
        <w:rPr>
          <w:sz w:val="24"/>
        </w:rPr>
        <w:t xml:space="preserve"> for our understanding of ED prevalence and risk factors</w:t>
      </w:r>
      <w:r w:rsidR="00D355E2" w:rsidRPr="00A827EE">
        <w:rPr>
          <w:sz w:val="24"/>
        </w:rPr>
        <w:t xml:space="preserve">, </w:t>
      </w:r>
      <w:r w:rsidR="00A73DE4" w:rsidRPr="00A827EE">
        <w:rPr>
          <w:sz w:val="24"/>
        </w:rPr>
        <w:t xml:space="preserve">a more encompassing research design could allow us to better understand </w:t>
      </w:r>
      <w:r w:rsidR="00D355E2" w:rsidRPr="00A827EE">
        <w:rPr>
          <w:sz w:val="24"/>
        </w:rPr>
        <w:t xml:space="preserve">how </w:t>
      </w:r>
      <w:r w:rsidR="00A73DE4" w:rsidRPr="00A827EE">
        <w:rPr>
          <w:sz w:val="24"/>
        </w:rPr>
        <w:t>these i</w:t>
      </w:r>
      <w:r w:rsidR="00D355E2" w:rsidRPr="00A827EE">
        <w:rPr>
          <w:sz w:val="24"/>
        </w:rPr>
        <w:t xml:space="preserve">ndividuals </w:t>
      </w:r>
      <w:r w:rsidR="00A57F26" w:rsidRPr="00A827EE">
        <w:rPr>
          <w:sz w:val="24"/>
        </w:rPr>
        <w:t>access resources</w:t>
      </w:r>
      <w:r w:rsidR="00D355E2" w:rsidRPr="00A827EE">
        <w:rPr>
          <w:sz w:val="24"/>
        </w:rPr>
        <w:t xml:space="preserve"> with</w:t>
      </w:r>
      <w:r w:rsidR="00A57F26" w:rsidRPr="00A827EE">
        <w:rPr>
          <w:sz w:val="24"/>
        </w:rPr>
        <w:t>in</w:t>
      </w:r>
      <w:r w:rsidR="00D355E2" w:rsidRPr="00A827EE">
        <w:rPr>
          <w:sz w:val="24"/>
        </w:rPr>
        <w:t xml:space="preserve"> the health care system</w:t>
      </w:r>
      <w:r w:rsidR="00A73DE4" w:rsidRPr="00A827EE">
        <w:rPr>
          <w:sz w:val="24"/>
        </w:rPr>
        <w:t>, how potential risk factors may moderate these interactions, and whether certain services are effective at improving health outcomes</w:t>
      </w:r>
      <w:r w:rsidR="00D355E2" w:rsidRPr="00A827EE">
        <w:rPr>
          <w:sz w:val="24"/>
        </w:rPr>
        <w:t xml:space="preserve">. </w:t>
      </w:r>
      <w:r w:rsidR="00325A31" w:rsidRPr="00A827EE">
        <w:rPr>
          <w:sz w:val="24"/>
        </w:rPr>
        <w:t>Indeed, s</w:t>
      </w:r>
      <w:r w:rsidR="00A73DE4" w:rsidRPr="00A827EE">
        <w:rPr>
          <w:sz w:val="24"/>
        </w:rPr>
        <w:t xml:space="preserve">ome researchers have </w:t>
      </w:r>
      <w:r w:rsidR="00715FF4" w:rsidRPr="00A827EE">
        <w:rPr>
          <w:sz w:val="24"/>
        </w:rPr>
        <w:t>called for studies that utilize</w:t>
      </w:r>
      <w:r w:rsidR="00B71FEA" w:rsidRPr="00A827EE">
        <w:rPr>
          <w:sz w:val="24"/>
        </w:rPr>
        <w:t xml:space="preserve"> electronic health records to </w:t>
      </w:r>
      <w:r w:rsidR="00952573" w:rsidRPr="00A827EE">
        <w:rPr>
          <w:sz w:val="24"/>
        </w:rPr>
        <w:t>create</w:t>
      </w:r>
      <w:r w:rsidR="00B71FEA" w:rsidRPr="00A827EE">
        <w:rPr>
          <w:sz w:val="24"/>
        </w:rPr>
        <w:t xml:space="preserve"> a more c</w:t>
      </w:r>
      <w:r w:rsidR="00952573" w:rsidRPr="00A827EE">
        <w:rPr>
          <w:sz w:val="24"/>
        </w:rPr>
        <w:t xml:space="preserve">omprehensive understanding of the dynamic nature of ED trajectories and interactions with the health care system (Arcelus et al., 2011). </w:t>
      </w:r>
      <w:r w:rsidR="00D355E2" w:rsidRPr="00A827EE">
        <w:rPr>
          <w:sz w:val="24"/>
        </w:rPr>
        <w:t xml:space="preserve">Similarly, most research to date has focused on predictors of mortality, but further research is warranted to investigate factors associated with more common events, such as hospitalizations resulting from </w:t>
      </w:r>
      <w:r w:rsidR="00A57F26" w:rsidRPr="00A827EE">
        <w:rPr>
          <w:sz w:val="24"/>
        </w:rPr>
        <w:t>self-harm or</w:t>
      </w:r>
      <w:r w:rsidR="00715FF4" w:rsidRPr="00A827EE">
        <w:rPr>
          <w:sz w:val="24"/>
        </w:rPr>
        <w:t xml:space="preserve"> malnutrition.</w:t>
      </w:r>
    </w:p>
    <w:p w:rsidR="00C42768" w:rsidRDefault="00B26A79" w:rsidP="00FF2629">
      <w:pPr>
        <w:pStyle w:val="Heading1"/>
      </w:pPr>
      <w:r w:rsidRPr="00434C51">
        <w:lastRenderedPageBreak/>
        <w:t>Objectives</w:t>
      </w:r>
      <w:r>
        <w:t xml:space="preserve"> </w:t>
      </w:r>
    </w:p>
    <w:p w:rsidR="00E47DEE" w:rsidRPr="00A827EE" w:rsidRDefault="00E47DEE" w:rsidP="00FF2629">
      <w:pPr>
        <w:keepNext/>
        <w:rPr>
          <w:sz w:val="24"/>
        </w:rPr>
      </w:pPr>
      <w:r w:rsidRPr="00A827EE">
        <w:rPr>
          <w:sz w:val="24"/>
        </w:rPr>
        <w:t xml:space="preserve">This research is concerned with understanding the characteristics of the </w:t>
      </w:r>
      <w:r w:rsidR="00505484" w:rsidRPr="00A827EE">
        <w:rPr>
          <w:sz w:val="24"/>
        </w:rPr>
        <w:t xml:space="preserve">Vancouver Island population who are, or have at some point in time, struggled with </w:t>
      </w:r>
      <w:r w:rsidR="0049011B" w:rsidRPr="00A827EE">
        <w:rPr>
          <w:sz w:val="24"/>
        </w:rPr>
        <w:t>EDs</w:t>
      </w:r>
      <w:r w:rsidR="00A22E51" w:rsidRPr="00A827EE">
        <w:rPr>
          <w:sz w:val="24"/>
        </w:rPr>
        <w:t>, and to create a more complete picture of how this cohort interacts with the service system as a whole.</w:t>
      </w:r>
      <w:r w:rsidR="00505484" w:rsidRPr="00A827EE">
        <w:rPr>
          <w:sz w:val="24"/>
        </w:rPr>
        <w:t xml:space="preserve"> </w:t>
      </w:r>
      <w:r w:rsidR="004659C7" w:rsidRPr="00A827EE">
        <w:rPr>
          <w:sz w:val="24"/>
        </w:rPr>
        <w:t>This research is g</w:t>
      </w:r>
      <w:r w:rsidR="00505484" w:rsidRPr="00A827EE">
        <w:rPr>
          <w:sz w:val="24"/>
        </w:rPr>
        <w:t xml:space="preserve">uided by </w:t>
      </w:r>
      <w:r w:rsidR="004659C7" w:rsidRPr="00A827EE">
        <w:rPr>
          <w:sz w:val="24"/>
        </w:rPr>
        <w:t xml:space="preserve">prior </w:t>
      </w:r>
      <w:r w:rsidR="00505484" w:rsidRPr="00A827EE">
        <w:rPr>
          <w:sz w:val="24"/>
        </w:rPr>
        <w:t xml:space="preserve">research on </w:t>
      </w:r>
      <w:r w:rsidR="0049011B" w:rsidRPr="00A827EE">
        <w:rPr>
          <w:sz w:val="24"/>
        </w:rPr>
        <w:t>ED</w:t>
      </w:r>
      <w:r w:rsidR="004659C7" w:rsidRPr="00A827EE">
        <w:rPr>
          <w:sz w:val="24"/>
        </w:rPr>
        <w:t xml:space="preserve"> </w:t>
      </w:r>
      <w:r w:rsidR="00505484" w:rsidRPr="00A827EE">
        <w:rPr>
          <w:sz w:val="24"/>
        </w:rPr>
        <w:t xml:space="preserve">prevalence and </w:t>
      </w:r>
      <w:r w:rsidR="004659C7" w:rsidRPr="00A827EE">
        <w:rPr>
          <w:sz w:val="24"/>
        </w:rPr>
        <w:t>associated outcomes, and i</w:t>
      </w:r>
      <w:r w:rsidR="00505484" w:rsidRPr="00A827EE">
        <w:rPr>
          <w:sz w:val="24"/>
        </w:rPr>
        <w:t>nvolves two primary objectives:</w:t>
      </w:r>
    </w:p>
    <w:p w:rsidR="007E2FDF" w:rsidRPr="00A827EE" w:rsidRDefault="007E2FDF" w:rsidP="00FF2629">
      <w:pPr>
        <w:keepNext/>
        <w:rPr>
          <w:sz w:val="24"/>
        </w:rPr>
      </w:pPr>
    </w:p>
    <w:p w:rsidR="00505484" w:rsidRPr="00A827EE" w:rsidRDefault="00505484" w:rsidP="00505484">
      <w:pPr>
        <w:pStyle w:val="ListParagraph"/>
        <w:numPr>
          <w:ilvl w:val="0"/>
          <w:numId w:val="9"/>
        </w:numPr>
        <w:rPr>
          <w:sz w:val="24"/>
        </w:rPr>
      </w:pPr>
      <w:r w:rsidRPr="00A827EE">
        <w:rPr>
          <w:sz w:val="24"/>
        </w:rPr>
        <w:t xml:space="preserve">To </w:t>
      </w:r>
      <w:r w:rsidR="0049011B" w:rsidRPr="00A827EE">
        <w:rPr>
          <w:sz w:val="24"/>
        </w:rPr>
        <w:t xml:space="preserve">provide </w:t>
      </w:r>
      <w:r w:rsidR="00715FF4" w:rsidRPr="00A827EE">
        <w:rPr>
          <w:sz w:val="24"/>
        </w:rPr>
        <w:t>a descriptive understanding</w:t>
      </w:r>
      <w:r w:rsidR="0049011B" w:rsidRPr="00A827EE">
        <w:rPr>
          <w:sz w:val="24"/>
        </w:rPr>
        <w:t xml:space="preserve"> of the population of individuals struggling with EDs</w:t>
      </w:r>
      <w:r w:rsidR="00047689" w:rsidRPr="00A827EE">
        <w:rPr>
          <w:sz w:val="24"/>
        </w:rPr>
        <w:t xml:space="preserve"> </w:t>
      </w:r>
      <w:r w:rsidR="00A22E51" w:rsidRPr="00A827EE">
        <w:rPr>
          <w:sz w:val="24"/>
        </w:rPr>
        <w:t xml:space="preserve">on Vancouver Island </w:t>
      </w:r>
      <w:r w:rsidR="0049011B" w:rsidRPr="00A827EE">
        <w:rPr>
          <w:sz w:val="24"/>
        </w:rPr>
        <w:t>(e.g</w:t>
      </w:r>
      <w:r w:rsidR="00047689" w:rsidRPr="00A827EE">
        <w:rPr>
          <w:sz w:val="24"/>
        </w:rPr>
        <w:t xml:space="preserve">., age at </w:t>
      </w:r>
      <w:r w:rsidR="0049011B" w:rsidRPr="00A827EE">
        <w:rPr>
          <w:sz w:val="24"/>
        </w:rPr>
        <w:t xml:space="preserve">ED </w:t>
      </w:r>
      <w:r w:rsidR="00047689" w:rsidRPr="00A827EE">
        <w:rPr>
          <w:sz w:val="24"/>
        </w:rPr>
        <w:t>diagnosis</w:t>
      </w:r>
      <w:r w:rsidR="0049011B" w:rsidRPr="00A827EE">
        <w:rPr>
          <w:sz w:val="24"/>
        </w:rPr>
        <w:t xml:space="preserve">, prevalence of AN and BN, </w:t>
      </w:r>
      <w:r w:rsidR="000313DC" w:rsidRPr="00A827EE">
        <w:rPr>
          <w:sz w:val="24"/>
        </w:rPr>
        <w:t xml:space="preserve">severity of ED, </w:t>
      </w:r>
      <w:r w:rsidR="0049011B" w:rsidRPr="00A827EE">
        <w:rPr>
          <w:sz w:val="24"/>
        </w:rPr>
        <w:t>comorbid diagnoses, substance use, BMI at onset and over time</w:t>
      </w:r>
      <w:r w:rsidR="00A22E51" w:rsidRPr="00A827EE">
        <w:rPr>
          <w:sz w:val="24"/>
        </w:rPr>
        <w:t xml:space="preserve">, </w:t>
      </w:r>
      <w:r w:rsidR="00155EF5" w:rsidRPr="00A827EE">
        <w:rPr>
          <w:sz w:val="24"/>
        </w:rPr>
        <w:t xml:space="preserve">frequencies and </w:t>
      </w:r>
      <w:r w:rsidR="00A22E51" w:rsidRPr="00A827EE">
        <w:rPr>
          <w:sz w:val="24"/>
        </w:rPr>
        <w:t>patterns of service engagement</w:t>
      </w:r>
      <w:r w:rsidR="0049011B" w:rsidRPr="00A827EE">
        <w:rPr>
          <w:sz w:val="24"/>
        </w:rPr>
        <w:t>).</w:t>
      </w:r>
    </w:p>
    <w:p w:rsidR="007E2FDF" w:rsidRPr="00A827EE" w:rsidRDefault="007E2FDF" w:rsidP="007E2FDF">
      <w:pPr>
        <w:pStyle w:val="ListParagraph"/>
        <w:rPr>
          <w:sz w:val="24"/>
        </w:rPr>
      </w:pPr>
    </w:p>
    <w:p w:rsidR="007E2FDF" w:rsidRPr="00A827EE" w:rsidRDefault="0049011B" w:rsidP="00715FF4">
      <w:pPr>
        <w:pStyle w:val="ListParagraph"/>
        <w:numPr>
          <w:ilvl w:val="0"/>
          <w:numId w:val="9"/>
        </w:numPr>
        <w:rPr>
          <w:sz w:val="24"/>
        </w:rPr>
      </w:pPr>
      <w:r w:rsidRPr="00A827EE">
        <w:rPr>
          <w:sz w:val="24"/>
        </w:rPr>
        <w:t xml:space="preserve">To investigate risk factors for </w:t>
      </w:r>
      <w:r w:rsidR="00510494">
        <w:rPr>
          <w:sz w:val="24"/>
        </w:rPr>
        <w:t xml:space="preserve">suicidality, </w:t>
      </w:r>
      <w:r w:rsidRPr="00A827EE">
        <w:rPr>
          <w:sz w:val="24"/>
        </w:rPr>
        <w:t>self-harm</w:t>
      </w:r>
      <w:r w:rsidR="00510494">
        <w:rPr>
          <w:sz w:val="24"/>
        </w:rPr>
        <w:t>,</w:t>
      </w:r>
      <w:r w:rsidR="009473C8" w:rsidRPr="00A827EE">
        <w:rPr>
          <w:sz w:val="24"/>
        </w:rPr>
        <w:t xml:space="preserve"> and malnutrition resulting in hospitalization, and t</w:t>
      </w:r>
      <w:r w:rsidRPr="00A827EE">
        <w:rPr>
          <w:sz w:val="24"/>
        </w:rPr>
        <w:t xml:space="preserve">o investigate the effectiveness of </w:t>
      </w:r>
      <w:r w:rsidR="009473C8" w:rsidRPr="00A827EE">
        <w:rPr>
          <w:sz w:val="24"/>
        </w:rPr>
        <w:t xml:space="preserve">ED-specific </w:t>
      </w:r>
      <w:r w:rsidRPr="00A827EE">
        <w:rPr>
          <w:sz w:val="24"/>
        </w:rPr>
        <w:t xml:space="preserve">services </w:t>
      </w:r>
      <w:r w:rsidR="009473C8" w:rsidRPr="00A827EE">
        <w:rPr>
          <w:sz w:val="24"/>
        </w:rPr>
        <w:t>in reducing the likelihood of these outcomes.</w:t>
      </w:r>
      <w:r w:rsidR="00DF43BC" w:rsidRPr="00A827EE">
        <w:rPr>
          <w:sz w:val="24"/>
        </w:rPr>
        <w:t xml:space="preserve"> We also intend to examine patient encounters with crisis-response units and short-term assessment and treatment services.</w:t>
      </w:r>
    </w:p>
    <w:p w:rsidR="00C42768" w:rsidRPr="00A729E3" w:rsidRDefault="00B26A79" w:rsidP="002457AD">
      <w:pPr>
        <w:pStyle w:val="Heading1"/>
      </w:pPr>
      <w:r w:rsidRPr="0034286D">
        <w:t>Major Research Hypothesis and Associated Research Questions</w:t>
      </w:r>
    </w:p>
    <w:p w:rsidR="00715FF4" w:rsidRPr="00A827EE" w:rsidRDefault="00715FF4" w:rsidP="002457AD">
      <w:pPr>
        <w:rPr>
          <w:i/>
          <w:sz w:val="24"/>
        </w:rPr>
      </w:pPr>
      <w:r w:rsidRPr="00A827EE">
        <w:rPr>
          <w:i/>
          <w:sz w:val="24"/>
        </w:rPr>
        <w:t>Research Questions</w:t>
      </w:r>
    </w:p>
    <w:p w:rsidR="00715FF4" w:rsidRPr="00A827EE" w:rsidRDefault="0057460D" w:rsidP="0000482C">
      <w:pPr>
        <w:pStyle w:val="ListParagraph"/>
        <w:numPr>
          <w:ilvl w:val="0"/>
          <w:numId w:val="13"/>
        </w:numPr>
        <w:rPr>
          <w:sz w:val="24"/>
        </w:rPr>
      </w:pPr>
      <w:r w:rsidRPr="00A827EE">
        <w:rPr>
          <w:sz w:val="24"/>
        </w:rPr>
        <w:t xml:space="preserve">How do ED prevalence and incidence rates compare to </w:t>
      </w:r>
      <w:r w:rsidR="0000482C" w:rsidRPr="00A827EE">
        <w:rPr>
          <w:sz w:val="24"/>
        </w:rPr>
        <w:t xml:space="preserve">other provincial, national, and international </w:t>
      </w:r>
      <w:r w:rsidRPr="00A827EE">
        <w:rPr>
          <w:sz w:val="24"/>
        </w:rPr>
        <w:t>estimates</w:t>
      </w:r>
      <w:r w:rsidR="001F3FDD" w:rsidRPr="00A827EE">
        <w:rPr>
          <w:sz w:val="24"/>
        </w:rPr>
        <w:t>?</w:t>
      </w:r>
    </w:p>
    <w:p w:rsidR="001F3FDD" w:rsidRPr="00A827EE" w:rsidRDefault="0057460D" w:rsidP="0000482C">
      <w:pPr>
        <w:pStyle w:val="ListParagraph"/>
        <w:numPr>
          <w:ilvl w:val="0"/>
          <w:numId w:val="13"/>
        </w:numPr>
        <w:rPr>
          <w:sz w:val="24"/>
        </w:rPr>
      </w:pPr>
      <w:r w:rsidRPr="00A827EE">
        <w:rPr>
          <w:sz w:val="24"/>
        </w:rPr>
        <w:t>How do comorbidity rates for other psychiatric diagnoses</w:t>
      </w:r>
      <w:r w:rsidR="0000482C" w:rsidRPr="00A827EE">
        <w:rPr>
          <w:sz w:val="24"/>
        </w:rPr>
        <w:t>, health problems,</w:t>
      </w:r>
      <w:r w:rsidRPr="00A827EE">
        <w:rPr>
          <w:sz w:val="24"/>
        </w:rPr>
        <w:t xml:space="preserve"> </w:t>
      </w:r>
      <w:r w:rsidR="0000482C" w:rsidRPr="00A827EE">
        <w:rPr>
          <w:sz w:val="24"/>
        </w:rPr>
        <w:t xml:space="preserve">and substance use </w:t>
      </w:r>
      <w:r w:rsidRPr="00A827EE">
        <w:rPr>
          <w:sz w:val="24"/>
        </w:rPr>
        <w:t xml:space="preserve">compare to </w:t>
      </w:r>
      <w:r w:rsidR="001F3FDD" w:rsidRPr="00A827EE">
        <w:rPr>
          <w:sz w:val="24"/>
        </w:rPr>
        <w:t>other published estimates?</w:t>
      </w:r>
    </w:p>
    <w:p w:rsidR="005E74DA" w:rsidRPr="00A827EE" w:rsidRDefault="005E74DA" w:rsidP="0000482C">
      <w:pPr>
        <w:pStyle w:val="ListParagraph"/>
        <w:numPr>
          <w:ilvl w:val="0"/>
          <w:numId w:val="13"/>
        </w:numPr>
        <w:rPr>
          <w:sz w:val="24"/>
        </w:rPr>
      </w:pPr>
      <w:r w:rsidRPr="00A827EE">
        <w:rPr>
          <w:sz w:val="24"/>
        </w:rPr>
        <w:t>Broadly speaking, how are individuals struggling with EDs u</w:t>
      </w:r>
      <w:r w:rsidR="00CD08BB">
        <w:rPr>
          <w:sz w:val="24"/>
        </w:rPr>
        <w:t xml:space="preserve">tilizing Island Health services? How do individuals accessing ED treatment services differ between individuals who have and have not received clinical ED diagnoses? </w:t>
      </w:r>
    </w:p>
    <w:p w:rsidR="00C42768" w:rsidRPr="00A827EE" w:rsidRDefault="00C42768" w:rsidP="002457AD">
      <w:pPr>
        <w:rPr>
          <w:i/>
          <w:sz w:val="24"/>
        </w:rPr>
      </w:pPr>
    </w:p>
    <w:p w:rsidR="0000482C" w:rsidRPr="00A827EE" w:rsidRDefault="0000482C" w:rsidP="002457AD">
      <w:pPr>
        <w:rPr>
          <w:i/>
          <w:sz w:val="24"/>
        </w:rPr>
      </w:pPr>
      <w:r w:rsidRPr="00A827EE">
        <w:rPr>
          <w:i/>
          <w:sz w:val="24"/>
        </w:rPr>
        <w:t xml:space="preserve">Main </w:t>
      </w:r>
      <w:r w:rsidR="00715FF4" w:rsidRPr="00A827EE">
        <w:rPr>
          <w:i/>
          <w:sz w:val="24"/>
        </w:rPr>
        <w:t>Hypotheses</w:t>
      </w:r>
    </w:p>
    <w:p w:rsidR="001F3FDD" w:rsidRPr="00A827EE" w:rsidRDefault="001F3FDD" w:rsidP="0000482C">
      <w:pPr>
        <w:pStyle w:val="ListParagraph"/>
        <w:numPr>
          <w:ilvl w:val="0"/>
          <w:numId w:val="14"/>
        </w:numPr>
        <w:rPr>
          <w:sz w:val="24"/>
        </w:rPr>
      </w:pPr>
      <w:r w:rsidRPr="00A827EE">
        <w:rPr>
          <w:sz w:val="24"/>
        </w:rPr>
        <w:t xml:space="preserve">Patients demonstrating a lower BMI at ED </w:t>
      </w:r>
      <w:r w:rsidR="005E74DA" w:rsidRPr="00A827EE">
        <w:rPr>
          <w:sz w:val="24"/>
        </w:rPr>
        <w:t>diagnosis, and/or exhibiting disordered alcohol use</w:t>
      </w:r>
      <w:r w:rsidRPr="00A827EE">
        <w:rPr>
          <w:sz w:val="24"/>
        </w:rPr>
        <w:t xml:space="preserve"> will be at an increased risk for hospitalization from self-harm and malnutrition.</w:t>
      </w:r>
    </w:p>
    <w:p w:rsidR="00120CF6" w:rsidRPr="00A827EE" w:rsidRDefault="007703DA" w:rsidP="0000482C">
      <w:pPr>
        <w:pStyle w:val="ListParagraph"/>
        <w:numPr>
          <w:ilvl w:val="0"/>
          <w:numId w:val="14"/>
        </w:numPr>
        <w:rPr>
          <w:sz w:val="24"/>
        </w:rPr>
      </w:pPr>
      <w:r w:rsidRPr="00A827EE">
        <w:rPr>
          <w:sz w:val="24"/>
        </w:rPr>
        <w:t>Patients who engage</w:t>
      </w:r>
      <w:r w:rsidR="001F3FDD" w:rsidRPr="00A827EE">
        <w:rPr>
          <w:sz w:val="24"/>
        </w:rPr>
        <w:t xml:space="preserve"> in eating di</w:t>
      </w:r>
      <w:r w:rsidRPr="00A827EE">
        <w:rPr>
          <w:sz w:val="24"/>
        </w:rPr>
        <w:t>sorder treatment services will be at a reduced risk for hospitalization from self-harm and malnutrition</w:t>
      </w:r>
      <w:r w:rsidR="005E74DA" w:rsidRPr="00A827EE">
        <w:rPr>
          <w:sz w:val="24"/>
        </w:rPr>
        <w:t>, and a reduced risk for encounters with crisis-response teams and short-term treatment programs</w:t>
      </w:r>
      <w:r w:rsidRPr="00A827EE">
        <w:rPr>
          <w:sz w:val="24"/>
        </w:rPr>
        <w:t>.</w:t>
      </w:r>
    </w:p>
    <w:p w:rsidR="00C42768" w:rsidRDefault="00B26A79" w:rsidP="00C42768">
      <w:pPr>
        <w:pStyle w:val="Heading1"/>
      </w:pPr>
      <w:r w:rsidRPr="009218F7">
        <w:t>Study Approach, Design</w:t>
      </w:r>
    </w:p>
    <w:p w:rsidR="00B26A79" w:rsidRPr="00A827EE" w:rsidRDefault="00C42768" w:rsidP="00C42768">
      <w:pPr>
        <w:rPr>
          <w:b/>
          <w:sz w:val="24"/>
        </w:rPr>
      </w:pPr>
      <w:r w:rsidRPr="00A827EE">
        <w:rPr>
          <w:b/>
          <w:sz w:val="24"/>
        </w:rPr>
        <w:t>Design</w:t>
      </w:r>
    </w:p>
    <w:p w:rsidR="00C42768" w:rsidRPr="00A827EE" w:rsidRDefault="002207F6" w:rsidP="00C42768">
      <w:pPr>
        <w:rPr>
          <w:sz w:val="24"/>
        </w:rPr>
      </w:pPr>
      <w:r w:rsidRPr="00A827EE">
        <w:rPr>
          <w:sz w:val="24"/>
        </w:rPr>
        <w:t>The sample will incl</w:t>
      </w:r>
      <w:r w:rsidR="00FB0B69" w:rsidRPr="00A827EE">
        <w:rPr>
          <w:sz w:val="24"/>
        </w:rPr>
        <w:t>ude all individuals who have received</w:t>
      </w:r>
      <w:r w:rsidRPr="00A827EE">
        <w:rPr>
          <w:sz w:val="24"/>
        </w:rPr>
        <w:t xml:space="preserve"> </w:t>
      </w:r>
      <w:r w:rsidR="00510494">
        <w:rPr>
          <w:sz w:val="24"/>
        </w:rPr>
        <w:t>an</w:t>
      </w:r>
      <w:r w:rsidRPr="00A827EE">
        <w:rPr>
          <w:sz w:val="24"/>
        </w:rPr>
        <w:t xml:space="preserve"> eating disorder diagnosis </w:t>
      </w:r>
      <w:r w:rsidR="00510494">
        <w:rPr>
          <w:sz w:val="24"/>
        </w:rPr>
        <w:t xml:space="preserve">at some point </w:t>
      </w:r>
      <w:r w:rsidRPr="00A827EE">
        <w:rPr>
          <w:sz w:val="24"/>
        </w:rPr>
        <w:t>in their lifetime (ICD-10 Code: F50)</w:t>
      </w:r>
      <w:r w:rsidR="00FB0B69" w:rsidRPr="00A827EE">
        <w:rPr>
          <w:sz w:val="24"/>
        </w:rPr>
        <w:t xml:space="preserve">, </w:t>
      </w:r>
      <w:r w:rsidR="00773265">
        <w:rPr>
          <w:sz w:val="24"/>
        </w:rPr>
        <w:t xml:space="preserve">and/or all individuals who have accessed eating disorder treatment services, dating from </w:t>
      </w:r>
      <w:r w:rsidR="00FB0B69" w:rsidRPr="00A827EE">
        <w:rPr>
          <w:sz w:val="24"/>
        </w:rPr>
        <w:t>2002 to present</w:t>
      </w:r>
      <w:r w:rsidRPr="00A827EE">
        <w:rPr>
          <w:sz w:val="24"/>
        </w:rPr>
        <w:t xml:space="preserve">. All </w:t>
      </w:r>
      <w:r w:rsidR="00482D38" w:rsidRPr="00A827EE">
        <w:rPr>
          <w:sz w:val="24"/>
        </w:rPr>
        <w:t>encounters that</w:t>
      </w:r>
      <w:r w:rsidRPr="00A827EE">
        <w:rPr>
          <w:sz w:val="24"/>
        </w:rPr>
        <w:t xml:space="preserve"> these individuals have had with</w:t>
      </w:r>
      <w:r w:rsidR="00482D38" w:rsidRPr="00A827EE">
        <w:rPr>
          <w:sz w:val="24"/>
        </w:rPr>
        <w:t>in</w:t>
      </w:r>
      <w:r w:rsidRPr="00A827EE">
        <w:rPr>
          <w:sz w:val="24"/>
        </w:rPr>
        <w:t xml:space="preserve"> the Island</w:t>
      </w:r>
      <w:r w:rsidR="00CD08BB">
        <w:rPr>
          <w:sz w:val="24"/>
        </w:rPr>
        <w:t xml:space="preserve"> Health system will be included, along with available Mental Health Minimum Reporting Requirement data on all individuals in this sample</w:t>
      </w:r>
      <w:r w:rsidR="00510494">
        <w:rPr>
          <w:sz w:val="24"/>
        </w:rPr>
        <w:t xml:space="preserve"> (for information on suicidality, substance use, and other relevant mental health covariates)</w:t>
      </w:r>
      <w:r w:rsidR="00482D38" w:rsidRPr="00A827EE">
        <w:rPr>
          <w:sz w:val="24"/>
        </w:rPr>
        <w:t xml:space="preserve">. We expect the majority </w:t>
      </w:r>
      <w:r w:rsidR="00482D38" w:rsidRPr="00A827EE">
        <w:rPr>
          <w:sz w:val="24"/>
        </w:rPr>
        <w:lastRenderedPageBreak/>
        <w:t>of the sample to be females between 10 and 24 years of age.</w:t>
      </w:r>
      <w:r w:rsidR="00B72BA5" w:rsidRPr="00A827EE">
        <w:rPr>
          <w:sz w:val="24"/>
        </w:rPr>
        <w:t xml:space="preserve"> This research is solely concerned with the explo</w:t>
      </w:r>
      <w:r w:rsidR="00155EF5" w:rsidRPr="00A827EE">
        <w:rPr>
          <w:sz w:val="24"/>
        </w:rPr>
        <w:t>ration and analysis of this data</w:t>
      </w:r>
      <w:r w:rsidR="00B72BA5" w:rsidRPr="00A827EE">
        <w:rPr>
          <w:sz w:val="24"/>
        </w:rPr>
        <w:t>.</w:t>
      </w:r>
    </w:p>
    <w:p w:rsidR="002207F6" w:rsidRPr="00A827EE" w:rsidRDefault="002207F6" w:rsidP="00C42768">
      <w:pPr>
        <w:rPr>
          <w:sz w:val="24"/>
        </w:rPr>
      </w:pPr>
    </w:p>
    <w:p w:rsidR="00C42768" w:rsidRPr="00A827EE" w:rsidRDefault="00C42768" w:rsidP="00C42768">
      <w:pPr>
        <w:rPr>
          <w:b/>
          <w:sz w:val="24"/>
        </w:rPr>
      </w:pPr>
      <w:r w:rsidRPr="00A827EE">
        <w:rPr>
          <w:b/>
          <w:sz w:val="24"/>
        </w:rPr>
        <w:t>Analyses</w:t>
      </w:r>
    </w:p>
    <w:p w:rsidR="005479F3" w:rsidRPr="00A827EE" w:rsidRDefault="00FD626C" w:rsidP="00C42768">
      <w:pPr>
        <w:rPr>
          <w:sz w:val="24"/>
        </w:rPr>
      </w:pPr>
      <w:r w:rsidRPr="00A827EE">
        <w:rPr>
          <w:sz w:val="24"/>
        </w:rPr>
        <w:t>This research is largely exploratory, and much of the analysis will involve simple descriptive approaches. With regard to the research questions regarding the risks and likelihood associated with certain outcomes (e.g., self-harm, crisis-response unit encounters), generalized linear mixed models will be used to account for the nested structure of the data (i.e., multiple encounters for each individual).</w:t>
      </w:r>
    </w:p>
    <w:p w:rsidR="002207F6" w:rsidRPr="00A827EE" w:rsidRDefault="002207F6" w:rsidP="00C42768">
      <w:pPr>
        <w:rPr>
          <w:sz w:val="24"/>
        </w:rPr>
      </w:pPr>
    </w:p>
    <w:p w:rsidR="00C42768" w:rsidRPr="00A827EE" w:rsidRDefault="002207F6" w:rsidP="00C42768">
      <w:pPr>
        <w:rPr>
          <w:b/>
          <w:sz w:val="24"/>
        </w:rPr>
      </w:pPr>
      <w:r w:rsidRPr="00A827EE">
        <w:rPr>
          <w:b/>
          <w:sz w:val="24"/>
        </w:rPr>
        <w:t>Data Elements</w:t>
      </w:r>
    </w:p>
    <w:p w:rsidR="002207F6" w:rsidRPr="00A827EE" w:rsidRDefault="00C0547C" w:rsidP="00C42768">
      <w:pPr>
        <w:rPr>
          <w:sz w:val="24"/>
        </w:rPr>
      </w:pPr>
      <w:r w:rsidRPr="00A827EE">
        <w:rPr>
          <w:sz w:val="24"/>
        </w:rPr>
        <w:t xml:space="preserve">This research will utilize clinical encounter-level data from the Island Health data warehouse for a cohort whose membership is defined by </w:t>
      </w:r>
      <w:r w:rsidR="00D42DA4">
        <w:rPr>
          <w:sz w:val="24"/>
        </w:rPr>
        <w:t>having had an ED diagnosis, or having had any encounters with eating disorder treatment services.</w:t>
      </w:r>
      <w:r w:rsidR="00510494">
        <w:rPr>
          <w:sz w:val="24"/>
        </w:rPr>
        <w:t xml:space="preserve"> This research will also include available Mental Health Minimum Reporting Requirement data for these individuals.</w:t>
      </w:r>
    </w:p>
    <w:p w:rsidR="00C0547C" w:rsidRPr="00A827EE" w:rsidRDefault="00C0547C" w:rsidP="00C42768">
      <w:pPr>
        <w:rPr>
          <w:sz w:val="24"/>
        </w:rPr>
      </w:pPr>
    </w:p>
    <w:p w:rsidR="00C42768" w:rsidRPr="00A827EE" w:rsidRDefault="00C42768" w:rsidP="00C42768">
      <w:pPr>
        <w:rPr>
          <w:b/>
          <w:sz w:val="24"/>
        </w:rPr>
      </w:pPr>
      <w:r w:rsidRPr="00A827EE">
        <w:rPr>
          <w:b/>
          <w:sz w:val="24"/>
        </w:rPr>
        <w:t>Study Limitations</w:t>
      </w:r>
    </w:p>
    <w:p w:rsidR="002207F6" w:rsidRPr="00A827EE" w:rsidRDefault="0012344B" w:rsidP="00C42768">
      <w:pPr>
        <w:rPr>
          <w:sz w:val="24"/>
        </w:rPr>
      </w:pPr>
      <w:r w:rsidRPr="00A827EE">
        <w:rPr>
          <w:sz w:val="24"/>
        </w:rPr>
        <w:t xml:space="preserve">Extensive coordination and communication between researchers and health service professionals will be required when analyzing this data to accurately and effectively conceptualize concepts of interest (e.g., self-harm hospitalizations, levels of crisis-response interventions). If there is a substantial amount of missing data at certain time periods (i.e., prior to consistent electronic recording of certain health service information), then data from this time period may have to be removed for analysis. Lastly, </w:t>
      </w:r>
      <w:r w:rsidR="00FD626C" w:rsidRPr="00A827EE">
        <w:rPr>
          <w:sz w:val="24"/>
        </w:rPr>
        <w:t>depending on the number of individuals in this data, power to test between-person research questions may be limited.</w:t>
      </w:r>
    </w:p>
    <w:p w:rsidR="00B26A79" w:rsidRDefault="00B26A79" w:rsidP="004858BE">
      <w:pPr>
        <w:pStyle w:val="Heading1"/>
      </w:pPr>
      <w:r w:rsidRPr="00B26A79">
        <w:t>Data management</w:t>
      </w:r>
    </w:p>
    <w:p w:rsidR="00985CDC" w:rsidRPr="00A827EE" w:rsidRDefault="00FC1D62" w:rsidP="004865B8">
      <w:pPr>
        <w:pStyle w:val="ListParagraph"/>
        <w:numPr>
          <w:ilvl w:val="0"/>
          <w:numId w:val="16"/>
        </w:numPr>
        <w:rPr>
          <w:sz w:val="24"/>
        </w:rPr>
      </w:pPr>
      <w:r w:rsidRPr="00A827EE">
        <w:rPr>
          <w:sz w:val="24"/>
        </w:rPr>
        <w:t>Clinical e</w:t>
      </w:r>
      <w:r w:rsidR="004865B8" w:rsidRPr="00A827EE">
        <w:rPr>
          <w:sz w:val="24"/>
        </w:rPr>
        <w:t>ncounter-level data</w:t>
      </w:r>
      <w:r w:rsidRPr="00A827EE">
        <w:rPr>
          <w:sz w:val="24"/>
        </w:rPr>
        <w:t xml:space="preserve"> from the Island Health data warehouse</w:t>
      </w:r>
      <w:r w:rsidR="004865B8" w:rsidRPr="00A827EE">
        <w:rPr>
          <w:sz w:val="24"/>
        </w:rPr>
        <w:t xml:space="preserve"> for a cohort whose membership is d</w:t>
      </w:r>
      <w:r w:rsidR="00D42DA4">
        <w:rPr>
          <w:sz w:val="24"/>
        </w:rPr>
        <w:t>efined in terms of ED diagnosis, and/or having had any interactions with any eating disorder treatment services</w:t>
      </w:r>
      <w:r w:rsidR="00257C78">
        <w:rPr>
          <w:sz w:val="24"/>
        </w:rPr>
        <w:t>, as well as available Mental Health Minimum Reporting Requirement data for these individuals.</w:t>
      </w:r>
    </w:p>
    <w:p w:rsidR="00985CDC" w:rsidRPr="00A827EE" w:rsidRDefault="004865B8" w:rsidP="004865B8">
      <w:pPr>
        <w:pStyle w:val="ListParagraph"/>
        <w:numPr>
          <w:ilvl w:val="0"/>
          <w:numId w:val="16"/>
        </w:numPr>
        <w:rPr>
          <w:sz w:val="24"/>
        </w:rPr>
      </w:pPr>
      <w:r w:rsidRPr="00A827EE">
        <w:rPr>
          <w:sz w:val="24"/>
        </w:rPr>
        <w:t>All dates will be expressed in terms of duration (days) from day 0</w:t>
      </w:r>
      <w:r w:rsidR="00257C78">
        <w:rPr>
          <w:sz w:val="24"/>
        </w:rPr>
        <w:t>.</w:t>
      </w:r>
    </w:p>
    <w:p w:rsidR="00985CDC" w:rsidRPr="00A827EE" w:rsidRDefault="004865B8" w:rsidP="004865B8">
      <w:pPr>
        <w:pStyle w:val="ListParagraph"/>
        <w:numPr>
          <w:ilvl w:val="0"/>
          <w:numId w:val="16"/>
        </w:numPr>
        <w:rPr>
          <w:sz w:val="24"/>
        </w:rPr>
      </w:pPr>
      <w:r w:rsidRPr="00A827EE">
        <w:rPr>
          <w:sz w:val="24"/>
        </w:rPr>
        <w:t>A</w:t>
      </w:r>
      <w:r w:rsidR="00985CDC" w:rsidRPr="00A827EE">
        <w:rPr>
          <w:sz w:val="24"/>
        </w:rPr>
        <w:t>ll data elements reviewed against the Safe Harbour list of identifiers; all Safe Harbour de-identifiers will be marked or deleted; keys to link the de-identified data to the dataframe with identifiers will not be disclosed to the researchers</w:t>
      </w:r>
      <w:r w:rsidR="00257C78">
        <w:rPr>
          <w:sz w:val="24"/>
        </w:rPr>
        <w:t>.</w:t>
      </w:r>
    </w:p>
    <w:p w:rsidR="004865B8" w:rsidRPr="00A827EE" w:rsidRDefault="004865B8" w:rsidP="004858BE">
      <w:pPr>
        <w:pStyle w:val="ListParagraph"/>
        <w:numPr>
          <w:ilvl w:val="0"/>
          <w:numId w:val="16"/>
        </w:numPr>
        <w:rPr>
          <w:sz w:val="24"/>
        </w:rPr>
      </w:pPr>
      <w:r w:rsidRPr="00A827EE">
        <w:rPr>
          <w:sz w:val="24"/>
        </w:rPr>
        <w:t>Researchers will only have access to de-identified data</w:t>
      </w:r>
      <w:r w:rsidR="00257C78">
        <w:rPr>
          <w:sz w:val="24"/>
        </w:rPr>
        <w:t>.</w:t>
      </w:r>
    </w:p>
    <w:p w:rsidR="00F75D2E" w:rsidRDefault="00B26A79" w:rsidP="00B26A79">
      <w:pPr>
        <w:pStyle w:val="Heading1"/>
      </w:pPr>
      <w:r>
        <w:t>Consent, Protection of Privacy</w:t>
      </w:r>
    </w:p>
    <w:p w:rsidR="00FB0B69" w:rsidRDefault="00FB0B69" w:rsidP="004858BE"/>
    <w:p w:rsidR="00BC6ED0" w:rsidRPr="00A827EE" w:rsidRDefault="00BC6ED0" w:rsidP="004858BE">
      <w:pPr>
        <w:rPr>
          <w:i/>
          <w:sz w:val="24"/>
        </w:rPr>
      </w:pPr>
      <w:r w:rsidRPr="00A827EE">
        <w:rPr>
          <w:sz w:val="24"/>
        </w:rPr>
        <w:t xml:space="preserve">Technical Controls – </w:t>
      </w:r>
      <w:r w:rsidR="009B1199" w:rsidRPr="00A827EE">
        <w:rPr>
          <w:i/>
          <w:sz w:val="24"/>
        </w:rPr>
        <w:t>The use of f</w:t>
      </w:r>
      <w:r w:rsidRPr="00A827EE">
        <w:rPr>
          <w:i/>
          <w:sz w:val="24"/>
        </w:rPr>
        <w:t>irewalls</w:t>
      </w:r>
      <w:r w:rsidR="009B1199" w:rsidRPr="00A827EE">
        <w:rPr>
          <w:i/>
          <w:sz w:val="24"/>
        </w:rPr>
        <w:t xml:space="preserve"> and e</w:t>
      </w:r>
      <w:r w:rsidRPr="00A827EE">
        <w:rPr>
          <w:i/>
          <w:sz w:val="24"/>
        </w:rPr>
        <w:t>ncryption</w:t>
      </w:r>
      <w:r w:rsidR="009B1199" w:rsidRPr="00A827EE">
        <w:rPr>
          <w:i/>
          <w:sz w:val="24"/>
        </w:rPr>
        <w:t xml:space="preserve"> where possible</w:t>
      </w:r>
    </w:p>
    <w:p w:rsidR="006210A3" w:rsidRPr="00A827EE" w:rsidRDefault="006210A3" w:rsidP="004858BE">
      <w:pPr>
        <w:rPr>
          <w:sz w:val="24"/>
        </w:rPr>
      </w:pPr>
    </w:p>
    <w:p w:rsidR="00BC6ED0" w:rsidRPr="00A827EE" w:rsidRDefault="00BC6ED0" w:rsidP="004858BE">
      <w:pPr>
        <w:rPr>
          <w:sz w:val="24"/>
        </w:rPr>
      </w:pPr>
      <w:r w:rsidRPr="00A827EE">
        <w:rPr>
          <w:sz w:val="24"/>
        </w:rPr>
        <w:t xml:space="preserve">Administrative Controls – </w:t>
      </w:r>
      <w:r w:rsidR="00AA5B46" w:rsidRPr="00A827EE">
        <w:rPr>
          <w:i/>
          <w:sz w:val="24"/>
        </w:rPr>
        <w:t>Privacy a</w:t>
      </w:r>
      <w:r w:rsidRPr="00A827EE">
        <w:rPr>
          <w:i/>
          <w:sz w:val="24"/>
        </w:rPr>
        <w:t xml:space="preserve">greements </w:t>
      </w:r>
      <w:r w:rsidR="009B1199" w:rsidRPr="00A827EE">
        <w:rPr>
          <w:i/>
          <w:sz w:val="24"/>
        </w:rPr>
        <w:t>between</w:t>
      </w:r>
      <w:r w:rsidR="00AA5B46" w:rsidRPr="00A827EE">
        <w:rPr>
          <w:i/>
          <w:sz w:val="24"/>
        </w:rPr>
        <w:t xml:space="preserve"> the University of Victoria,</w:t>
      </w:r>
      <w:r w:rsidR="009B1199" w:rsidRPr="00A827EE">
        <w:rPr>
          <w:i/>
          <w:sz w:val="24"/>
        </w:rPr>
        <w:t xml:space="preserve"> Island Health and all members of the research team</w:t>
      </w:r>
    </w:p>
    <w:p w:rsidR="006210A3" w:rsidRPr="00A827EE" w:rsidRDefault="006210A3" w:rsidP="004858BE">
      <w:pPr>
        <w:rPr>
          <w:sz w:val="24"/>
        </w:rPr>
      </w:pPr>
    </w:p>
    <w:p w:rsidR="00B26A79" w:rsidRPr="00A827EE" w:rsidRDefault="00BC6ED0" w:rsidP="00B26A79">
      <w:pPr>
        <w:rPr>
          <w:i/>
          <w:sz w:val="24"/>
        </w:rPr>
      </w:pPr>
      <w:r w:rsidRPr="00A827EE">
        <w:rPr>
          <w:sz w:val="24"/>
        </w:rPr>
        <w:lastRenderedPageBreak/>
        <w:t xml:space="preserve">Data </w:t>
      </w:r>
      <w:r w:rsidR="00AA5B46" w:rsidRPr="00A827EE">
        <w:rPr>
          <w:sz w:val="24"/>
        </w:rPr>
        <w:t xml:space="preserve">De-identification Controls – </w:t>
      </w:r>
      <w:r w:rsidR="009B1199" w:rsidRPr="00A827EE">
        <w:rPr>
          <w:i/>
          <w:sz w:val="24"/>
        </w:rPr>
        <w:t xml:space="preserve">For this </w:t>
      </w:r>
      <w:r w:rsidR="00FD3F8D" w:rsidRPr="00A827EE">
        <w:rPr>
          <w:i/>
          <w:sz w:val="24"/>
        </w:rPr>
        <w:t>Eating Disorder Service Utilization project</w:t>
      </w:r>
      <w:r w:rsidR="009B1199" w:rsidRPr="00A827EE">
        <w:rPr>
          <w:i/>
          <w:sz w:val="24"/>
        </w:rPr>
        <w:t>, the Safe Harbour de-identification methodology will be employed as the reference standard for deeming the research data is free from personal information</w:t>
      </w:r>
    </w:p>
    <w:p w:rsidR="00B26A79" w:rsidRDefault="00B26A79" w:rsidP="00B26A79">
      <w:pPr>
        <w:pStyle w:val="Heading1"/>
      </w:pPr>
      <w:r>
        <w:t>Data retention</w:t>
      </w:r>
    </w:p>
    <w:p w:rsidR="004858BE" w:rsidRDefault="004858BE" w:rsidP="004858BE"/>
    <w:p w:rsidR="00FB0B69" w:rsidRPr="00A827EE" w:rsidRDefault="00AA5B46" w:rsidP="004858BE">
      <w:pPr>
        <w:rPr>
          <w:sz w:val="24"/>
        </w:rPr>
      </w:pPr>
      <w:r w:rsidRPr="00A827EE">
        <w:rPr>
          <w:sz w:val="24"/>
        </w:rPr>
        <w:t>Will comply with the University of Victoria and Island Health Policies</w:t>
      </w:r>
      <w:r w:rsidR="00B72BA5" w:rsidRPr="00A827EE">
        <w:rPr>
          <w:sz w:val="24"/>
        </w:rPr>
        <w:t>, and any additional conditions set forth in accordance with TCP2.</w:t>
      </w:r>
    </w:p>
    <w:p w:rsidR="00B26A79" w:rsidRDefault="00B26A79" w:rsidP="00B26A79">
      <w:pPr>
        <w:pStyle w:val="Heading1"/>
      </w:pPr>
      <w:r>
        <w:t>Publication of Results</w:t>
      </w:r>
    </w:p>
    <w:p w:rsidR="004858BE" w:rsidRDefault="004858BE" w:rsidP="004858BE"/>
    <w:p w:rsidR="004858BE" w:rsidRPr="00A827EE" w:rsidRDefault="00B72BA5" w:rsidP="004858BE">
      <w:pPr>
        <w:rPr>
          <w:sz w:val="24"/>
        </w:rPr>
      </w:pPr>
      <w:r w:rsidRPr="00A827EE">
        <w:rPr>
          <w:sz w:val="24"/>
        </w:rPr>
        <w:t>Findings will be shared thro</w:t>
      </w:r>
      <w:r w:rsidR="00FC1D62" w:rsidRPr="00A827EE">
        <w:rPr>
          <w:sz w:val="24"/>
        </w:rPr>
        <w:t xml:space="preserve">ugh conference presentations, </w:t>
      </w:r>
      <w:r w:rsidRPr="00A827EE">
        <w:rPr>
          <w:sz w:val="24"/>
        </w:rPr>
        <w:t>publication in academic journals</w:t>
      </w:r>
      <w:r w:rsidR="00FC1D62" w:rsidRPr="00A827EE">
        <w:rPr>
          <w:sz w:val="24"/>
        </w:rPr>
        <w:t xml:space="preserve">, and </w:t>
      </w:r>
      <w:r w:rsidR="00AA5B46" w:rsidRPr="00A827EE">
        <w:rPr>
          <w:sz w:val="24"/>
        </w:rPr>
        <w:t xml:space="preserve">through </w:t>
      </w:r>
      <w:r w:rsidR="00FC1D62" w:rsidRPr="00A827EE">
        <w:rPr>
          <w:sz w:val="24"/>
        </w:rPr>
        <w:t>sharing of a series of data visualizations with Island Health.</w:t>
      </w:r>
    </w:p>
    <w:p w:rsidR="00372A7F" w:rsidRDefault="003520BB" w:rsidP="00B26A79">
      <w:pPr>
        <w:pStyle w:val="Heading1"/>
      </w:pPr>
      <w:r>
        <w:t>References</w:t>
      </w:r>
    </w:p>
    <w:p w:rsidR="00E90AEC" w:rsidRDefault="00E90AEC" w:rsidP="00E90AEC">
      <w:pPr>
        <w:ind w:left="720" w:hanging="720"/>
      </w:pPr>
    </w:p>
    <w:p w:rsidR="00FF2629" w:rsidRPr="00A827EE" w:rsidRDefault="00E90AEC" w:rsidP="00A729E3">
      <w:pPr>
        <w:spacing w:line="276" w:lineRule="auto"/>
        <w:ind w:left="720" w:hanging="720"/>
        <w:rPr>
          <w:sz w:val="24"/>
        </w:rPr>
      </w:pPr>
      <w:r w:rsidRPr="00A827EE">
        <w:rPr>
          <w:sz w:val="24"/>
        </w:rPr>
        <w:t xml:space="preserve">Arcelus, J., Mitchell, A. J., Wales, J., &amp; Nielsen, S. (2011). Mortality rates in patients with anorexia nervosa and other eating disorders: a meta-analysis of 36 studies. </w:t>
      </w:r>
      <w:r w:rsidRPr="00A827EE">
        <w:rPr>
          <w:i/>
          <w:sz w:val="24"/>
        </w:rPr>
        <w:t>Archi</w:t>
      </w:r>
      <w:r w:rsidR="00053C89" w:rsidRPr="00A827EE">
        <w:rPr>
          <w:i/>
          <w:sz w:val="24"/>
        </w:rPr>
        <w:t>ves of general psychiatry, 68</w:t>
      </w:r>
      <w:r w:rsidRPr="00A827EE">
        <w:rPr>
          <w:sz w:val="24"/>
        </w:rPr>
        <w:t>, 724-731.</w:t>
      </w:r>
    </w:p>
    <w:p w:rsidR="005E2FF2" w:rsidRPr="00A827EE" w:rsidRDefault="005E2FF2" w:rsidP="00A729E3">
      <w:pPr>
        <w:spacing w:line="276" w:lineRule="auto"/>
        <w:ind w:left="720" w:hanging="720"/>
        <w:rPr>
          <w:sz w:val="24"/>
        </w:rPr>
      </w:pPr>
      <w:r w:rsidRPr="00A827EE">
        <w:rPr>
          <w:sz w:val="24"/>
        </w:rPr>
        <w:t>Braun, D. L., Sunday, S. R., &amp; Halmi, K. A. (1994). Psychiatric comorbidity in patients with eating disorders. </w:t>
      </w:r>
      <w:r w:rsidRPr="00A827EE">
        <w:rPr>
          <w:i/>
          <w:iCs/>
          <w:sz w:val="24"/>
        </w:rPr>
        <w:t>Psychological medicine</w:t>
      </w:r>
      <w:r w:rsidRPr="00A827EE">
        <w:rPr>
          <w:sz w:val="24"/>
        </w:rPr>
        <w:t>, </w:t>
      </w:r>
      <w:r w:rsidRPr="00A827EE">
        <w:rPr>
          <w:i/>
          <w:iCs/>
          <w:sz w:val="24"/>
        </w:rPr>
        <w:t>24</w:t>
      </w:r>
      <w:r w:rsidRPr="00A827EE">
        <w:rPr>
          <w:sz w:val="24"/>
        </w:rPr>
        <w:t>, 859-867.</w:t>
      </w:r>
    </w:p>
    <w:p w:rsidR="00053C89" w:rsidRDefault="00AD600B" w:rsidP="00A729E3">
      <w:pPr>
        <w:spacing w:line="276" w:lineRule="auto"/>
        <w:ind w:left="720" w:hanging="720"/>
        <w:rPr>
          <w:sz w:val="24"/>
        </w:rPr>
      </w:pPr>
      <w:r w:rsidRPr="00A827EE">
        <w:rPr>
          <w:sz w:val="24"/>
        </w:rPr>
        <w:t>Bulik, C. M., Klump, K. L., Thornton, L., Kaplan, A. S., Devlin, B., Fichter, M. M., ... &amp; Mitchell, J. E. (2004). Alcohol use disorder comorbidity in eating disorders: a multicenter study. </w:t>
      </w:r>
      <w:r w:rsidRPr="00A827EE">
        <w:rPr>
          <w:i/>
          <w:iCs/>
          <w:sz w:val="24"/>
        </w:rPr>
        <w:t>The Journal of clinical psychiatry</w:t>
      </w:r>
      <w:r w:rsidR="00485808" w:rsidRPr="00A827EE">
        <w:rPr>
          <w:sz w:val="24"/>
        </w:rPr>
        <w:t xml:space="preserve">, </w:t>
      </w:r>
      <w:r w:rsidR="00485808" w:rsidRPr="00A827EE">
        <w:rPr>
          <w:i/>
          <w:sz w:val="24"/>
        </w:rPr>
        <w:t>65,</w:t>
      </w:r>
      <w:r w:rsidR="00485808" w:rsidRPr="00A827EE">
        <w:rPr>
          <w:sz w:val="24"/>
        </w:rPr>
        <w:t xml:space="preserve"> 1000-1006.</w:t>
      </w:r>
    </w:p>
    <w:p w:rsidR="00A729E3" w:rsidRPr="00A827EE" w:rsidRDefault="00A729E3" w:rsidP="00A729E3">
      <w:pPr>
        <w:spacing w:line="276" w:lineRule="auto"/>
        <w:ind w:left="720" w:hanging="720"/>
        <w:rPr>
          <w:sz w:val="24"/>
        </w:rPr>
      </w:pPr>
      <w:r w:rsidRPr="00A729E3">
        <w:rPr>
          <w:sz w:val="24"/>
        </w:rPr>
        <w:t>Hudson, J. I., Hiripi, E., Pope, H. G., &amp; Kessler, R. C. (2007). The prevalence and correlates of eating disorders in the National Comorbidity Survey Replication. </w:t>
      </w:r>
      <w:r w:rsidRPr="00A729E3">
        <w:rPr>
          <w:i/>
          <w:iCs/>
          <w:sz w:val="24"/>
        </w:rPr>
        <w:t>Biological psychiatry</w:t>
      </w:r>
      <w:r w:rsidRPr="00A729E3">
        <w:rPr>
          <w:sz w:val="24"/>
        </w:rPr>
        <w:t>, </w:t>
      </w:r>
      <w:r w:rsidRPr="00A729E3">
        <w:rPr>
          <w:i/>
          <w:iCs/>
          <w:sz w:val="24"/>
        </w:rPr>
        <w:t>61</w:t>
      </w:r>
      <w:r w:rsidRPr="00A729E3">
        <w:rPr>
          <w:sz w:val="24"/>
        </w:rPr>
        <w:t>, 348-358.</w:t>
      </w:r>
    </w:p>
    <w:p w:rsidR="00AD600B" w:rsidRPr="00A827EE" w:rsidRDefault="00A827EE" w:rsidP="00A729E3">
      <w:pPr>
        <w:spacing w:line="276" w:lineRule="auto"/>
        <w:ind w:left="720" w:hanging="720"/>
        <w:rPr>
          <w:sz w:val="24"/>
        </w:rPr>
      </w:pPr>
      <w:r w:rsidRPr="00A827EE">
        <w:rPr>
          <w:sz w:val="24"/>
        </w:rPr>
        <w:t>Keel, P. K., Dorer, D. J., Eddy, K. T., Franko, D., Charatan, D. L., &amp; Herzog, D. B. (2003). Predictors of mortality in eating disorders. </w:t>
      </w:r>
      <w:r w:rsidRPr="00A827EE">
        <w:rPr>
          <w:i/>
          <w:iCs/>
          <w:sz w:val="24"/>
        </w:rPr>
        <w:t>Archives of General Psychiatry</w:t>
      </w:r>
      <w:r w:rsidRPr="00A827EE">
        <w:rPr>
          <w:sz w:val="24"/>
        </w:rPr>
        <w:t>, </w:t>
      </w:r>
      <w:r w:rsidRPr="00A827EE">
        <w:rPr>
          <w:i/>
          <w:iCs/>
          <w:sz w:val="24"/>
        </w:rPr>
        <w:t>60</w:t>
      </w:r>
      <w:r w:rsidRPr="00A827EE">
        <w:rPr>
          <w:sz w:val="24"/>
        </w:rPr>
        <w:t>, 179-183.</w:t>
      </w:r>
    </w:p>
    <w:p w:rsidR="00053C89" w:rsidRPr="00A827EE" w:rsidRDefault="00053C89" w:rsidP="00A729E3">
      <w:pPr>
        <w:spacing w:line="276" w:lineRule="auto"/>
        <w:ind w:left="720" w:hanging="720"/>
        <w:rPr>
          <w:sz w:val="24"/>
        </w:rPr>
      </w:pPr>
      <w:r w:rsidRPr="00A827EE">
        <w:rPr>
          <w:sz w:val="24"/>
        </w:rPr>
        <w:t xml:space="preserve">Palla, B., &amp; Litt, I. F. (1988). Medical complications of eating disorders in adolescents. </w:t>
      </w:r>
      <w:r w:rsidRPr="00A827EE">
        <w:rPr>
          <w:i/>
          <w:sz w:val="24"/>
        </w:rPr>
        <w:t>Pediatrics, 81</w:t>
      </w:r>
      <w:r w:rsidRPr="00A827EE">
        <w:rPr>
          <w:sz w:val="24"/>
        </w:rPr>
        <w:t>, 613-623.</w:t>
      </w:r>
    </w:p>
    <w:p w:rsidR="00E90AEC" w:rsidRPr="00A827EE" w:rsidRDefault="00053C89" w:rsidP="00A729E3">
      <w:pPr>
        <w:spacing w:line="276" w:lineRule="auto"/>
        <w:ind w:left="720" w:hanging="720"/>
        <w:rPr>
          <w:sz w:val="24"/>
        </w:rPr>
      </w:pPr>
      <w:r w:rsidRPr="00A827EE">
        <w:rPr>
          <w:sz w:val="24"/>
        </w:rPr>
        <w:t xml:space="preserve">Sansone, R. A., &amp; Sansone, L. A. (2010). Personality Disorders as Risk Factors for Eating Disorders Clinical Implications. </w:t>
      </w:r>
      <w:r w:rsidRPr="00A827EE">
        <w:rPr>
          <w:i/>
          <w:sz w:val="24"/>
        </w:rPr>
        <w:t>Nutrition in Clinical Practice, 25</w:t>
      </w:r>
      <w:r w:rsidRPr="00A827EE">
        <w:rPr>
          <w:sz w:val="24"/>
        </w:rPr>
        <w:t>, 116-121.</w:t>
      </w:r>
    </w:p>
    <w:p w:rsidR="00053C89" w:rsidRPr="00A827EE" w:rsidRDefault="00053C89" w:rsidP="00A729E3">
      <w:pPr>
        <w:spacing w:line="276" w:lineRule="auto"/>
        <w:ind w:left="720" w:hanging="720"/>
        <w:rPr>
          <w:sz w:val="24"/>
        </w:rPr>
      </w:pPr>
      <w:r w:rsidRPr="00A827EE">
        <w:rPr>
          <w:sz w:val="24"/>
        </w:rPr>
        <w:t>Sullivan, P. F. (2002). Course and outcome of anorexia nervosa and bulimia nervosa. </w:t>
      </w:r>
      <w:r w:rsidRPr="00A827EE">
        <w:rPr>
          <w:i/>
          <w:iCs/>
          <w:sz w:val="24"/>
        </w:rPr>
        <w:t>Eating disorders and obesity: A comprehensive handbook</w:t>
      </w:r>
      <w:r w:rsidRPr="00A827EE">
        <w:rPr>
          <w:sz w:val="24"/>
        </w:rPr>
        <w:t>, </w:t>
      </w:r>
      <w:r w:rsidRPr="00A827EE">
        <w:rPr>
          <w:i/>
          <w:iCs/>
          <w:sz w:val="24"/>
        </w:rPr>
        <w:t>2</w:t>
      </w:r>
      <w:r w:rsidRPr="00A827EE">
        <w:rPr>
          <w:sz w:val="24"/>
        </w:rPr>
        <w:t>, 226-232.</w:t>
      </w:r>
    </w:p>
    <w:sectPr w:rsidR="00053C89" w:rsidRPr="00A827EE" w:rsidSect="00FF262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54" w:rsidRDefault="00912F13">
      <w:r>
        <w:separator/>
      </w:r>
    </w:p>
  </w:endnote>
  <w:endnote w:type="continuationSeparator" w:id="0">
    <w:p w:rsidR="00E31254" w:rsidRDefault="0091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8F7" w:rsidRDefault="006E4B1D" w:rsidP="00AC1FC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18F7" w:rsidRDefault="0057140F" w:rsidP="00AC1F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8F7" w:rsidRPr="000578FA" w:rsidRDefault="006E4B1D" w:rsidP="00AC1FCC">
    <w:pPr>
      <w:pStyle w:val="Footer"/>
      <w:tabs>
        <w:tab w:val="clear" w:pos="8640"/>
        <w:tab w:val="right" w:pos="9270"/>
      </w:tabs>
      <w:ind w:right="360"/>
      <w:rPr>
        <w:rFonts w:ascii="Arial" w:hAnsi="Arial"/>
        <w:i/>
        <w:color w:val="000000" w:themeColor="text1"/>
        <w:sz w:val="20"/>
      </w:rPr>
    </w:pPr>
    <w:r>
      <w:rPr>
        <w:rStyle w:val="PageNumber"/>
        <w:rFonts w:ascii="Arial" w:hAnsi="Arial"/>
        <w:sz w:val="20"/>
      </w:rPr>
      <w:t xml:space="preserve">Version Date: </w:t>
    </w:r>
    <w:r w:rsidRPr="00460A1A">
      <w:rPr>
        <w:rStyle w:val="PageNumber"/>
        <w:rFonts w:ascii="Arial" w:hAnsi="Arial"/>
        <w:i/>
        <w:color w:val="0033CC"/>
        <w:sz w:val="20"/>
      </w:rPr>
      <w:t xml:space="preserve"> </w:t>
    </w:r>
    <w:r w:rsidR="0057140F">
      <w:rPr>
        <w:rStyle w:val="PageNumber"/>
        <w:rFonts w:ascii="Arial" w:hAnsi="Arial"/>
        <w:i/>
        <w:color w:val="000000" w:themeColor="text1"/>
        <w:sz w:val="20"/>
      </w:rPr>
      <w:t>June 16</w:t>
    </w:r>
    <w:r>
      <w:rPr>
        <w:rStyle w:val="PageNumber"/>
        <w:rFonts w:ascii="Arial" w:hAnsi="Arial"/>
        <w:i/>
        <w:color w:val="000000" w:themeColor="text1"/>
        <w:sz w:val="20"/>
      </w:rPr>
      <w:t>, 2017</w:t>
    </w:r>
    <w:r w:rsidRPr="00460A1A">
      <w:rPr>
        <w:rStyle w:val="PageNumber"/>
        <w:rFonts w:ascii="Arial" w:hAnsi="Arial"/>
        <w:i/>
        <w:color w:val="0033CC"/>
        <w:sz w:val="20"/>
      </w:rPr>
      <w:tab/>
    </w:r>
    <w:r>
      <w:rPr>
        <w:rStyle w:val="PageNumber"/>
        <w:rFonts w:ascii="Arial" w:hAnsi="Arial"/>
        <w:sz w:val="20"/>
      </w:rPr>
      <w:tab/>
    </w:r>
    <w:r w:rsidRPr="00460A1A">
      <w:rPr>
        <w:rStyle w:val="PageNumber"/>
        <w:rFonts w:ascii="Arial" w:hAnsi="Arial"/>
        <w:b/>
        <w:sz w:val="20"/>
      </w:rPr>
      <w:t xml:space="preserve">Page </w:t>
    </w:r>
    <w:r w:rsidRPr="00460A1A">
      <w:rPr>
        <w:rStyle w:val="PageNumber"/>
        <w:rFonts w:ascii="Arial" w:hAnsi="Arial"/>
        <w:b/>
        <w:sz w:val="20"/>
      </w:rPr>
      <w:fldChar w:fldCharType="begin"/>
    </w:r>
    <w:r w:rsidRPr="00460A1A">
      <w:rPr>
        <w:rStyle w:val="PageNumber"/>
        <w:rFonts w:ascii="Arial" w:hAnsi="Arial"/>
        <w:b/>
        <w:sz w:val="20"/>
      </w:rPr>
      <w:instrText xml:space="preserve"> PAGE </w:instrText>
    </w:r>
    <w:r w:rsidRPr="00460A1A">
      <w:rPr>
        <w:rStyle w:val="PageNumber"/>
        <w:rFonts w:ascii="Arial" w:hAnsi="Arial"/>
        <w:b/>
        <w:sz w:val="20"/>
      </w:rPr>
      <w:fldChar w:fldCharType="separate"/>
    </w:r>
    <w:r w:rsidR="0057140F">
      <w:rPr>
        <w:rStyle w:val="PageNumber"/>
        <w:rFonts w:ascii="Arial" w:hAnsi="Arial"/>
        <w:b/>
        <w:noProof/>
        <w:sz w:val="20"/>
      </w:rPr>
      <w:t>5</w:t>
    </w:r>
    <w:r w:rsidRPr="00460A1A">
      <w:rPr>
        <w:rStyle w:val="PageNumber"/>
        <w:rFonts w:ascii="Arial" w:hAnsi="Arial"/>
        <w:b/>
        <w:sz w:val="20"/>
      </w:rPr>
      <w:fldChar w:fldCharType="end"/>
    </w:r>
    <w:r w:rsidRPr="00460A1A">
      <w:rPr>
        <w:rStyle w:val="PageNumber"/>
        <w:rFonts w:ascii="Arial" w:hAnsi="Arial"/>
        <w:b/>
        <w:sz w:val="20"/>
      </w:rPr>
      <w:t xml:space="preserve"> of </w:t>
    </w:r>
    <w:r w:rsidRPr="00460A1A">
      <w:rPr>
        <w:rStyle w:val="PageNumber"/>
        <w:rFonts w:ascii="Arial" w:hAnsi="Arial"/>
        <w:b/>
        <w:sz w:val="20"/>
      </w:rPr>
      <w:fldChar w:fldCharType="begin"/>
    </w:r>
    <w:r w:rsidRPr="00460A1A">
      <w:rPr>
        <w:rStyle w:val="PageNumber"/>
        <w:rFonts w:ascii="Arial" w:hAnsi="Arial"/>
        <w:b/>
        <w:sz w:val="20"/>
      </w:rPr>
      <w:instrText xml:space="preserve"> NUMPAGES </w:instrText>
    </w:r>
    <w:r w:rsidRPr="00460A1A">
      <w:rPr>
        <w:rStyle w:val="PageNumber"/>
        <w:rFonts w:ascii="Arial" w:hAnsi="Arial"/>
        <w:b/>
        <w:sz w:val="20"/>
      </w:rPr>
      <w:fldChar w:fldCharType="separate"/>
    </w:r>
    <w:r w:rsidR="0057140F">
      <w:rPr>
        <w:rStyle w:val="PageNumber"/>
        <w:rFonts w:ascii="Arial" w:hAnsi="Arial"/>
        <w:b/>
        <w:noProof/>
        <w:sz w:val="20"/>
      </w:rPr>
      <w:t>5</w:t>
    </w:r>
    <w:r w:rsidRPr="00460A1A">
      <w:rPr>
        <w:rStyle w:val="PageNumber"/>
        <w:rFonts w:ascii="Arial" w:hAnsi="Arial"/>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54" w:rsidRDefault="00912F13">
      <w:r>
        <w:separator/>
      </w:r>
    </w:p>
  </w:footnote>
  <w:footnote w:type="continuationSeparator" w:id="0">
    <w:p w:rsidR="00E31254" w:rsidRDefault="00912F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67F"/>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8636E2C"/>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47F5A"/>
    <w:multiLevelType w:val="hybridMultilevel"/>
    <w:tmpl w:val="03C4E3A6"/>
    <w:lvl w:ilvl="0" w:tplc="10090005">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E76E47"/>
    <w:multiLevelType w:val="hybridMultilevel"/>
    <w:tmpl w:val="C97053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7330D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5040E8"/>
    <w:multiLevelType w:val="hybridMultilevel"/>
    <w:tmpl w:val="AA1684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EE521F"/>
    <w:multiLevelType w:val="hybridMultilevel"/>
    <w:tmpl w:val="7F5A32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7F570C5"/>
    <w:multiLevelType w:val="multilevel"/>
    <w:tmpl w:val="DD0A56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6956"/>
        </w:tabs>
        <w:ind w:left="69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8" w15:restartNumberingAfterBreak="0">
    <w:nsid w:val="398E382A"/>
    <w:multiLevelType w:val="hybridMultilevel"/>
    <w:tmpl w:val="98E870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0035426"/>
    <w:multiLevelType w:val="hybridMultilevel"/>
    <w:tmpl w:val="E0DACD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917B36"/>
    <w:multiLevelType w:val="hybridMultilevel"/>
    <w:tmpl w:val="3148EB5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5E5D4D88"/>
    <w:multiLevelType w:val="hybridMultilevel"/>
    <w:tmpl w:val="ECDC3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E45953"/>
    <w:multiLevelType w:val="hybridMultilevel"/>
    <w:tmpl w:val="30020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D577A2"/>
    <w:multiLevelType w:val="hybridMultilevel"/>
    <w:tmpl w:val="523C52EE"/>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F13ECD"/>
    <w:multiLevelType w:val="hybridMultilevel"/>
    <w:tmpl w:val="E7425E70"/>
    <w:lvl w:ilvl="0" w:tplc="10090005">
      <w:start w:val="1"/>
      <w:numFmt w:val="bullet"/>
      <w:lvlText w:val=""/>
      <w:lvlJc w:val="left"/>
      <w:pPr>
        <w:ind w:left="720" w:hanging="360"/>
      </w:pPr>
      <w:rPr>
        <w:rFonts w:ascii="Wingdings" w:hAnsi="Wingding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7A37BB8"/>
    <w:multiLevelType w:val="hybridMultilevel"/>
    <w:tmpl w:val="39D89CCC"/>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8"/>
  </w:num>
  <w:num w:numId="6">
    <w:abstractNumId w:val="4"/>
  </w:num>
  <w:num w:numId="7">
    <w:abstractNumId w:val="3"/>
  </w:num>
  <w:num w:numId="8">
    <w:abstractNumId w:val="10"/>
  </w:num>
  <w:num w:numId="9">
    <w:abstractNumId w:val="11"/>
  </w:num>
  <w:num w:numId="10">
    <w:abstractNumId w:val="6"/>
  </w:num>
  <w:num w:numId="11">
    <w:abstractNumId w:val="13"/>
  </w:num>
  <w:num w:numId="12">
    <w:abstractNumId w:val="15"/>
  </w:num>
  <w:num w:numId="13">
    <w:abstractNumId w:val="2"/>
  </w:num>
  <w:num w:numId="14">
    <w:abstractNumId w:val="14"/>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79"/>
    <w:rsid w:val="0000482C"/>
    <w:rsid w:val="0000619C"/>
    <w:rsid w:val="000313DC"/>
    <w:rsid w:val="00047689"/>
    <w:rsid w:val="00053C89"/>
    <w:rsid w:val="000A74A7"/>
    <w:rsid w:val="00120CF6"/>
    <w:rsid w:val="0012344B"/>
    <w:rsid w:val="001450B5"/>
    <w:rsid w:val="001456A1"/>
    <w:rsid w:val="00155EF5"/>
    <w:rsid w:val="001865C8"/>
    <w:rsid w:val="0019136C"/>
    <w:rsid w:val="001A01EC"/>
    <w:rsid w:val="001A5475"/>
    <w:rsid w:val="001B2BFC"/>
    <w:rsid w:val="001C35CE"/>
    <w:rsid w:val="001F3FDD"/>
    <w:rsid w:val="002207F6"/>
    <w:rsid w:val="0023452C"/>
    <w:rsid w:val="002377AC"/>
    <w:rsid w:val="002457AD"/>
    <w:rsid w:val="00257C78"/>
    <w:rsid w:val="00285C4E"/>
    <w:rsid w:val="00325A31"/>
    <w:rsid w:val="00341FBB"/>
    <w:rsid w:val="003520BB"/>
    <w:rsid w:val="00366A85"/>
    <w:rsid w:val="00372444"/>
    <w:rsid w:val="00372A7F"/>
    <w:rsid w:val="003A686E"/>
    <w:rsid w:val="003C0119"/>
    <w:rsid w:val="003C710E"/>
    <w:rsid w:val="003F7486"/>
    <w:rsid w:val="00440062"/>
    <w:rsid w:val="004659C7"/>
    <w:rsid w:val="004671DE"/>
    <w:rsid w:val="00482D38"/>
    <w:rsid w:val="00485808"/>
    <w:rsid w:val="004858BE"/>
    <w:rsid w:val="004865B8"/>
    <w:rsid w:val="0049011B"/>
    <w:rsid w:val="004E3F47"/>
    <w:rsid w:val="00505484"/>
    <w:rsid w:val="00510494"/>
    <w:rsid w:val="00534B99"/>
    <w:rsid w:val="005479F3"/>
    <w:rsid w:val="00552E1D"/>
    <w:rsid w:val="0057140F"/>
    <w:rsid w:val="0057460D"/>
    <w:rsid w:val="005861B1"/>
    <w:rsid w:val="005A2CF1"/>
    <w:rsid w:val="005E2FF2"/>
    <w:rsid w:val="005E74DA"/>
    <w:rsid w:val="00602953"/>
    <w:rsid w:val="00617A47"/>
    <w:rsid w:val="006210A3"/>
    <w:rsid w:val="00654593"/>
    <w:rsid w:val="006B7301"/>
    <w:rsid w:val="006E4B1D"/>
    <w:rsid w:val="00715FF4"/>
    <w:rsid w:val="007233F5"/>
    <w:rsid w:val="007331FE"/>
    <w:rsid w:val="007703DA"/>
    <w:rsid w:val="00773265"/>
    <w:rsid w:val="007E2FDF"/>
    <w:rsid w:val="00832DF3"/>
    <w:rsid w:val="008519D3"/>
    <w:rsid w:val="00872174"/>
    <w:rsid w:val="008B7FB1"/>
    <w:rsid w:val="008C3B8C"/>
    <w:rsid w:val="008E1BE2"/>
    <w:rsid w:val="00912F13"/>
    <w:rsid w:val="009473C8"/>
    <w:rsid w:val="00952573"/>
    <w:rsid w:val="00985CDC"/>
    <w:rsid w:val="009B1199"/>
    <w:rsid w:val="009B33FD"/>
    <w:rsid w:val="00A05723"/>
    <w:rsid w:val="00A22E51"/>
    <w:rsid w:val="00A457AD"/>
    <w:rsid w:val="00A53639"/>
    <w:rsid w:val="00A57F26"/>
    <w:rsid w:val="00A729E3"/>
    <w:rsid w:val="00A73DE4"/>
    <w:rsid w:val="00A827EE"/>
    <w:rsid w:val="00A91E14"/>
    <w:rsid w:val="00AA5B46"/>
    <w:rsid w:val="00AD600B"/>
    <w:rsid w:val="00B16B03"/>
    <w:rsid w:val="00B26A79"/>
    <w:rsid w:val="00B71FEA"/>
    <w:rsid w:val="00B72BA5"/>
    <w:rsid w:val="00B7715D"/>
    <w:rsid w:val="00B8229E"/>
    <w:rsid w:val="00BB1381"/>
    <w:rsid w:val="00BC6ED0"/>
    <w:rsid w:val="00BD21BD"/>
    <w:rsid w:val="00BE298C"/>
    <w:rsid w:val="00C0547C"/>
    <w:rsid w:val="00C122DD"/>
    <w:rsid w:val="00C213A3"/>
    <w:rsid w:val="00C41342"/>
    <w:rsid w:val="00C42768"/>
    <w:rsid w:val="00C67F71"/>
    <w:rsid w:val="00C75E9D"/>
    <w:rsid w:val="00CB2B19"/>
    <w:rsid w:val="00CC3BF4"/>
    <w:rsid w:val="00CD08BB"/>
    <w:rsid w:val="00D355E2"/>
    <w:rsid w:val="00D42DA4"/>
    <w:rsid w:val="00DE1187"/>
    <w:rsid w:val="00DF43BC"/>
    <w:rsid w:val="00E065D0"/>
    <w:rsid w:val="00E1692F"/>
    <w:rsid w:val="00E31254"/>
    <w:rsid w:val="00E47DEE"/>
    <w:rsid w:val="00E90AEC"/>
    <w:rsid w:val="00F0549D"/>
    <w:rsid w:val="00F662F7"/>
    <w:rsid w:val="00F75D2E"/>
    <w:rsid w:val="00F84EEF"/>
    <w:rsid w:val="00FB0132"/>
    <w:rsid w:val="00FB0B69"/>
    <w:rsid w:val="00FC1D62"/>
    <w:rsid w:val="00FD01E2"/>
    <w:rsid w:val="00FD3F8D"/>
    <w:rsid w:val="00FD626C"/>
    <w:rsid w:val="00FF2629"/>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CD965A-1725-4B0E-8710-53D20E95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A79"/>
    <w:pPr>
      <w:spacing w:after="0" w:line="240" w:lineRule="auto"/>
    </w:pPr>
    <w:rPr>
      <w:rFonts w:ascii="Calibri" w:eastAsia="Times New Roman" w:hAnsi="Calibri" w:cs="Times New Roman"/>
      <w:szCs w:val="24"/>
      <w:lang w:val="en-US"/>
    </w:rPr>
  </w:style>
  <w:style w:type="paragraph" w:styleId="Heading1">
    <w:name w:val="heading 1"/>
    <w:basedOn w:val="Normal"/>
    <w:next w:val="Normal"/>
    <w:link w:val="Heading1Char"/>
    <w:qFormat/>
    <w:rsid w:val="00B26A79"/>
    <w:pPr>
      <w:keepNext/>
      <w:numPr>
        <w:numId w:val="1"/>
      </w:numPr>
      <w:spacing w:before="240" w:after="60"/>
      <w:outlineLvl w:val="0"/>
    </w:pPr>
    <w:rPr>
      <w:rFonts w:asciiTheme="minorHAnsi" w:hAnsiTheme="minorHAnsi"/>
      <w:b/>
      <w:kern w:val="32"/>
      <w:sz w:val="28"/>
      <w:szCs w:val="20"/>
    </w:rPr>
  </w:style>
  <w:style w:type="paragraph" w:styleId="Heading2">
    <w:name w:val="heading 2"/>
    <w:basedOn w:val="Normal"/>
    <w:next w:val="Normal"/>
    <w:link w:val="Heading2Char"/>
    <w:qFormat/>
    <w:rsid w:val="00B26A79"/>
    <w:pPr>
      <w:keepNext/>
      <w:numPr>
        <w:ilvl w:val="1"/>
        <w:numId w:val="1"/>
      </w:numPr>
      <w:spacing w:before="240" w:after="60"/>
      <w:ind w:left="578" w:hanging="578"/>
      <w:outlineLvl w:val="1"/>
    </w:pPr>
    <w:rPr>
      <w:rFonts w:asciiTheme="minorHAnsi" w:hAnsiTheme="minorHAnsi"/>
      <w:b/>
      <w:i/>
      <w:sz w:val="24"/>
      <w:szCs w:val="20"/>
    </w:rPr>
  </w:style>
  <w:style w:type="paragraph" w:styleId="Heading3">
    <w:name w:val="heading 3"/>
    <w:basedOn w:val="Normal"/>
    <w:next w:val="Normal"/>
    <w:link w:val="Heading3Char"/>
    <w:qFormat/>
    <w:rsid w:val="00B26A79"/>
    <w:pPr>
      <w:keepNext/>
      <w:numPr>
        <w:ilvl w:val="2"/>
        <w:numId w:val="1"/>
      </w:numPr>
      <w:spacing w:before="240" w:after="60"/>
      <w:outlineLvl w:val="2"/>
    </w:pPr>
    <w:rPr>
      <w:rFonts w:asciiTheme="minorHAnsi" w:hAnsiTheme="minorHAnsi"/>
      <w:b/>
      <w:szCs w:val="20"/>
    </w:rPr>
  </w:style>
  <w:style w:type="paragraph" w:styleId="Heading4">
    <w:name w:val="heading 4"/>
    <w:basedOn w:val="Normal"/>
    <w:next w:val="Normal"/>
    <w:link w:val="Heading4Char"/>
    <w:qFormat/>
    <w:rsid w:val="00B26A79"/>
    <w:pPr>
      <w:keepNext/>
      <w:numPr>
        <w:ilvl w:val="3"/>
        <w:numId w:val="1"/>
      </w:numPr>
      <w:spacing w:before="240" w:after="60"/>
      <w:outlineLvl w:val="3"/>
    </w:pPr>
    <w:rPr>
      <w:b/>
      <w:szCs w:val="20"/>
    </w:rPr>
  </w:style>
  <w:style w:type="paragraph" w:styleId="Heading5">
    <w:name w:val="heading 5"/>
    <w:basedOn w:val="Normal"/>
    <w:next w:val="Normal"/>
    <w:link w:val="Heading5Char"/>
    <w:qFormat/>
    <w:rsid w:val="00B26A79"/>
    <w:pPr>
      <w:numPr>
        <w:ilvl w:val="4"/>
        <w:numId w:val="1"/>
      </w:numPr>
      <w:spacing w:before="240" w:after="60"/>
      <w:outlineLvl w:val="4"/>
    </w:pPr>
    <w:rPr>
      <w:rFonts w:ascii="Times" w:hAnsi="Times"/>
      <w:b/>
      <w:i/>
      <w:sz w:val="26"/>
      <w:szCs w:val="20"/>
    </w:rPr>
  </w:style>
  <w:style w:type="paragraph" w:styleId="Heading6">
    <w:name w:val="heading 6"/>
    <w:basedOn w:val="Normal"/>
    <w:next w:val="Normal"/>
    <w:link w:val="Heading6Char"/>
    <w:qFormat/>
    <w:rsid w:val="00B26A79"/>
    <w:pPr>
      <w:numPr>
        <w:ilvl w:val="5"/>
        <w:numId w:val="1"/>
      </w:numPr>
      <w:spacing w:before="240" w:after="60"/>
      <w:outlineLvl w:val="5"/>
    </w:pPr>
    <w:rPr>
      <w:rFonts w:ascii="Times" w:hAnsi="Times"/>
      <w:b/>
      <w:szCs w:val="20"/>
    </w:rPr>
  </w:style>
  <w:style w:type="paragraph" w:styleId="Heading7">
    <w:name w:val="heading 7"/>
    <w:basedOn w:val="Normal"/>
    <w:next w:val="Normal"/>
    <w:link w:val="Heading7Char"/>
    <w:qFormat/>
    <w:rsid w:val="00B26A79"/>
    <w:pPr>
      <w:numPr>
        <w:ilvl w:val="6"/>
        <w:numId w:val="1"/>
      </w:numPr>
      <w:spacing w:before="240" w:after="60"/>
      <w:outlineLvl w:val="6"/>
    </w:pPr>
    <w:rPr>
      <w:rFonts w:ascii="Times" w:hAnsi="Times"/>
      <w:szCs w:val="20"/>
    </w:rPr>
  </w:style>
  <w:style w:type="paragraph" w:styleId="Heading8">
    <w:name w:val="heading 8"/>
    <w:basedOn w:val="Normal"/>
    <w:next w:val="Normal"/>
    <w:link w:val="Heading8Char"/>
    <w:qFormat/>
    <w:rsid w:val="00B26A79"/>
    <w:pPr>
      <w:numPr>
        <w:ilvl w:val="7"/>
        <w:numId w:val="1"/>
      </w:numPr>
      <w:spacing w:before="240" w:after="60"/>
      <w:outlineLvl w:val="7"/>
    </w:pPr>
    <w:rPr>
      <w:rFonts w:ascii="Times" w:hAnsi="Times"/>
      <w:i/>
      <w:szCs w:val="20"/>
    </w:rPr>
  </w:style>
  <w:style w:type="paragraph" w:styleId="Heading9">
    <w:name w:val="heading 9"/>
    <w:basedOn w:val="Normal"/>
    <w:next w:val="Normal"/>
    <w:link w:val="Heading9Char"/>
    <w:qFormat/>
    <w:rsid w:val="00B26A79"/>
    <w:pPr>
      <w:numPr>
        <w:ilvl w:val="8"/>
        <w:numId w:val="1"/>
      </w:numPr>
      <w:spacing w:before="240" w:after="60"/>
      <w:outlineLvl w:val="8"/>
    </w:pPr>
    <w:rPr>
      <w:rFonts w:ascii="Helvetica" w:hAnsi="Helvetic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A79"/>
    <w:rPr>
      <w:rFonts w:eastAsia="Times New Roman" w:cs="Times New Roman"/>
      <w:b/>
      <w:kern w:val="32"/>
      <w:sz w:val="28"/>
      <w:szCs w:val="20"/>
      <w:lang w:val="en-US"/>
    </w:rPr>
  </w:style>
  <w:style w:type="character" w:customStyle="1" w:styleId="Heading2Char">
    <w:name w:val="Heading 2 Char"/>
    <w:basedOn w:val="DefaultParagraphFont"/>
    <w:link w:val="Heading2"/>
    <w:rsid w:val="00B26A79"/>
    <w:rPr>
      <w:rFonts w:eastAsia="Times New Roman" w:cs="Times New Roman"/>
      <w:b/>
      <w:i/>
      <w:sz w:val="24"/>
      <w:szCs w:val="20"/>
      <w:lang w:val="en-US"/>
    </w:rPr>
  </w:style>
  <w:style w:type="character" w:customStyle="1" w:styleId="Heading3Char">
    <w:name w:val="Heading 3 Char"/>
    <w:basedOn w:val="DefaultParagraphFont"/>
    <w:link w:val="Heading3"/>
    <w:rsid w:val="00B26A79"/>
    <w:rPr>
      <w:rFonts w:eastAsia="Times New Roman" w:cs="Times New Roman"/>
      <w:b/>
      <w:szCs w:val="20"/>
      <w:lang w:val="en-US"/>
    </w:rPr>
  </w:style>
  <w:style w:type="character" w:customStyle="1" w:styleId="Heading4Char">
    <w:name w:val="Heading 4 Char"/>
    <w:basedOn w:val="DefaultParagraphFont"/>
    <w:link w:val="Heading4"/>
    <w:rsid w:val="00B26A79"/>
    <w:rPr>
      <w:rFonts w:ascii="Calibri" w:eastAsia="Times New Roman" w:hAnsi="Calibri" w:cs="Times New Roman"/>
      <w:b/>
      <w:szCs w:val="20"/>
      <w:lang w:val="en-US"/>
    </w:rPr>
  </w:style>
  <w:style w:type="character" w:customStyle="1" w:styleId="Heading5Char">
    <w:name w:val="Heading 5 Char"/>
    <w:basedOn w:val="DefaultParagraphFont"/>
    <w:link w:val="Heading5"/>
    <w:rsid w:val="00B26A79"/>
    <w:rPr>
      <w:rFonts w:ascii="Times" w:eastAsia="Times New Roman" w:hAnsi="Times" w:cs="Times New Roman"/>
      <w:b/>
      <w:i/>
      <w:sz w:val="26"/>
      <w:szCs w:val="20"/>
      <w:lang w:val="en-US"/>
    </w:rPr>
  </w:style>
  <w:style w:type="character" w:customStyle="1" w:styleId="Heading6Char">
    <w:name w:val="Heading 6 Char"/>
    <w:basedOn w:val="DefaultParagraphFont"/>
    <w:link w:val="Heading6"/>
    <w:rsid w:val="00B26A79"/>
    <w:rPr>
      <w:rFonts w:ascii="Times" w:eastAsia="Times New Roman" w:hAnsi="Times" w:cs="Times New Roman"/>
      <w:b/>
      <w:szCs w:val="20"/>
      <w:lang w:val="en-US"/>
    </w:rPr>
  </w:style>
  <w:style w:type="character" w:customStyle="1" w:styleId="Heading7Char">
    <w:name w:val="Heading 7 Char"/>
    <w:basedOn w:val="DefaultParagraphFont"/>
    <w:link w:val="Heading7"/>
    <w:rsid w:val="00B26A79"/>
    <w:rPr>
      <w:rFonts w:ascii="Times" w:eastAsia="Times New Roman" w:hAnsi="Times" w:cs="Times New Roman"/>
      <w:szCs w:val="20"/>
      <w:lang w:val="en-US"/>
    </w:rPr>
  </w:style>
  <w:style w:type="character" w:customStyle="1" w:styleId="Heading8Char">
    <w:name w:val="Heading 8 Char"/>
    <w:basedOn w:val="DefaultParagraphFont"/>
    <w:link w:val="Heading8"/>
    <w:rsid w:val="00B26A79"/>
    <w:rPr>
      <w:rFonts w:ascii="Times" w:eastAsia="Times New Roman" w:hAnsi="Times" w:cs="Times New Roman"/>
      <w:i/>
      <w:szCs w:val="20"/>
      <w:lang w:val="en-US"/>
    </w:rPr>
  </w:style>
  <w:style w:type="character" w:customStyle="1" w:styleId="Heading9Char">
    <w:name w:val="Heading 9 Char"/>
    <w:basedOn w:val="DefaultParagraphFont"/>
    <w:link w:val="Heading9"/>
    <w:rsid w:val="00B26A79"/>
    <w:rPr>
      <w:rFonts w:ascii="Helvetica" w:eastAsia="Times New Roman" w:hAnsi="Helvetica" w:cs="Times New Roman"/>
      <w:szCs w:val="20"/>
      <w:lang w:val="en-US"/>
    </w:rPr>
  </w:style>
  <w:style w:type="paragraph" w:styleId="Footer">
    <w:name w:val="footer"/>
    <w:basedOn w:val="Normal"/>
    <w:link w:val="FooterChar"/>
    <w:uiPriority w:val="99"/>
    <w:rsid w:val="00B26A79"/>
    <w:pPr>
      <w:tabs>
        <w:tab w:val="center" w:pos="4320"/>
        <w:tab w:val="right" w:pos="8640"/>
      </w:tabs>
    </w:pPr>
    <w:rPr>
      <w:rFonts w:ascii="Times" w:hAnsi="Times"/>
      <w:szCs w:val="20"/>
    </w:rPr>
  </w:style>
  <w:style w:type="character" w:customStyle="1" w:styleId="FooterChar">
    <w:name w:val="Footer Char"/>
    <w:basedOn w:val="DefaultParagraphFont"/>
    <w:link w:val="Footer"/>
    <w:uiPriority w:val="99"/>
    <w:rsid w:val="00B26A79"/>
    <w:rPr>
      <w:rFonts w:ascii="Times" w:eastAsia="Times New Roman" w:hAnsi="Times" w:cs="Times New Roman"/>
      <w:szCs w:val="20"/>
      <w:lang w:val="en-US"/>
    </w:rPr>
  </w:style>
  <w:style w:type="character" w:styleId="PageNumber">
    <w:name w:val="page number"/>
    <w:rsid w:val="00B26A79"/>
    <w:rPr>
      <w:rFonts w:cs="Times New Roman"/>
    </w:rPr>
  </w:style>
  <w:style w:type="paragraph" w:styleId="ListParagraph">
    <w:name w:val="List Paragraph"/>
    <w:basedOn w:val="Normal"/>
    <w:uiPriority w:val="34"/>
    <w:qFormat/>
    <w:rsid w:val="00B26A79"/>
    <w:pPr>
      <w:ind w:left="720"/>
      <w:contextualSpacing/>
    </w:pPr>
  </w:style>
  <w:style w:type="table" w:styleId="TableGrid">
    <w:name w:val="Table Grid"/>
    <w:basedOn w:val="TableNormal"/>
    <w:uiPriority w:val="39"/>
    <w:rsid w:val="00372A7F"/>
    <w:pPr>
      <w:spacing w:after="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40F"/>
    <w:pPr>
      <w:tabs>
        <w:tab w:val="center" w:pos="4680"/>
        <w:tab w:val="right" w:pos="9360"/>
      </w:tabs>
    </w:pPr>
  </w:style>
  <w:style w:type="character" w:customStyle="1" w:styleId="HeaderChar">
    <w:name w:val="Header Char"/>
    <w:basedOn w:val="DefaultParagraphFont"/>
    <w:link w:val="Header"/>
    <w:uiPriority w:val="99"/>
    <w:rsid w:val="0057140F"/>
    <w:rPr>
      <w:rFonts w:ascii="Calibri" w:eastAsia="Times New Roman" w:hAnsi="Calibri"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525C-7B9E-49E2-B8EC-B521723C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5</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sfgadmin</dc:creator>
  <cp:keywords/>
  <dc:description/>
  <cp:lastModifiedBy>myles maillet</cp:lastModifiedBy>
  <cp:revision>25</cp:revision>
  <dcterms:created xsi:type="dcterms:W3CDTF">2017-06-15T15:50:00Z</dcterms:created>
  <dcterms:modified xsi:type="dcterms:W3CDTF">2017-06-16T23:25:00Z</dcterms:modified>
</cp:coreProperties>
</file>