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65945" w14:textId="1777D364" w:rsidR="00583492" w:rsidRPr="000A3375" w:rsidRDefault="00583492" w:rsidP="0041540F">
      <w:pPr>
        <w:spacing w:after="120"/>
        <w:jc w:val="center"/>
        <w:rPr>
          <w:b/>
          <w:bCs/>
          <w:sz w:val="24"/>
          <w:szCs w:val="24"/>
          <w:lang w:val="en-CA"/>
        </w:rPr>
      </w:pPr>
      <w:r w:rsidRPr="000A3375">
        <w:rPr>
          <w:b/>
          <w:bCs/>
          <w:sz w:val="24"/>
          <w:szCs w:val="24"/>
          <w:lang w:val="en-CA"/>
        </w:rPr>
        <w:t xml:space="preserve">EXECUTIVE SUMMARY for </w:t>
      </w:r>
      <w:r w:rsidR="00163904">
        <w:rPr>
          <w:b/>
          <w:bCs/>
          <w:sz w:val="24"/>
          <w:szCs w:val="24"/>
          <w:lang w:val="en-CA"/>
        </w:rPr>
        <w:t>“REAL WORLD DATA DE-IDENTIFICATION”</w:t>
      </w:r>
      <w:r w:rsidRPr="000A3375">
        <w:rPr>
          <w:b/>
          <w:bCs/>
          <w:sz w:val="24"/>
          <w:szCs w:val="24"/>
          <w:lang w:val="en-CA"/>
        </w:rPr>
        <w:t xml:space="preserve"> PRESENTATION</w:t>
      </w:r>
    </w:p>
    <w:p w14:paraId="1319508B" w14:textId="504C6E1E" w:rsidR="00583492" w:rsidRPr="00A60C21" w:rsidRDefault="00583492">
      <w:pPr>
        <w:rPr>
          <w:sz w:val="12"/>
          <w:lang w:val="en-CA"/>
        </w:rPr>
      </w:pPr>
    </w:p>
    <w:p w14:paraId="1F2966B8" w14:textId="2F2994AA" w:rsidR="000A3375" w:rsidRPr="000A3375" w:rsidRDefault="000A3375">
      <w:pPr>
        <w:rPr>
          <w:b/>
          <w:bCs/>
          <w:sz w:val="24"/>
          <w:szCs w:val="24"/>
          <w:lang w:val="en-CA"/>
        </w:rPr>
      </w:pPr>
      <w:r w:rsidRPr="000A3375">
        <w:rPr>
          <w:b/>
          <w:bCs/>
          <w:sz w:val="24"/>
          <w:szCs w:val="24"/>
          <w:lang w:val="en-CA"/>
        </w:rPr>
        <w:t xml:space="preserve">Kenneth A. Moselle, PhD, </w:t>
      </w:r>
      <w:proofErr w:type="spellStart"/>
      <w:r w:rsidRPr="000A3375">
        <w:rPr>
          <w:b/>
          <w:bCs/>
          <w:sz w:val="24"/>
          <w:szCs w:val="24"/>
          <w:lang w:val="en-CA"/>
        </w:rPr>
        <w:t>R.Psych</w:t>
      </w:r>
      <w:proofErr w:type="spellEnd"/>
      <w:r w:rsidRPr="000A3375">
        <w:rPr>
          <w:b/>
          <w:bCs/>
          <w:sz w:val="24"/>
          <w:szCs w:val="24"/>
          <w:lang w:val="en-CA"/>
        </w:rPr>
        <w:t>.,</w:t>
      </w:r>
    </w:p>
    <w:p w14:paraId="69390277" w14:textId="031E33D5" w:rsidR="000A3375" w:rsidRDefault="000A3375">
      <w:pPr>
        <w:rPr>
          <w:lang w:val="en-CA"/>
        </w:rPr>
      </w:pPr>
      <w:r>
        <w:rPr>
          <w:lang w:val="en-CA"/>
        </w:rPr>
        <w:t>Director, Applied Clinical Research Unit, Island Health</w:t>
      </w:r>
    </w:p>
    <w:p w14:paraId="38B724CE" w14:textId="35D1DF65" w:rsidR="000A3375" w:rsidRDefault="000A3375">
      <w:pPr>
        <w:rPr>
          <w:lang w:val="en-CA"/>
        </w:rPr>
      </w:pPr>
      <w:r>
        <w:rPr>
          <w:lang w:val="en-CA"/>
        </w:rPr>
        <w:t>Adjunct Associate Professor, University of Victoria</w:t>
      </w:r>
    </w:p>
    <w:p w14:paraId="4F73F08B" w14:textId="31F2CCF8" w:rsidR="000A3375" w:rsidRDefault="00FE5657">
      <w:pPr>
        <w:rPr>
          <w:lang w:val="en-CA"/>
        </w:rPr>
      </w:pPr>
      <w:hyperlink r:id="rId11" w:history="1">
        <w:r w:rsidR="000A3375" w:rsidRPr="00C978A3">
          <w:rPr>
            <w:rStyle w:val="Hyperlink"/>
            <w:lang w:val="en-CA"/>
          </w:rPr>
          <w:t>Kenneth.moselle@viha.ca</w:t>
        </w:r>
      </w:hyperlink>
    </w:p>
    <w:p w14:paraId="2179C77B" w14:textId="77777777" w:rsidR="000A3375" w:rsidRPr="0055453A" w:rsidRDefault="000A3375">
      <w:pPr>
        <w:rPr>
          <w:sz w:val="10"/>
          <w:szCs w:val="10"/>
          <w:lang w:val="en-CA"/>
        </w:rPr>
      </w:pPr>
    </w:p>
    <w:p w14:paraId="0304DC87" w14:textId="1B9837F8" w:rsidR="000A3375" w:rsidRPr="0055453A" w:rsidRDefault="000A3375">
      <w:pPr>
        <w:rPr>
          <w:b/>
          <w:bCs/>
          <w:lang w:val="en-CA"/>
        </w:rPr>
      </w:pPr>
      <w:r w:rsidRPr="0055453A">
        <w:rPr>
          <w:b/>
          <w:bCs/>
          <w:lang w:val="en-CA"/>
        </w:rPr>
        <w:t>Version 2, July 12, 2019</w:t>
      </w:r>
    </w:p>
    <w:p w14:paraId="146C4549" w14:textId="33CD4C7E" w:rsidR="000A3375" w:rsidRDefault="000A3375">
      <w:pPr>
        <w:rPr>
          <w:lang w:val="en-CA"/>
        </w:rPr>
      </w:pPr>
    </w:p>
    <w:p w14:paraId="708C7681" w14:textId="77777777" w:rsidR="006F6EDF" w:rsidRPr="006F6EDF" w:rsidRDefault="006F6EDF" w:rsidP="00377D36">
      <w:pPr>
        <w:rPr>
          <w:b/>
          <w:lang w:val="en-CA"/>
        </w:rPr>
      </w:pPr>
      <w:r w:rsidRPr="006F6EDF">
        <w:rPr>
          <w:b/>
          <w:lang w:val="en-CA"/>
        </w:rPr>
        <w:t>Background</w:t>
      </w:r>
    </w:p>
    <w:p w14:paraId="18E00012" w14:textId="1876CD46" w:rsidR="006F6EDF" w:rsidRPr="009840A1" w:rsidRDefault="006F6EDF" w:rsidP="006F6EDF">
      <w:pPr>
        <w:spacing w:after="120"/>
      </w:pPr>
      <w:r>
        <w:rPr>
          <w:lang w:val="en-CA"/>
        </w:rPr>
        <w:t xml:space="preserve">This Executive Summary is intended as </w:t>
      </w:r>
      <w:r>
        <w:rPr>
          <w:lang w:val="en-CA"/>
        </w:rPr>
        <w:t xml:space="preserve">a “navigational aide” for </w:t>
      </w:r>
      <w:r>
        <w:rPr>
          <w:lang w:val="en-CA"/>
        </w:rPr>
        <w:t>a</w:t>
      </w:r>
      <w:r>
        <w:rPr>
          <w:lang w:val="en-CA"/>
        </w:rPr>
        <w:t xml:space="preserve"> </w:t>
      </w:r>
      <w:r>
        <w:rPr>
          <w:lang w:val="en-CA"/>
        </w:rPr>
        <w:t xml:space="preserve">detailed body of material </w:t>
      </w:r>
      <w:r>
        <w:rPr>
          <w:lang w:val="en-CA"/>
        </w:rPr>
        <w:t xml:space="preserve">packaged as </w:t>
      </w:r>
      <w:proofErr w:type="gramStart"/>
      <w:r>
        <w:rPr>
          <w:lang w:val="en-CA"/>
        </w:rPr>
        <w:t xml:space="preserve">a 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powerpoint</w:t>
      </w:r>
      <w:proofErr w:type="spellEnd"/>
      <w:proofErr w:type="gramEnd"/>
      <w:r>
        <w:rPr>
          <w:lang w:val="en-CA"/>
        </w:rPr>
        <w:t xml:space="preserve">, </w:t>
      </w:r>
      <w:r>
        <w:rPr>
          <w:lang w:val="en-CA"/>
        </w:rPr>
        <w:t xml:space="preserve"> dated June 18, 2019, with a short-title “</w:t>
      </w:r>
      <w:r w:rsidRPr="0021753C">
        <w:rPr>
          <w:b/>
          <w:bCs/>
          <w:i/>
          <w:iCs/>
          <w:lang w:val="en-CA"/>
        </w:rPr>
        <w:t xml:space="preserve">Part </w:t>
      </w:r>
      <w:r>
        <w:rPr>
          <w:b/>
          <w:bCs/>
          <w:i/>
          <w:iCs/>
          <w:lang w:val="en-CA"/>
        </w:rPr>
        <w:t xml:space="preserve">II </w:t>
      </w:r>
      <w:r w:rsidRPr="0021753C">
        <w:rPr>
          <w:b/>
          <w:bCs/>
          <w:i/>
          <w:iCs/>
          <w:lang w:val="en-CA"/>
        </w:rPr>
        <w:t xml:space="preserve">– </w:t>
      </w:r>
      <w:r w:rsidRPr="009840A1">
        <w:rPr>
          <w:b/>
          <w:bCs/>
          <w:i/>
          <w:iCs/>
        </w:rPr>
        <w:t>“Real-world” de-identification of transactional data extracted from electronic health records – breaking the curse of dimensionality</w:t>
      </w:r>
      <w:r>
        <w:rPr>
          <w:b/>
          <w:bCs/>
          <w:i/>
          <w:iCs/>
        </w:rPr>
        <w:t>”</w:t>
      </w:r>
      <w:r>
        <w:t>. That presentation was adapted from a work with a similar title presented at the 20</w:t>
      </w:r>
      <w:r w:rsidRPr="009840A1">
        <w:rPr>
          <w:vertAlign w:val="superscript"/>
        </w:rPr>
        <w:t>th</w:t>
      </w:r>
      <w:r>
        <w:t xml:space="preserve"> Annual Privacy and Security Conference (Reboot) on February 7, 2019</w:t>
      </w:r>
      <w:r w:rsidR="00086F9C">
        <w:t xml:space="preserve">. </w:t>
      </w:r>
    </w:p>
    <w:p w14:paraId="646F5FA5" w14:textId="09B16D90" w:rsidR="006F6EDF" w:rsidRDefault="006F6EDF" w:rsidP="006F6EDF">
      <w:pPr>
        <w:spacing w:after="120"/>
        <w:rPr>
          <w:lang w:val="en-CA"/>
        </w:rPr>
      </w:pPr>
      <w:r>
        <w:rPr>
          <w:lang w:val="en-CA"/>
        </w:rPr>
        <w:t xml:space="preserve">The material included in the </w:t>
      </w:r>
      <w:proofErr w:type="spellStart"/>
      <w:r>
        <w:rPr>
          <w:lang w:val="en-CA"/>
        </w:rPr>
        <w:t>powerpoint</w:t>
      </w:r>
      <w:proofErr w:type="spellEnd"/>
      <w:r>
        <w:rPr>
          <w:lang w:val="en-CA"/>
        </w:rPr>
        <w:t xml:space="preserve"> is centred on some of the distinctive challenges associated with secondary use of linked data from three sources:</w:t>
      </w:r>
    </w:p>
    <w:p w14:paraId="1FB5241F" w14:textId="09FB1149" w:rsidR="006F6EDF" w:rsidRPr="007E51C8" w:rsidRDefault="006F6EDF" w:rsidP="006F6EDF">
      <w:pPr>
        <w:pStyle w:val="ListParagraph"/>
        <w:numPr>
          <w:ilvl w:val="0"/>
          <w:numId w:val="28"/>
        </w:numPr>
        <w:spacing w:after="120"/>
        <w:rPr>
          <w:lang w:val="en-CA"/>
        </w:rPr>
      </w:pPr>
      <w:r w:rsidRPr="007E51C8">
        <w:rPr>
          <w:lang w:val="en-CA"/>
        </w:rPr>
        <w:t>Community services</w:t>
      </w:r>
      <w:r w:rsidR="00377D36">
        <w:rPr>
          <w:lang w:val="en-CA"/>
        </w:rPr>
        <w:t>, e.g.</w:t>
      </w:r>
      <w:proofErr w:type="gramStart"/>
      <w:r w:rsidR="00377D36">
        <w:rPr>
          <w:lang w:val="en-CA"/>
        </w:rPr>
        <w:t xml:space="preserve">,  </w:t>
      </w:r>
      <w:r w:rsidRPr="007E51C8">
        <w:rPr>
          <w:lang w:val="en-CA"/>
        </w:rPr>
        <w:t>data</w:t>
      </w:r>
      <w:proofErr w:type="gramEnd"/>
      <w:r w:rsidRPr="007E51C8">
        <w:rPr>
          <w:lang w:val="en-CA"/>
        </w:rPr>
        <w:t xml:space="preserve"> extracted from </w:t>
      </w:r>
      <w:r w:rsidR="00980B2B">
        <w:rPr>
          <w:lang w:val="en-CA"/>
        </w:rPr>
        <w:t>primary care</w:t>
      </w:r>
      <w:r w:rsidRPr="007E51C8">
        <w:rPr>
          <w:lang w:val="en-CA"/>
        </w:rPr>
        <w:t xml:space="preserve"> Electronic Medical Records</w:t>
      </w:r>
      <w:r w:rsidR="00980B2B">
        <w:rPr>
          <w:lang w:val="en-CA"/>
        </w:rPr>
        <w:t xml:space="preserve"> (EMR’s)</w:t>
      </w:r>
    </w:p>
    <w:p w14:paraId="03377150" w14:textId="5544EBFF" w:rsidR="006F6EDF" w:rsidRDefault="00377D36" w:rsidP="006F6EDF">
      <w:pPr>
        <w:pStyle w:val="ListParagraph"/>
        <w:numPr>
          <w:ilvl w:val="0"/>
          <w:numId w:val="28"/>
        </w:numPr>
        <w:spacing w:after="120"/>
        <w:rPr>
          <w:lang w:val="en-CA"/>
        </w:rPr>
      </w:pPr>
      <w:r>
        <w:rPr>
          <w:lang w:val="en-CA"/>
        </w:rPr>
        <w:t>Health Authorities, e.g.</w:t>
      </w:r>
      <w:proofErr w:type="gramStart"/>
      <w:r>
        <w:rPr>
          <w:lang w:val="en-CA"/>
        </w:rPr>
        <w:t>,  data</w:t>
      </w:r>
      <w:proofErr w:type="gramEnd"/>
      <w:r>
        <w:rPr>
          <w:lang w:val="en-CA"/>
        </w:rPr>
        <w:t xml:space="preserve"> spanning a cross-continuum array of secondary/tertiary services and extracted from enterprise Electronic Health Records</w:t>
      </w:r>
      <w:r w:rsidR="00980B2B">
        <w:rPr>
          <w:lang w:val="en-CA"/>
        </w:rPr>
        <w:t xml:space="preserve"> (EHR’s).</w:t>
      </w:r>
    </w:p>
    <w:p w14:paraId="0102B873" w14:textId="76C4E9B4" w:rsidR="006F6EDF" w:rsidRDefault="006F6EDF" w:rsidP="006F6EDF">
      <w:pPr>
        <w:pStyle w:val="ListParagraph"/>
        <w:numPr>
          <w:ilvl w:val="0"/>
          <w:numId w:val="28"/>
        </w:numPr>
        <w:spacing w:after="120"/>
        <w:rPr>
          <w:lang w:val="en-CA"/>
        </w:rPr>
      </w:pPr>
      <w:r>
        <w:rPr>
          <w:lang w:val="en-CA"/>
        </w:rPr>
        <w:t>Ministry of Health – a variety of a</w:t>
      </w:r>
      <w:r w:rsidRPr="007924F3">
        <w:rPr>
          <w:lang w:val="en-CA"/>
        </w:rPr>
        <w:t xml:space="preserve">dministrative data supplied by the Ministry of Health. </w:t>
      </w:r>
    </w:p>
    <w:p w14:paraId="7B4687A9" w14:textId="2AB19DB3" w:rsidR="00377D36" w:rsidRPr="00377D36" w:rsidRDefault="00377D36" w:rsidP="00377D36">
      <w:pPr>
        <w:spacing w:after="120"/>
        <w:rPr>
          <w:lang w:val="en-CA"/>
        </w:rPr>
      </w:pPr>
      <w:r>
        <w:rPr>
          <w:lang w:val="en-CA"/>
        </w:rPr>
        <w:t xml:space="preserve">See the </w:t>
      </w:r>
      <w:proofErr w:type="spellStart"/>
      <w:r>
        <w:rPr>
          <w:lang w:val="en-CA"/>
        </w:rPr>
        <w:t>powerpoint</w:t>
      </w:r>
      <w:proofErr w:type="spellEnd"/>
      <w:r>
        <w:rPr>
          <w:lang w:val="en-CA"/>
        </w:rPr>
        <w:t xml:space="preserve"> with a short title </w:t>
      </w:r>
      <w:r w:rsidR="00281EFA" w:rsidRPr="0021753C">
        <w:rPr>
          <w:b/>
          <w:bCs/>
          <w:i/>
          <w:iCs/>
          <w:lang w:val="en-CA"/>
        </w:rPr>
        <w:t>Part 1 – Target Information Architecture”</w:t>
      </w:r>
      <w:r w:rsidR="00281EFA">
        <w:rPr>
          <w:b/>
          <w:bCs/>
          <w:i/>
          <w:iCs/>
          <w:lang w:val="en-CA"/>
        </w:rPr>
        <w:t xml:space="preserve"> </w:t>
      </w:r>
      <w:r w:rsidR="00281EFA" w:rsidRPr="00281EFA">
        <w:rPr>
          <w:bCs/>
          <w:i/>
          <w:iCs/>
          <w:lang w:val="en-CA"/>
        </w:rPr>
        <w:t>(July 11, 2019)</w:t>
      </w:r>
      <w:r w:rsidR="00281EFA">
        <w:rPr>
          <w:bCs/>
          <w:i/>
          <w:iCs/>
          <w:lang w:val="en-CA"/>
        </w:rPr>
        <w:t xml:space="preserve">, </w:t>
      </w:r>
      <w:r>
        <w:rPr>
          <w:lang w:val="en-CA"/>
        </w:rPr>
        <w:t>slide</w:t>
      </w:r>
      <w:r w:rsidR="00281EFA">
        <w:rPr>
          <w:lang w:val="en-CA"/>
        </w:rPr>
        <w:t xml:space="preserve">s #18, 19 </w:t>
      </w:r>
      <w:r>
        <w:rPr>
          <w:lang w:val="en-CA"/>
        </w:rPr>
        <w:t xml:space="preserve">for a more detailed description of these data sources. See </w:t>
      </w:r>
      <w:r w:rsidR="00281EFA">
        <w:rPr>
          <w:lang w:val="en-CA"/>
        </w:rPr>
        <w:t>s</w:t>
      </w:r>
      <w:r>
        <w:rPr>
          <w:lang w:val="en-CA"/>
        </w:rPr>
        <w:t>lide</w:t>
      </w:r>
      <w:r w:rsidR="00281EFA">
        <w:rPr>
          <w:lang w:val="en-CA"/>
        </w:rPr>
        <w:t>s</w:t>
      </w:r>
      <w:r>
        <w:rPr>
          <w:lang w:val="en-CA"/>
        </w:rPr>
        <w:t xml:space="preserve"> </w:t>
      </w:r>
      <w:r w:rsidR="00281EFA">
        <w:rPr>
          <w:lang w:val="en-CA"/>
        </w:rPr>
        <w:t xml:space="preserve">#16, 17 and #21, 22 </w:t>
      </w:r>
      <w:r>
        <w:rPr>
          <w:lang w:val="en-CA"/>
        </w:rPr>
        <w:t>for a discussion of products generated from those data</w:t>
      </w:r>
      <w:r w:rsidR="00980B2B">
        <w:rPr>
          <w:lang w:val="en-CA"/>
        </w:rPr>
        <w:t>.  See s</w:t>
      </w:r>
      <w:r>
        <w:rPr>
          <w:lang w:val="en-CA"/>
        </w:rPr>
        <w:t>lide</w:t>
      </w:r>
      <w:r w:rsidR="00980B2B">
        <w:rPr>
          <w:lang w:val="en-CA"/>
        </w:rPr>
        <w:t>s</w:t>
      </w:r>
      <w:r>
        <w:rPr>
          <w:lang w:val="en-CA"/>
        </w:rPr>
        <w:t xml:space="preserve"> </w:t>
      </w:r>
      <w:r w:rsidR="00281EFA">
        <w:rPr>
          <w:lang w:val="en-CA"/>
        </w:rPr>
        <w:t xml:space="preserve">#12, </w:t>
      </w:r>
      <w:proofErr w:type="gramStart"/>
      <w:r w:rsidR="00281EFA">
        <w:rPr>
          <w:lang w:val="en-CA"/>
        </w:rPr>
        <w:t xml:space="preserve">15 </w:t>
      </w:r>
      <w:r>
        <w:rPr>
          <w:lang w:val="en-CA"/>
        </w:rPr>
        <w:t xml:space="preserve"> for</w:t>
      </w:r>
      <w:proofErr w:type="gramEnd"/>
      <w:r>
        <w:rPr>
          <w:lang w:val="en-CA"/>
        </w:rPr>
        <w:t xml:space="preserve"> a description of the functions performed by the consumers of those information products generated from the data.</w:t>
      </w:r>
    </w:p>
    <w:p w14:paraId="11A2CFEE" w14:textId="4A755700" w:rsidR="00583492" w:rsidRPr="0055453A" w:rsidRDefault="00583492">
      <w:pPr>
        <w:rPr>
          <w:b/>
          <w:bCs/>
          <w:sz w:val="24"/>
          <w:szCs w:val="24"/>
          <w:lang w:val="en-CA"/>
        </w:rPr>
      </w:pPr>
      <w:r w:rsidRPr="0055453A">
        <w:rPr>
          <w:b/>
          <w:bCs/>
          <w:sz w:val="24"/>
          <w:szCs w:val="24"/>
          <w:lang w:val="en-CA"/>
        </w:rPr>
        <w:t>Introduction</w:t>
      </w:r>
      <w:r w:rsidR="00E06515">
        <w:rPr>
          <w:b/>
          <w:bCs/>
          <w:sz w:val="24"/>
          <w:szCs w:val="24"/>
          <w:lang w:val="en-CA"/>
        </w:rPr>
        <w:t xml:space="preserve"> –</w:t>
      </w:r>
      <w:r w:rsidR="004F4194">
        <w:rPr>
          <w:b/>
          <w:bCs/>
          <w:sz w:val="24"/>
          <w:szCs w:val="24"/>
          <w:lang w:val="en-CA"/>
        </w:rPr>
        <w:t xml:space="preserve"> </w:t>
      </w:r>
      <w:r w:rsidR="002041D2">
        <w:rPr>
          <w:b/>
          <w:bCs/>
          <w:sz w:val="24"/>
          <w:szCs w:val="24"/>
          <w:lang w:val="en-CA"/>
        </w:rPr>
        <w:t>why was this de-identification framework created</w:t>
      </w:r>
      <w:r w:rsidR="00E06515">
        <w:rPr>
          <w:b/>
          <w:bCs/>
          <w:sz w:val="24"/>
          <w:szCs w:val="24"/>
          <w:lang w:val="en-CA"/>
        </w:rPr>
        <w:t>?</w:t>
      </w:r>
    </w:p>
    <w:p w14:paraId="00FA3C62" w14:textId="3FBED767" w:rsidR="004F4194" w:rsidRDefault="004F4194" w:rsidP="009840A1">
      <w:pPr>
        <w:spacing w:after="120"/>
        <w:rPr>
          <w:lang w:val="en-CA"/>
        </w:rPr>
      </w:pPr>
      <w:r>
        <w:rPr>
          <w:lang w:val="en-CA"/>
        </w:rPr>
        <w:t>At a foundational level, l</w:t>
      </w:r>
      <w:r w:rsidR="00BB2865">
        <w:rPr>
          <w:lang w:val="en-CA"/>
        </w:rPr>
        <w:t xml:space="preserve">everaging better care and more sustainable service system operations </w:t>
      </w:r>
      <w:r>
        <w:rPr>
          <w:lang w:val="en-CA"/>
        </w:rPr>
        <w:t xml:space="preserve">through secondary use of </w:t>
      </w:r>
      <w:r w:rsidR="00BB2865">
        <w:rPr>
          <w:lang w:val="en-CA"/>
        </w:rPr>
        <w:t xml:space="preserve">health data </w:t>
      </w:r>
      <w:r w:rsidR="00083704">
        <w:rPr>
          <w:lang w:val="en-CA"/>
        </w:rPr>
        <w:t xml:space="preserve">is all about relationships – between </w:t>
      </w:r>
      <w:r w:rsidR="00BB2865">
        <w:rPr>
          <w:lang w:val="en-CA"/>
        </w:rPr>
        <w:t xml:space="preserve">typically large/complex linked arrays of </w:t>
      </w:r>
      <w:r>
        <w:rPr>
          <w:lang w:val="en-CA"/>
        </w:rPr>
        <w:t xml:space="preserve">person-level </w:t>
      </w:r>
      <w:r w:rsidR="00083704">
        <w:rPr>
          <w:lang w:val="en-CA"/>
        </w:rPr>
        <w:t>data</w:t>
      </w:r>
      <w:r>
        <w:rPr>
          <w:lang w:val="en-CA"/>
        </w:rPr>
        <w:t>,</w:t>
      </w:r>
      <w:r w:rsidR="00083704">
        <w:rPr>
          <w:lang w:val="en-CA"/>
        </w:rPr>
        <w:t xml:space="preserve"> and those </w:t>
      </w:r>
      <w:r w:rsidR="00BB2865">
        <w:rPr>
          <w:lang w:val="en-CA"/>
        </w:rPr>
        <w:t>statisticall</w:t>
      </w:r>
      <w:r w:rsidR="00C573A2">
        <w:rPr>
          <w:lang w:val="en-CA"/>
        </w:rPr>
        <w:t>y</w:t>
      </w:r>
      <w:r w:rsidR="00BB2865">
        <w:rPr>
          <w:lang w:val="en-CA"/>
        </w:rPr>
        <w:t>/methodologically well-equipped pa</w:t>
      </w:r>
      <w:r w:rsidR="00083704">
        <w:rPr>
          <w:lang w:val="en-CA"/>
        </w:rPr>
        <w:t>rties</w:t>
      </w:r>
      <w:r w:rsidR="00281EFA">
        <w:rPr>
          <w:lang w:val="en-CA"/>
        </w:rPr>
        <w:t>, often found in academic settings,</w:t>
      </w:r>
      <w:r w:rsidR="00083704">
        <w:rPr>
          <w:lang w:val="en-CA"/>
        </w:rPr>
        <w:t xml:space="preserve"> who have the capacity to transform </w:t>
      </w:r>
      <w:r>
        <w:rPr>
          <w:lang w:val="en-CA"/>
        </w:rPr>
        <w:t>the data</w:t>
      </w:r>
      <w:r w:rsidR="00083704">
        <w:rPr>
          <w:lang w:val="en-CA"/>
        </w:rPr>
        <w:t xml:space="preserve"> into useful information products</w:t>
      </w:r>
      <w:r w:rsidR="00BB2865">
        <w:rPr>
          <w:lang w:val="en-CA"/>
        </w:rPr>
        <w:t xml:space="preserve">. </w:t>
      </w:r>
      <w:r w:rsidR="00C573A2">
        <w:rPr>
          <w:lang w:val="en-CA"/>
        </w:rPr>
        <w:t xml:space="preserve">Stated in slightly different terms: the </w:t>
      </w:r>
      <w:r w:rsidR="00281EFA">
        <w:rPr>
          <w:lang w:val="en-CA"/>
        </w:rPr>
        <w:t>presentation</w:t>
      </w:r>
      <w:r w:rsidR="00C573A2">
        <w:rPr>
          <w:lang w:val="en-CA"/>
        </w:rPr>
        <w:t xml:space="preserve"> is concerned with the challenges around de-identification of complex, high-dimensional bodies of health data </w:t>
      </w:r>
      <w:r w:rsidR="00281EFA">
        <w:rPr>
          <w:lang w:val="en-CA"/>
        </w:rPr>
        <w:t xml:space="preserve">to </w:t>
      </w:r>
      <w:proofErr w:type="gramStart"/>
      <w:r w:rsidR="00281EFA">
        <w:rPr>
          <w:lang w:val="en-CA"/>
        </w:rPr>
        <w:t xml:space="preserve">enable </w:t>
      </w:r>
      <w:r w:rsidR="00C573A2">
        <w:rPr>
          <w:lang w:val="en-CA"/>
        </w:rPr>
        <w:t xml:space="preserve"> appropriately</w:t>
      </w:r>
      <w:proofErr w:type="gramEnd"/>
      <w:r w:rsidR="00C573A2">
        <w:rPr>
          <w:lang w:val="en-CA"/>
        </w:rPr>
        <w:t xml:space="preserve"> privacy-preserving disclosure of the data to statisticians/researchers – while preserving the analytical integrity of the data disclosed. </w:t>
      </w:r>
    </w:p>
    <w:p w14:paraId="51F081D5" w14:textId="4D736BC8" w:rsidR="00BB2865" w:rsidRPr="00074ED3" w:rsidRDefault="004F4194" w:rsidP="006A4E17">
      <w:pPr>
        <w:rPr>
          <w:b/>
          <w:bCs/>
          <w:sz w:val="24"/>
          <w:szCs w:val="24"/>
          <w:lang w:val="en-CA"/>
        </w:rPr>
      </w:pPr>
      <w:r w:rsidRPr="006A4E17">
        <w:rPr>
          <w:b/>
          <w:bCs/>
          <w:sz w:val="24"/>
          <w:szCs w:val="24"/>
          <w:lang w:val="en-CA"/>
        </w:rPr>
        <w:t xml:space="preserve">What makes disclosure of health data for secondary use challenging? </w:t>
      </w:r>
    </w:p>
    <w:p w14:paraId="6D7B2FFF" w14:textId="1DB3C90C" w:rsidR="00083704" w:rsidRDefault="004F4194" w:rsidP="009840A1">
      <w:pPr>
        <w:spacing w:after="120"/>
        <w:rPr>
          <w:lang w:val="en-CA"/>
        </w:rPr>
      </w:pPr>
      <w:r>
        <w:rPr>
          <w:lang w:val="en-CA"/>
        </w:rPr>
        <w:t>Over and above the obvious challenges</w:t>
      </w:r>
      <w:r w:rsidR="00867297">
        <w:rPr>
          <w:lang w:val="en-CA"/>
        </w:rPr>
        <w:t xml:space="preserve"> associated with data lineage – </w:t>
      </w:r>
      <w:r>
        <w:rPr>
          <w:lang w:val="en-CA"/>
        </w:rPr>
        <w:t>clinical</w:t>
      </w:r>
      <w:r w:rsidR="00867297">
        <w:rPr>
          <w:lang w:val="en-CA"/>
        </w:rPr>
        <w:t xml:space="preserve"> service</w:t>
      </w:r>
      <w:r>
        <w:rPr>
          <w:lang w:val="en-CA"/>
        </w:rPr>
        <w:t xml:space="preserve"> data </w:t>
      </w:r>
      <w:r w:rsidR="006A4E17">
        <w:rPr>
          <w:lang w:val="en-CA"/>
        </w:rPr>
        <w:t xml:space="preserve">originate </w:t>
      </w:r>
      <w:r w:rsidR="00980B2B">
        <w:rPr>
          <w:lang w:val="en-CA"/>
        </w:rPr>
        <w:t>with</w:t>
      </w:r>
      <w:r w:rsidR="006A4E17">
        <w:rPr>
          <w:lang w:val="en-CA"/>
        </w:rPr>
        <w:t xml:space="preserve">in </w:t>
      </w:r>
      <w:r w:rsidR="00867297">
        <w:rPr>
          <w:lang w:val="en-CA"/>
        </w:rPr>
        <w:t xml:space="preserve">clinical </w:t>
      </w:r>
      <w:r w:rsidR="006A4E17">
        <w:rPr>
          <w:lang w:val="en-CA"/>
        </w:rPr>
        <w:t>systems in personally identified form</w:t>
      </w:r>
      <w:r w:rsidR="00281EFA">
        <w:rPr>
          <w:lang w:val="en-CA"/>
        </w:rPr>
        <w:t xml:space="preserve"> – there </w:t>
      </w:r>
      <w:r>
        <w:rPr>
          <w:lang w:val="en-CA"/>
        </w:rPr>
        <w:t xml:space="preserve">are additional challenges that may substantially impede </w:t>
      </w:r>
      <w:r w:rsidR="00867297">
        <w:rPr>
          <w:lang w:val="en-CA"/>
        </w:rPr>
        <w:t>efforts to render the data in a form that meets the requirements of data access adjudicators:</w:t>
      </w:r>
    </w:p>
    <w:p w14:paraId="6EE21991" w14:textId="417C9B3F" w:rsidR="00E06515" w:rsidRDefault="00E06515" w:rsidP="00083704">
      <w:pPr>
        <w:pStyle w:val="ListParagraph"/>
        <w:numPr>
          <w:ilvl w:val="0"/>
          <w:numId w:val="29"/>
        </w:numPr>
        <w:spacing w:after="120"/>
        <w:rPr>
          <w:lang w:val="en-CA"/>
        </w:rPr>
      </w:pPr>
      <w:r>
        <w:rPr>
          <w:lang w:val="en-CA"/>
        </w:rPr>
        <w:t xml:space="preserve">Legislation, regulations – </w:t>
      </w:r>
    </w:p>
    <w:p w14:paraId="5FC726E4" w14:textId="23C33EC4" w:rsidR="00083704" w:rsidRDefault="004F4194" w:rsidP="006A4E17">
      <w:pPr>
        <w:pStyle w:val="ListParagraph"/>
        <w:numPr>
          <w:ilvl w:val="1"/>
          <w:numId w:val="29"/>
        </w:numPr>
        <w:spacing w:after="120"/>
        <w:ind w:left="993" w:hanging="426"/>
        <w:rPr>
          <w:lang w:val="en-CA"/>
        </w:rPr>
      </w:pPr>
      <w:r>
        <w:rPr>
          <w:lang w:val="en-CA"/>
        </w:rPr>
        <w:t>Data required to paint a minimally complete picture of a “patient journey”</w:t>
      </w:r>
      <w:r w:rsidR="006F6EDF">
        <w:rPr>
          <w:lang w:val="en-CA"/>
        </w:rPr>
        <w:t xml:space="preserve"> are likely to be held by a </w:t>
      </w:r>
      <w:r w:rsidR="00083704">
        <w:rPr>
          <w:lang w:val="en-CA"/>
        </w:rPr>
        <w:t xml:space="preserve">diverse array of </w:t>
      </w:r>
      <w:r w:rsidR="006F6EDF">
        <w:rPr>
          <w:lang w:val="en-CA"/>
        </w:rPr>
        <w:t xml:space="preserve">parties who are </w:t>
      </w:r>
      <w:r w:rsidR="00E06515">
        <w:rPr>
          <w:lang w:val="en-CA"/>
        </w:rPr>
        <w:t>subject to different governance structures and bodies of legislation</w:t>
      </w:r>
      <w:r w:rsidR="006F6EDF">
        <w:rPr>
          <w:lang w:val="en-CA"/>
        </w:rPr>
        <w:t xml:space="preserve"> (</w:t>
      </w:r>
      <w:proofErr w:type="spellStart"/>
      <w:r w:rsidR="006F6EDF">
        <w:rPr>
          <w:lang w:val="en-CA"/>
        </w:rPr>
        <w:t>e.g</w:t>
      </w:r>
      <w:proofErr w:type="spellEnd"/>
      <w:r w:rsidR="006F6EDF">
        <w:rPr>
          <w:lang w:val="en-CA"/>
        </w:rPr>
        <w:t>, PIPA for pri</w:t>
      </w:r>
      <w:r w:rsidR="00980B2B">
        <w:rPr>
          <w:lang w:val="en-CA"/>
        </w:rPr>
        <w:t>mary care providers; FIPPA for health a</w:t>
      </w:r>
      <w:r w:rsidR="006F6EDF">
        <w:rPr>
          <w:lang w:val="en-CA"/>
        </w:rPr>
        <w:t>uthorities)</w:t>
      </w:r>
      <w:r w:rsidR="00E06515">
        <w:rPr>
          <w:lang w:val="en-CA"/>
        </w:rPr>
        <w:t>;</w:t>
      </w:r>
    </w:p>
    <w:p w14:paraId="1164954D" w14:textId="7A733E0D" w:rsidR="004C791B" w:rsidRDefault="00E06515" w:rsidP="006A4E17">
      <w:pPr>
        <w:pStyle w:val="ListParagraph"/>
        <w:numPr>
          <w:ilvl w:val="1"/>
          <w:numId w:val="29"/>
        </w:numPr>
        <w:spacing w:after="120"/>
        <w:ind w:left="993" w:hanging="426"/>
        <w:rPr>
          <w:lang w:val="en-CA"/>
        </w:rPr>
      </w:pPr>
      <w:r>
        <w:rPr>
          <w:lang w:val="en-CA"/>
        </w:rPr>
        <w:t>Legislation, regulations</w:t>
      </w:r>
      <w:r w:rsidR="006A4E17">
        <w:rPr>
          <w:lang w:val="en-CA"/>
        </w:rPr>
        <w:t xml:space="preserve"> or framework/guideline documents</w:t>
      </w:r>
      <w:r>
        <w:rPr>
          <w:lang w:val="en-CA"/>
        </w:rPr>
        <w:t xml:space="preserve"> almost invariably fail to provide operational definitions of key constructs such as “de-identified” or “anonymize</w:t>
      </w:r>
      <w:r w:rsidR="006F6EDF">
        <w:rPr>
          <w:lang w:val="en-CA"/>
        </w:rPr>
        <w:t>d”</w:t>
      </w:r>
      <w:r w:rsidR="004C791B">
        <w:rPr>
          <w:lang w:val="en-CA"/>
        </w:rPr>
        <w:t>.</w:t>
      </w:r>
    </w:p>
    <w:p w14:paraId="030E875E" w14:textId="254FF911" w:rsidR="004C791B" w:rsidRPr="004C791B" w:rsidRDefault="006A4E17" w:rsidP="006A4E17">
      <w:pPr>
        <w:pStyle w:val="ListParagraph"/>
        <w:numPr>
          <w:ilvl w:val="1"/>
          <w:numId w:val="29"/>
        </w:numPr>
        <w:spacing w:after="120"/>
        <w:ind w:left="993" w:hanging="426"/>
        <w:rPr>
          <w:lang w:val="en-CA"/>
        </w:rPr>
      </w:pPr>
      <w:r>
        <w:rPr>
          <w:lang w:val="en-CA"/>
        </w:rPr>
        <w:t>To meet legislated/regulatory/ethical obligations, d</w:t>
      </w:r>
      <w:r w:rsidR="004C791B">
        <w:rPr>
          <w:lang w:val="en-CA"/>
        </w:rPr>
        <w:t xml:space="preserve">ata access adjudicators </w:t>
      </w:r>
      <w:r w:rsidR="006F6EDF">
        <w:rPr>
          <w:lang w:val="en-CA"/>
        </w:rPr>
        <w:t>must navigate through</w:t>
      </w:r>
      <w:r w:rsidR="004C791B">
        <w:rPr>
          <w:lang w:val="en-CA"/>
        </w:rPr>
        <w:t xml:space="preserve"> an array of</w:t>
      </w:r>
      <w:r>
        <w:rPr>
          <w:lang w:val="en-CA"/>
        </w:rPr>
        <w:t xml:space="preserve"> possible</w:t>
      </w:r>
      <w:r w:rsidR="004C791B">
        <w:rPr>
          <w:lang w:val="en-CA"/>
        </w:rPr>
        <w:t xml:space="preserve"> approaches</w:t>
      </w:r>
      <w:r>
        <w:rPr>
          <w:lang w:val="en-CA"/>
        </w:rPr>
        <w:t xml:space="preserve">, </w:t>
      </w:r>
      <w:r w:rsidR="004C791B">
        <w:rPr>
          <w:lang w:val="en-CA"/>
        </w:rPr>
        <w:t>bu</w:t>
      </w:r>
      <w:r w:rsidR="006F6EDF">
        <w:rPr>
          <w:lang w:val="en-CA"/>
        </w:rPr>
        <w:t>t</w:t>
      </w:r>
      <w:r w:rsidR="004C791B">
        <w:rPr>
          <w:lang w:val="en-CA"/>
        </w:rPr>
        <w:t xml:space="preserve"> the sources of those obligations do not address the key question of which type or level of de-identification is required for a given disclosure.</w:t>
      </w:r>
    </w:p>
    <w:p w14:paraId="7E22ECC7" w14:textId="055E7AC0" w:rsidR="00E06515" w:rsidRDefault="00E06515" w:rsidP="000444E0">
      <w:pPr>
        <w:pStyle w:val="ListParagraph"/>
        <w:numPr>
          <w:ilvl w:val="0"/>
          <w:numId w:val="29"/>
        </w:numPr>
        <w:spacing w:after="120"/>
        <w:rPr>
          <w:lang w:val="en-CA"/>
        </w:rPr>
      </w:pPr>
      <w:r>
        <w:rPr>
          <w:lang w:val="en-CA"/>
        </w:rPr>
        <w:t>Existing de-identification methodologies “work” for datasets that contain small numbers of demographic features</w:t>
      </w:r>
      <w:r w:rsidR="00980B2B">
        <w:rPr>
          <w:lang w:val="en-CA"/>
        </w:rPr>
        <w:t xml:space="preserve"> (</w:t>
      </w:r>
      <w:r>
        <w:rPr>
          <w:lang w:val="en-CA"/>
        </w:rPr>
        <w:t>e.g.,</w:t>
      </w:r>
      <w:r w:rsidR="00980B2B">
        <w:rPr>
          <w:lang w:val="en-CA"/>
        </w:rPr>
        <w:t xml:space="preserve"> </w:t>
      </w:r>
      <w:r w:rsidR="006F6EDF">
        <w:rPr>
          <w:lang w:val="en-CA"/>
        </w:rPr>
        <w:t>d</w:t>
      </w:r>
      <w:r>
        <w:rPr>
          <w:lang w:val="en-CA"/>
        </w:rPr>
        <w:t xml:space="preserve">ate of </w:t>
      </w:r>
      <w:r w:rsidR="006F6EDF">
        <w:rPr>
          <w:lang w:val="en-CA"/>
        </w:rPr>
        <w:t>b</w:t>
      </w:r>
      <w:r>
        <w:rPr>
          <w:lang w:val="en-CA"/>
        </w:rPr>
        <w:t xml:space="preserve">irth, postal code) and a </w:t>
      </w:r>
      <w:r w:rsidR="00BA0795">
        <w:rPr>
          <w:lang w:val="en-CA"/>
        </w:rPr>
        <w:t xml:space="preserve">very circumscribed set of clinical </w:t>
      </w:r>
      <w:r w:rsidR="00BA0795">
        <w:rPr>
          <w:lang w:val="en-CA"/>
        </w:rPr>
        <w:lastRenderedPageBreak/>
        <w:t xml:space="preserve">attributes, </w:t>
      </w:r>
      <w:r>
        <w:rPr>
          <w:lang w:val="en-CA"/>
        </w:rPr>
        <w:t>e.g., a single diagnosis made at a single point in time in a single setting</w:t>
      </w:r>
      <w:r w:rsidR="00BA0795">
        <w:rPr>
          <w:lang w:val="en-CA"/>
        </w:rPr>
        <w:t xml:space="preserve">.  </w:t>
      </w:r>
      <w:r>
        <w:rPr>
          <w:lang w:val="en-CA"/>
        </w:rPr>
        <w:t xml:space="preserve">However, they do not </w:t>
      </w:r>
      <w:r w:rsidR="00BA0795">
        <w:rPr>
          <w:lang w:val="en-CA"/>
        </w:rPr>
        <w:t xml:space="preserve">scale out to </w:t>
      </w:r>
      <w:r>
        <w:rPr>
          <w:lang w:val="en-CA"/>
        </w:rPr>
        <w:t xml:space="preserve">the typical datasets </w:t>
      </w:r>
      <w:r w:rsidR="00980B2B">
        <w:rPr>
          <w:lang w:val="en-CA"/>
        </w:rPr>
        <w:t>required</w:t>
      </w:r>
      <w:r w:rsidR="00BA0795">
        <w:rPr>
          <w:lang w:val="en-CA"/>
        </w:rPr>
        <w:t xml:space="preserve"> from source clinical information systems to optimize </w:t>
      </w:r>
      <w:r w:rsidR="006F6EDF">
        <w:rPr>
          <w:lang w:val="en-CA"/>
        </w:rPr>
        <w:t xml:space="preserve">point-of-service </w:t>
      </w:r>
      <w:r w:rsidR="004C791B">
        <w:rPr>
          <w:lang w:val="en-CA"/>
        </w:rPr>
        <w:t>care delivery processes or service system operations</w:t>
      </w:r>
      <w:r w:rsidR="006A4E17">
        <w:rPr>
          <w:lang w:val="en-CA"/>
        </w:rPr>
        <w:t xml:space="preserve"> or planning or performance monitoring</w:t>
      </w:r>
      <w:r w:rsidR="00281EFA">
        <w:rPr>
          <w:lang w:val="en-CA"/>
        </w:rPr>
        <w:t xml:space="preserve"> – see Moselle, Robertson &amp; Koval (2019).</w:t>
      </w:r>
      <w:r w:rsidR="00281EFA">
        <w:rPr>
          <w:rStyle w:val="FootnoteReference"/>
          <w:lang w:val="en-CA"/>
        </w:rPr>
        <w:footnoteReference w:id="1"/>
      </w:r>
    </w:p>
    <w:p w14:paraId="7AA76A5B" w14:textId="1C905670" w:rsidR="000444E0" w:rsidRDefault="006F6EDF" w:rsidP="000444E0">
      <w:pPr>
        <w:pStyle w:val="ListParagraph"/>
        <w:numPr>
          <w:ilvl w:val="0"/>
          <w:numId w:val="29"/>
        </w:numPr>
        <w:spacing w:after="120"/>
        <w:rPr>
          <w:lang w:val="en-CA"/>
        </w:rPr>
      </w:pPr>
      <w:r>
        <w:rPr>
          <w:lang w:val="en-CA"/>
        </w:rPr>
        <w:t xml:space="preserve">Parties </w:t>
      </w:r>
      <w:r w:rsidR="000444E0">
        <w:rPr>
          <w:lang w:val="en-CA"/>
        </w:rPr>
        <w:t xml:space="preserve">with custody and control of health data </w:t>
      </w:r>
      <w:r w:rsidR="00BA0795">
        <w:rPr>
          <w:lang w:val="en-CA"/>
        </w:rPr>
        <w:t>will typically need to cast a broad cross-jurisdictional net to find the d</w:t>
      </w:r>
      <w:r w:rsidR="000444E0">
        <w:rPr>
          <w:lang w:val="en-CA"/>
        </w:rPr>
        <w:t xml:space="preserve">iverse array of parties </w:t>
      </w:r>
      <w:r w:rsidR="00BA0795">
        <w:rPr>
          <w:lang w:val="en-CA"/>
        </w:rPr>
        <w:t xml:space="preserve">who possess </w:t>
      </w:r>
      <w:r w:rsidR="006A4E17">
        <w:rPr>
          <w:lang w:val="en-CA"/>
        </w:rPr>
        <w:t>combination</w:t>
      </w:r>
      <w:r w:rsidR="00BA0795">
        <w:rPr>
          <w:lang w:val="en-CA"/>
        </w:rPr>
        <w:t>s</w:t>
      </w:r>
      <w:r w:rsidR="006A4E17">
        <w:rPr>
          <w:lang w:val="en-CA"/>
        </w:rPr>
        <w:t xml:space="preserve"> of clinical domain knowledge and </w:t>
      </w:r>
      <w:r w:rsidR="000444E0">
        <w:rPr>
          <w:lang w:val="en-CA"/>
        </w:rPr>
        <w:t xml:space="preserve">up-to-date </w:t>
      </w:r>
      <w:r w:rsidR="00BA0795">
        <w:rPr>
          <w:lang w:val="en-CA"/>
        </w:rPr>
        <w:t xml:space="preserve">“data scientific” expertise. Processes that ‘work” for internal uses of data by within-jurisdiction employees for purposes of quality assurance/quality improvement are not sufficient. </w:t>
      </w:r>
    </w:p>
    <w:p w14:paraId="53441234" w14:textId="4AB4B726" w:rsidR="000444E0" w:rsidRPr="000444E0" w:rsidRDefault="000444E0" w:rsidP="006F6EDF">
      <w:pPr>
        <w:spacing w:after="120"/>
        <w:rPr>
          <w:lang w:val="en-CA"/>
        </w:rPr>
      </w:pPr>
      <w:r>
        <w:rPr>
          <w:lang w:val="en-CA"/>
        </w:rPr>
        <w:t xml:space="preserve">All of the factors </w:t>
      </w:r>
      <w:r w:rsidR="00980B2B">
        <w:rPr>
          <w:lang w:val="en-CA"/>
        </w:rPr>
        <w:t>point to</w:t>
      </w:r>
      <w:r>
        <w:rPr>
          <w:lang w:val="en-CA"/>
        </w:rPr>
        <w:t xml:space="preserve"> a need for cleanly </w:t>
      </w:r>
      <w:r w:rsidRPr="000444E0">
        <w:rPr>
          <w:lang w:val="en-CA"/>
        </w:rPr>
        <w:t>and clearly articulated procedures that “unde</w:t>
      </w:r>
      <w:r>
        <w:rPr>
          <w:lang w:val="en-CA"/>
        </w:rPr>
        <w:t xml:space="preserve">rstand” legislated/regulatory/policy obligations, </w:t>
      </w:r>
      <w:r w:rsidR="00E61B15">
        <w:rPr>
          <w:lang w:val="en-CA"/>
        </w:rPr>
        <w:t xml:space="preserve">as well as </w:t>
      </w:r>
      <w:r w:rsidR="00BA0795">
        <w:rPr>
          <w:lang w:val="en-CA"/>
        </w:rPr>
        <w:t xml:space="preserve">complex, high-dimensional health service data. As well, </w:t>
      </w:r>
      <w:r w:rsidR="00980B2B">
        <w:rPr>
          <w:lang w:val="en-CA"/>
        </w:rPr>
        <w:t xml:space="preserve">the methodology </w:t>
      </w:r>
      <w:proofErr w:type="gramStart"/>
      <w:r w:rsidR="00E61B15">
        <w:rPr>
          <w:lang w:val="en-CA"/>
        </w:rPr>
        <w:t xml:space="preserve">must </w:t>
      </w:r>
      <w:r w:rsidR="006A4E17">
        <w:rPr>
          <w:lang w:val="en-CA"/>
        </w:rPr>
        <w:t xml:space="preserve"> grasp</w:t>
      </w:r>
      <w:proofErr w:type="gramEnd"/>
      <w:r w:rsidR="006A4E17">
        <w:rPr>
          <w:lang w:val="en-CA"/>
        </w:rPr>
        <w:t xml:space="preserve"> at a deep technical level the  </w:t>
      </w:r>
      <w:r w:rsidR="00BA0795">
        <w:rPr>
          <w:lang w:val="en-CA"/>
        </w:rPr>
        <w:t xml:space="preserve">statistical basis of </w:t>
      </w:r>
      <w:r w:rsidR="006A4E17">
        <w:rPr>
          <w:lang w:val="en-CA"/>
        </w:rPr>
        <w:t>procedures re</w:t>
      </w:r>
      <w:r w:rsidR="00E61B15">
        <w:rPr>
          <w:lang w:val="en-CA"/>
        </w:rPr>
        <w:t>quired to meet those obligations</w:t>
      </w:r>
      <w:r w:rsidR="00BA0795">
        <w:rPr>
          <w:lang w:val="en-CA"/>
        </w:rPr>
        <w:t xml:space="preserve"> – and demonstrate that obligations have been fulfilled.  Further, t</w:t>
      </w:r>
      <w:r w:rsidR="00E61B15">
        <w:rPr>
          <w:lang w:val="en-CA"/>
        </w:rPr>
        <w:t xml:space="preserve">he procedures must also understand the </w:t>
      </w:r>
      <w:r>
        <w:rPr>
          <w:lang w:val="en-CA"/>
        </w:rPr>
        <w:t xml:space="preserve">need to preserve the </w:t>
      </w:r>
      <w:proofErr w:type="gramStart"/>
      <w:r>
        <w:rPr>
          <w:lang w:val="en-CA"/>
        </w:rPr>
        <w:t xml:space="preserve">analytical </w:t>
      </w:r>
      <w:r w:rsidR="00E61B15">
        <w:rPr>
          <w:lang w:val="en-CA"/>
        </w:rPr>
        <w:t xml:space="preserve"> integrity</w:t>
      </w:r>
      <w:proofErr w:type="gramEnd"/>
      <w:r w:rsidR="00E61B15">
        <w:rPr>
          <w:lang w:val="en-CA"/>
        </w:rPr>
        <w:t xml:space="preserve"> of </w:t>
      </w:r>
      <w:r>
        <w:rPr>
          <w:lang w:val="en-CA"/>
        </w:rPr>
        <w:t>the de-identified data</w:t>
      </w:r>
      <w:r w:rsidR="00BA0795">
        <w:rPr>
          <w:lang w:val="en-CA"/>
        </w:rPr>
        <w:t>.  If the statistically-derived products a</w:t>
      </w:r>
      <w:r w:rsidR="002041D2">
        <w:rPr>
          <w:lang w:val="en-CA"/>
        </w:rPr>
        <w:t xml:space="preserve">re going to be </w:t>
      </w:r>
      <w:r w:rsidR="00E61B15">
        <w:rPr>
          <w:lang w:val="en-CA"/>
        </w:rPr>
        <w:t>fit for purpose</w:t>
      </w:r>
      <w:r w:rsidR="00BA0795">
        <w:rPr>
          <w:lang w:val="en-CA"/>
        </w:rPr>
        <w:t xml:space="preserve">, </w:t>
      </w:r>
      <w:r w:rsidR="00E61B15">
        <w:rPr>
          <w:lang w:val="en-CA"/>
        </w:rPr>
        <w:t xml:space="preserve">the data must be fit for analysis. </w:t>
      </w:r>
    </w:p>
    <w:p w14:paraId="725EED6A" w14:textId="1679D055" w:rsidR="00F14450" w:rsidRPr="00074ED3" w:rsidRDefault="001A1410" w:rsidP="00074ED3">
      <w:pPr>
        <w:rPr>
          <w:b/>
          <w:bCs/>
          <w:sz w:val="24"/>
          <w:szCs w:val="24"/>
          <w:lang w:val="en-CA"/>
        </w:rPr>
      </w:pPr>
      <w:r w:rsidRPr="00074ED3">
        <w:rPr>
          <w:b/>
          <w:bCs/>
          <w:sz w:val="24"/>
          <w:szCs w:val="24"/>
          <w:lang w:val="en-CA"/>
        </w:rPr>
        <w:t xml:space="preserve">What is contained in the framework set out in the </w:t>
      </w:r>
      <w:proofErr w:type="spellStart"/>
      <w:r w:rsidRPr="00074ED3">
        <w:rPr>
          <w:b/>
          <w:bCs/>
          <w:sz w:val="24"/>
          <w:szCs w:val="24"/>
          <w:lang w:val="en-CA"/>
        </w:rPr>
        <w:t>powerpoint</w:t>
      </w:r>
      <w:proofErr w:type="spellEnd"/>
      <w:r w:rsidRPr="00074ED3">
        <w:rPr>
          <w:b/>
          <w:bCs/>
          <w:sz w:val="24"/>
          <w:szCs w:val="24"/>
          <w:lang w:val="en-CA"/>
        </w:rPr>
        <w:t>?</w:t>
      </w:r>
    </w:p>
    <w:p w14:paraId="5A3A00BA" w14:textId="028CFB78" w:rsidR="001A1410" w:rsidRDefault="001A1410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>Slide</w:t>
      </w:r>
      <w:r w:rsidR="00E53C5F">
        <w:rPr>
          <w:lang w:val="en-CA"/>
        </w:rPr>
        <w:t>s</w:t>
      </w:r>
      <w:r>
        <w:rPr>
          <w:lang w:val="en-CA"/>
        </w:rPr>
        <w:t xml:space="preserve"> #11 - 13 – summary view of data disclosure privacy risk model – this provides the basis for everything else contained in the presentation. It provides a context for operational definitions of key terms such as “de-identified” or “risk”.  </w:t>
      </w:r>
    </w:p>
    <w:p w14:paraId="1CA323B8" w14:textId="33563D25" w:rsidR="001A1410" w:rsidRDefault="001A1410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 xml:space="preserve">Slide #4 – data de-identification options – forming a rough hierarchy – the framework must adjudicate among these options, in keeping with various obligations related to </w:t>
      </w:r>
      <w:r w:rsidR="00074ED3">
        <w:rPr>
          <w:lang w:val="en-CA"/>
        </w:rPr>
        <w:t xml:space="preserve">a given </w:t>
      </w:r>
      <w:r>
        <w:rPr>
          <w:lang w:val="en-CA"/>
        </w:rPr>
        <w:t>data disclosure.</w:t>
      </w:r>
    </w:p>
    <w:p w14:paraId="25F6726D" w14:textId="7597E57C" w:rsidR="001A1410" w:rsidRDefault="001A1410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>Slide</w:t>
      </w:r>
      <w:r w:rsidR="00E53C5F">
        <w:rPr>
          <w:lang w:val="en-CA"/>
        </w:rPr>
        <w:t>s</w:t>
      </w:r>
      <w:r>
        <w:rPr>
          <w:lang w:val="en-CA"/>
        </w:rPr>
        <w:t xml:space="preserve"> #4-8 – limitations associated with common data de-identification approaches.</w:t>
      </w:r>
    </w:p>
    <w:p w14:paraId="0AEEFC84" w14:textId="4F58F155" w:rsidR="001A1410" w:rsidRDefault="001A1410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>Slides #16-1</w:t>
      </w:r>
      <w:r w:rsidR="00E53C5F">
        <w:rPr>
          <w:lang w:val="en-CA"/>
        </w:rPr>
        <w:t>9</w:t>
      </w:r>
      <w:r>
        <w:rPr>
          <w:lang w:val="en-CA"/>
        </w:rPr>
        <w:t xml:space="preserve"> – what are the components of “me” in “my data”? </w:t>
      </w:r>
      <w:r w:rsidR="00E53C5F">
        <w:rPr>
          <w:lang w:val="en-CA"/>
        </w:rPr>
        <w:t>The distinction between “me” as a distinct individual and “me” as an exemplar of the properties of a cohort.</w:t>
      </w:r>
    </w:p>
    <w:p w14:paraId="77894A1A" w14:textId="64DDE5E6" w:rsidR="001A1410" w:rsidRDefault="001A1410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 xml:space="preserve"> </w:t>
      </w:r>
      <w:r w:rsidR="00E53C5F">
        <w:rPr>
          <w:lang w:val="en-CA"/>
        </w:rPr>
        <w:t>Slides #20, 21 – the</w:t>
      </w:r>
      <w:r w:rsidR="00074ED3">
        <w:rPr>
          <w:lang w:val="en-CA"/>
        </w:rPr>
        <w:t xml:space="preserve"> de-identification </w:t>
      </w:r>
      <w:r w:rsidR="00E53C5F">
        <w:rPr>
          <w:lang w:val="en-CA"/>
        </w:rPr>
        <w:t xml:space="preserve">challenge – </w:t>
      </w:r>
      <w:r w:rsidR="00980B2B">
        <w:rPr>
          <w:lang w:val="en-CA"/>
        </w:rPr>
        <w:t xml:space="preserve">how to </w:t>
      </w:r>
      <w:r w:rsidR="00E53C5F">
        <w:rPr>
          <w:lang w:val="en-CA"/>
        </w:rPr>
        <w:t>mask “me” but retain my generic properties</w:t>
      </w:r>
      <w:r w:rsidR="00074ED3">
        <w:rPr>
          <w:lang w:val="en-CA"/>
        </w:rPr>
        <w:t xml:space="preserve">. </w:t>
      </w:r>
    </w:p>
    <w:p w14:paraId="769AA3D2" w14:textId="2FC99055" w:rsidR="00E53C5F" w:rsidRDefault="00E53C5F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>Slides #22, 23 – Component #1 of the model – identifiability of people and their attributes “in the world”</w:t>
      </w:r>
      <w:r w:rsidR="00980B2B">
        <w:rPr>
          <w:lang w:val="en-CA"/>
        </w:rPr>
        <w:t>.</w:t>
      </w:r>
    </w:p>
    <w:p w14:paraId="519054C6" w14:textId="3C57C685" w:rsidR="00E53C5F" w:rsidRDefault="00E53C5F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>Slides #24, 25 – Component #2</w:t>
      </w:r>
      <w:r w:rsidR="00074ED3">
        <w:rPr>
          <w:lang w:val="en-CA"/>
        </w:rPr>
        <w:t xml:space="preserve"> </w:t>
      </w:r>
      <w:r>
        <w:rPr>
          <w:lang w:val="en-CA"/>
        </w:rPr>
        <w:t>– distinguishability of cases in the dataset</w:t>
      </w:r>
      <w:r w:rsidR="00074ED3">
        <w:rPr>
          <w:lang w:val="en-CA"/>
        </w:rPr>
        <w:t xml:space="preserve"> – mathematical risk, i.e., </w:t>
      </w:r>
      <w:r>
        <w:rPr>
          <w:lang w:val="en-CA"/>
        </w:rPr>
        <w:t>statistical disclosure control-based definition of “risk”.</w:t>
      </w:r>
    </w:p>
    <w:p w14:paraId="33A0F7E0" w14:textId="3BB2AEFB" w:rsidR="00E53C5F" w:rsidRDefault="00E53C5F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>Slides #26, 27 – Component #3</w:t>
      </w:r>
      <w:r w:rsidR="00074ED3">
        <w:rPr>
          <w:lang w:val="en-CA"/>
        </w:rPr>
        <w:t xml:space="preserve"> </w:t>
      </w:r>
      <w:r>
        <w:rPr>
          <w:lang w:val="en-CA"/>
        </w:rPr>
        <w:t>– re-</w:t>
      </w:r>
      <w:proofErr w:type="spellStart"/>
      <w:r>
        <w:rPr>
          <w:lang w:val="en-CA"/>
        </w:rPr>
        <w:t>identifiability</w:t>
      </w:r>
      <w:proofErr w:type="spellEnd"/>
      <w:r>
        <w:rPr>
          <w:lang w:val="en-CA"/>
        </w:rPr>
        <w:t xml:space="preserve"> of distinguished cases in the dataset.</w:t>
      </w:r>
    </w:p>
    <w:p w14:paraId="6370C531" w14:textId="324AD23B" w:rsidR="00E53C5F" w:rsidRDefault="00E53C5F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>Slides #29 – 31 – Component #4 – the “being reasonable” component – what do we mean by “pragmatic/contextualized risk”; game-theoretic definition of “risk”</w:t>
      </w:r>
      <w:r w:rsidR="00980B2B">
        <w:rPr>
          <w:lang w:val="en-CA"/>
        </w:rPr>
        <w:t>; when does “zero risk” make sense?</w:t>
      </w:r>
      <w:r>
        <w:rPr>
          <w:lang w:val="en-CA"/>
        </w:rPr>
        <w:t xml:space="preserve"> </w:t>
      </w:r>
    </w:p>
    <w:p w14:paraId="5BBBA55E" w14:textId="7910A229" w:rsidR="00E53C5F" w:rsidRDefault="00E53C5F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 xml:space="preserve">Slides 32, 33 – next steps – </w:t>
      </w:r>
      <w:r w:rsidR="00980B2B">
        <w:rPr>
          <w:lang w:val="en-CA"/>
        </w:rPr>
        <w:t xml:space="preserve">need for </w:t>
      </w:r>
      <w:r>
        <w:rPr>
          <w:lang w:val="en-CA"/>
        </w:rPr>
        <w:t xml:space="preserve">detailed standard operating procedures to operationalize and document each </w:t>
      </w:r>
      <w:r w:rsidR="00074ED3">
        <w:rPr>
          <w:lang w:val="en-CA"/>
        </w:rPr>
        <w:t>of the four components.</w:t>
      </w:r>
    </w:p>
    <w:p w14:paraId="3C90E003" w14:textId="3621954B" w:rsidR="00E53C5F" w:rsidRPr="001A1410" w:rsidRDefault="00E53C5F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 xml:space="preserve">[Not included in </w:t>
      </w:r>
      <w:proofErr w:type="spellStart"/>
      <w:r>
        <w:rPr>
          <w:lang w:val="en-CA"/>
        </w:rPr>
        <w:t>powerpoint</w:t>
      </w:r>
      <w:proofErr w:type="spellEnd"/>
      <w:r>
        <w:rPr>
          <w:lang w:val="en-CA"/>
        </w:rPr>
        <w:t>]</w:t>
      </w:r>
      <w:r w:rsidR="00074ED3">
        <w:rPr>
          <w:lang w:val="en-CA"/>
        </w:rPr>
        <w:t xml:space="preserve"> but is available on request]</w:t>
      </w:r>
      <w:r>
        <w:rPr>
          <w:lang w:val="en-CA"/>
        </w:rPr>
        <w:t xml:space="preserve"> – framework for characterizing data disclosure scenarios – to be used to “stress test” a candidate data disclosure/de-identification methodology and determine where/how it might</w:t>
      </w:r>
      <w:r w:rsidR="00074ED3">
        <w:rPr>
          <w:lang w:val="en-CA"/>
        </w:rPr>
        <w:t xml:space="preserve"> apply.</w:t>
      </w:r>
    </w:p>
    <w:p w14:paraId="586FAE96" w14:textId="3A8A8A7E" w:rsidR="00C515C6" w:rsidRPr="0055453A" w:rsidRDefault="00C515C6" w:rsidP="00C515C6">
      <w:pPr>
        <w:rPr>
          <w:b/>
          <w:bCs/>
          <w:sz w:val="24"/>
          <w:szCs w:val="24"/>
          <w:lang w:val="en-CA"/>
        </w:rPr>
      </w:pPr>
      <w:r w:rsidRPr="0055453A">
        <w:rPr>
          <w:b/>
          <w:bCs/>
          <w:sz w:val="24"/>
          <w:szCs w:val="24"/>
          <w:lang w:val="en-CA"/>
        </w:rPr>
        <w:t>Possible next steps</w:t>
      </w:r>
    </w:p>
    <w:p w14:paraId="47D34765" w14:textId="77777777" w:rsidR="00074ED3" w:rsidRDefault="00074ED3" w:rsidP="00074ED3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>Constitute a group with appropriate skills/knowledge to evaluate the model.</w:t>
      </w:r>
    </w:p>
    <w:p w14:paraId="6FEFD358" w14:textId="292AE91D" w:rsidR="00C515C6" w:rsidRDefault="00E53C5F" w:rsidP="00C515C6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>Generate a working s</w:t>
      </w:r>
      <w:r w:rsidR="00074ED3">
        <w:rPr>
          <w:lang w:val="en-CA"/>
        </w:rPr>
        <w:t>et of data disclosure scenarios, spanning community, health authority and ministry data sources.</w:t>
      </w:r>
    </w:p>
    <w:p w14:paraId="6A62E0C5" w14:textId="3E7B661A" w:rsidR="002709DD" w:rsidRDefault="002709DD" w:rsidP="00C515C6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 xml:space="preserve">Specify </w:t>
      </w:r>
      <w:r w:rsidR="00074ED3">
        <w:rPr>
          <w:lang w:val="en-CA"/>
        </w:rPr>
        <w:t xml:space="preserve">detailed </w:t>
      </w:r>
      <w:r>
        <w:rPr>
          <w:lang w:val="en-CA"/>
        </w:rPr>
        <w:t>standard operating procedures</w:t>
      </w:r>
      <w:r w:rsidR="00074ED3">
        <w:rPr>
          <w:lang w:val="en-CA"/>
        </w:rPr>
        <w:t xml:space="preserve">, </w:t>
      </w:r>
      <w:r>
        <w:rPr>
          <w:lang w:val="en-CA"/>
        </w:rPr>
        <w:t xml:space="preserve">generate working versions of </w:t>
      </w:r>
      <w:r w:rsidR="00E52344">
        <w:rPr>
          <w:lang w:val="en-CA"/>
        </w:rPr>
        <w:t xml:space="preserve">template </w:t>
      </w:r>
      <w:r>
        <w:rPr>
          <w:lang w:val="en-CA"/>
        </w:rPr>
        <w:t>forms to document</w:t>
      </w:r>
      <w:r w:rsidR="00E52344">
        <w:rPr>
          <w:lang w:val="en-CA"/>
        </w:rPr>
        <w:t xml:space="preserve"> the results of the operations, provide benchmarks for evaluating measures of risk.</w:t>
      </w:r>
    </w:p>
    <w:p w14:paraId="406400E6" w14:textId="292D2F90" w:rsidR="00B578BF" w:rsidRPr="00980B2B" w:rsidRDefault="00E53C5F" w:rsidP="00980B2B">
      <w:pPr>
        <w:pStyle w:val="ListParagraph"/>
        <w:numPr>
          <w:ilvl w:val="0"/>
          <w:numId w:val="27"/>
        </w:numPr>
        <w:rPr>
          <w:lang w:val="en-CA"/>
        </w:rPr>
      </w:pPr>
      <w:r w:rsidRPr="002709DD">
        <w:rPr>
          <w:lang w:val="en-CA"/>
        </w:rPr>
        <w:t xml:space="preserve">Work through </w:t>
      </w:r>
      <w:r w:rsidR="00074ED3">
        <w:rPr>
          <w:lang w:val="en-CA"/>
        </w:rPr>
        <w:t>the standard operating procedures</w:t>
      </w:r>
      <w:r w:rsidRPr="002709DD">
        <w:rPr>
          <w:lang w:val="en-CA"/>
        </w:rPr>
        <w:t xml:space="preserve"> with a </w:t>
      </w:r>
      <w:r w:rsidR="00E52344">
        <w:rPr>
          <w:lang w:val="en-CA"/>
        </w:rPr>
        <w:t xml:space="preserve">privacy-risk-challenging </w:t>
      </w:r>
      <w:r w:rsidRPr="002709DD">
        <w:rPr>
          <w:lang w:val="en-CA"/>
        </w:rPr>
        <w:t xml:space="preserve">but representative set of data contents, including </w:t>
      </w:r>
      <w:r w:rsidR="002709DD" w:rsidRPr="002709DD">
        <w:rPr>
          <w:lang w:val="en-CA"/>
        </w:rPr>
        <w:t xml:space="preserve">primary care data (e.g., MSP billing data with diagnoses); Health Authority data (including full cross-continuum encounter data and a subset of orders, </w:t>
      </w:r>
      <w:proofErr w:type="spellStart"/>
      <w:proofErr w:type="gramStart"/>
      <w:r w:rsidR="002709DD" w:rsidRPr="002709DD">
        <w:rPr>
          <w:lang w:val="en-CA"/>
        </w:rPr>
        <w:t>e.g</w:t>
      </w:r>
      <w:proofErr w:type="spellEnd"/>
      <w:r w:rsidR="002709DD" w:rsidRPr="002709DD">
        <w:rPr>
          <w:lang w:val="en-CA"/>
        </w:rPr>
        <w:t>,.</w:t>
      </w:r>
      <w:proofErr w:type="gramEnd"/>
      <w:r w:rsidR="002709DD" w:rsidRPr="002709DD">
        <w:rPr>
          <w:lang w:val="en-CA"/>
        </w:rPr>
        <w:t xml:space="preserve"> </w:t>
      </w:r>
      <w:r w:rsidR="00E52344">
        <w:rPr>
          <w:lang w:val="en-CA"/>
        </w:rPr>
        <w:t xml:space="preserve">for </w:t>
      </w:r>
      <w:r w:rsidR="002709DD" w:rsidRPr="002709DD">
        <w:rPr>
          <w:lang w:val="en-CA"/>
        </w:rPr>
        <w:t>medications); Ministry of Health data (e.g., pharmacy data).</w:t>
      </w:r>
      <w:r w:rsidR="00074ED3">
        <w:rPr>
          <w:lang w:val="en-CA"/>
        </w:rPr>
        <w:t xml:space="preserve"> Document the processes and products with the forms associated with each component</w:t>
      </w:r>
      <w:r w:rsidR="00E52344">
        <w:rPr>
          <w:lang w:val="en-CA"/>
        </w:rPr>
        <w:t xml:space="preserve"> of the de-identification model</w:t>
      </w:r>
      <w:bookmarkStart w:id="0" w:name="_GoBack"/>
      <w:bookmarkEnd w:id="0"/>
      <w:r w:rsidR="00074ED3">
        <w:rPr>
          <w:lang w:val="en-CA"/>
        </w:rPr>
        <w:t xml:space="preserve">. </w:t>
      </w:r>
    </w:p>
    <w:sectPr w:rsidR="00B578BF" w:rsidRPr="00980B2B" w:rsidSect="00B25474">
      <w:pgSz w:w="12240" w:h="15840"/>
      <w:pgMar w:top="1152" w:right="1152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3E424" w14:textId="77777777" w:rsidR="00281EFA" w:rsidRDefault="00281EFA" w:rsidP="00281EFA">
      <w:r>
        <w:separator/>
      </w:r>
    </w:p>
  </w:endnote>
  <w:endnote w:type="continuationSeparator" w:id="0">
    <w:p w14:paraId="6126528F" w14:textId="77777777" w:rsidR="00281EFA" w:rsidRDefault="00281EFA" w:rsidP="00281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D523B" w14:textId="77777777" w:rsidR="00281EFA" w:rsidRDefault="00281EFA" w:rsidP="00281EFA">
      <w:r>
        <w:separator/>
      </w:r>
    </w:p>
  </w:footnote>
  <w:footnote w:type="continuationSeparator" w:id="0">
    <w:p w14:paraId="55B5FF9E" w14:textId="77777777" w:rsidR="00281EFA" w:rsidRDefault="00281EFA" w:rsidP="00281EFA">
      <w:r>
        <w:continuationSeparator/>
      </w:r>
    </w:p>
  </w:footnote>
  <w:footnote w:id="1">
    <w:p w14:paraId="5258D87E" w14:textId="64C44653" w:rsidR="00281EFA" w:rsidRPr="00281EFA" w:rsidRDefault="00281EF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 w:rsidRPr="00281EFA">
        <w:rPr>
          <w:sz w:val="18"/>
        </w:rPr>
        <w:t xml:space="preserve"> </w:t>
      </w:r>
      <w:r w:rsidRPr="00E302E6">
        <w:rPr>
          <w:i/>
          <w:sz w:val="18"/>
          <w:lang w:val="en-CA"/>
        </w:rPr>
        <w:t>“Real-world” de-identification of high-dimensional transactional health datasets</w:t>
      </w:r>
      <w:r w:rsidRPr="00E302E6">
        <w:rPr>
          <w:b/>
          <w:i/>
          <w:sz w:val="18"/>
          <w:lang w:val="en-CA"/>
        </w:rPr>
        <w:t>”.</w:t>
      </w:r>
      <w:r w:rsidRPr="00281EFA">
        <w:rPr>
          <w:sz w:val="18"/>
          <w:lang w:val="en-CA"/>
        </w:rPr>
        <w:t xml:space="preserve"> </w:t>
      </w:r>
      <w:r w:rsidR="00E302E6">
        <w:rPr>
          <w:sz w:val="18"/>
          <w:lang w:val="en-CA"/>
        </w:rPr>
        <w:t xml:space="preserve"> </w:t>
      </w:r>
      <w:r w:rsidRPr="00281EFA">
        <w:rPr>
          <w:sz w:val="18"/>
          <w:lang w:val="en-CA"/>
        </w:rPr>
        <w:t xml:space="preserve">Information Technology &amp; Communication in Healthcare proceedings, February 2019.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1C7E9E"/>
    <w:multiLevelType w:val="hybridMultilevel"/>
    <w:tmpl w:val="EA8C7C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853599"/>
    <w:multiLevelType w:val="hybridMultilevel"/>
    <w:tmpl w:val="53B015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31F223D"/>
    <w:multiLevelType w:val="hybridMultilevel"/>
    <w:tmpl w:val="BF9A1D7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0A7129E"/>
    <w:multiLevelType w:val="hybridMultilevel"/>
    <w:tmpl w:val="61FEE3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7736565"/>
    <w:multiLevelType w:val="hybridMultilevel"/>
    <w:tmpl w:val="1980C6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D4F83"/>
    <w:multiLevelType w:val="hybridMultilevel"/>
    <w:tmpl w:val="36B4E1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9C56E5"/>
    <w:multiLevelType w:val="hybridMultilevel"/>
    <w:tmpl w:val="847295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137ED"/>
    <w:multiLevelType w:val="hybridMultilevel"/>
    <w:tmpl w:val="3A645C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7"/>
  </w:num>
  <w:num w:numId="5">
    <w:abstractNumId w:val="15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4"/>
  </w:num>
  <w:num w:numId="21">
    <w:abstractNumId w:val="21"/>
  </w:num>
  <w:num w:numId="22">
    <w:abstractNumId w:val="11"/>
  </w:num>
  <w:num w:numId="23">
    <w:abstractNumId w:val="30"/>
  </w:num>
  <w:num w:numId="24">
    <w:abstractNumId w:val="29"/>
  </w:num>
  <w:num w:numId="25">
    <w:abstractNumId w:val="20"/>
  </w:num>
  <w:num w:numId="26">
    <w:abstractNumId w:val="14"/>
  </w:num>
  <w:num w:numId="27">
    <w:abstractNumId w:val="25"/>
  </w:num>
  <w:num w:numId="28">
    <w:abstractNumId w:val="28"/>
  </w:num>
  <w:num w:numId="29">
    <w:abstractNumId w:val="16"/>
  </w:num>
  <w:num w:numId="30">
    <w:abstractNumId w:val="1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67"/>
    <w:rsid w:val="00015E65"/>
    <w:rsid w:val="000444E0"/>
    <w:rsid w:val="00074ED3"/>
    <w:rsid w:val="00083704"/>
    <w:rsid w:val="000850EE"/>
    <w:rsid w:val="00086F9C"/>
    <w:rsid w:val="000A3375"/>
    <w:rsid w:val="000C553D"/>
    <w:rsid w:val="000D087F"/>
    <w:rsid w:val="000D6150"/>
    <w:rsid w:val="00115CB9"/>
    <w:rsid w:val="00163904"/>
    <w:rsid w:val="00186449"/>
    <w:rsid w:val="001A1410"/>
    <w:rsid w:val="001E2BFD"/>
    <w:rsid w:val="002041D2"/>
    <w:rsid w:val="0021753C"/>
    <w:rsid w:val="002304D1"/>
    <w:rsid w:val="00231D2B"/>
    <w:rsid w:val="00247577"/>
    <w:rsid w:val="00263DCB"/>
    <w:rsid w:val="002709DD"/>
    <w:rsid w:val="00281EFA"/>
    <w:rsid w:val="00292048"/>
    <w:rsid w:val="002B5E6F"/>
    <w:rsid w:val="002D1B76"/>
    <w:rsid w:val="003420B5"/>
    <w:rsid w:val="0036179E"/>
    <w:rsid w:val="00377D36"/>
    <w:rsid w:val="003C362D"/>
    <w:rsid w:val="00413E52"/>
    <w:rsid w:val="0041540F"/>
    <w:rsid w:val="00423181"/>
    <w:rsid w:val="00444109"/>
    <w:rsid w:val="004702D9"/>
    <w:rsid w:val="004C791B"/>
    <w:rsid w:val="004F4194"/>
    <w:rsid w:val="0051238A"/>
    <w:rsid w:val="00512DAF"/>
    <w:rsid w:val="0055453A"/>
    <w:rsid w:val="00583492"/>
    <w:rsid w:val="00632433"/>
    <w:rsid w:val="00645252"/>
    <w:rsid w:val="00645673"/>
    <w:rsid w:val="006509E2"/>
    <w:rsid w:val="00683DB2"/>
    <w:rsid w:val="006A4E17"/>
    <w:rsid w:val="006D3D74"/>
    <w:rsid w:val="006E03B8"/>
    <w:rsid w:val="006E6E4D"/>
    <w:rsid w:val="006F6EDF"/>
    <w:rsid w:val="007617EC"/>
    <w:rsid w:val="007924F3"/>
    <w:rsid w:val="007B06EE"/>
    <w:rsid w:val="007C3C6E"/>
    <w:rsid w:val="007C67AB"/>
    <w:rsid w:val="007D447E"/>
    <w:rsid w:val="007E51C8"/>
    <w:rsid w:val="00806F2E"/>
    <w:rsid w:val="0083569A"/>
    <w:rsid w:val="00841197"/>
    <w:rsid w:val="00867297"/>
    <w:rsid w:val="008C7530"/>
    <w:rsid w:val="008F5439"/>
    <w:rsid w:val="00906F5D"/>
    <w:rsid w:val="00963BC9"/>
    <w:rsid w:val="00976139"/>
    <w:rsid w:val="00980B2B"/>
    <w:rsid w:val="009840A1"/>
    <w:rsid w:val="00A4648D"/>
    <w:rsid w:val="00A60C21"/>
    <w:rsid w:val="00A70A1E"/>
    <w:rsid w:val="00A823BC"/>
    <w:rsid w:val="00A9204E"/>
    <w:rsid w:val="00AC3C42"/>
    <w:rsid w:val="00AE2E71"/>
    <w:rsid w:val="00B25474"/>
    <w:rsid w:val="00B40B0C"/>
    <w:rsid w:val="00B578BF"/>
    <w:rsid w:val="00B70A67"/>
    <w:rsid w:val="00BA0795"/>
    <w:rsid w:val="00BB2865"/>
    <w:rsid w:val="00BF0072"/>
    <w:rsid w:val="00BF11F9"/>
    <w:rsid w:val="00C515C6"/>
    <w:rsid w:val="00C55B31"/>
    <w:rsid w:val="00C573A2"/>
    <w:rsid w:val="00CD66AF"/>
    <w:rsid w:val="00D3486B"/>
    <w:rsid w:val="00D55D80"/>
    <w:rsid w:val="00D60B44"/>
    <w:rsid w:val="00D710DB"/>
    <w:rsid w:val="00D7651F"/>
    <w:rsid w:val="00DA0A18"/>
    <w:rsid w:val="00E06515"/>
    <w:rsid w:val="00E302E6"/>
    <w:rsid w:val="00E350E8"/>
    <w:rsid w:val="00E52344"/>
    <w:rsid w:val="00E53C5F"/>
    <w:rsid w:val="00E5427C"/>
    <w:rsid w:val="00E61B15"/>
    <w:rsid w:val="00F05603"/>
    <w:rsid w:val="00F05A84"/>
    <w:rsid w:val="00F14450"/>
    <w:rsid w:val="00F1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D32D"/>
  <w15:chartTrackingRefBased/>
  <w15:docId w15:val="{6D19B11C-CD73-4301-AF7A-DE7A9E6F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3B8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D1B7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33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0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281E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enneth.moselle@viha.ca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%20Moselle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4873beb7-5857-4685-be1f-d57550cc96c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2F7486-FC04-4EF4-820E-0B2043009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</Template>
  <TotalTime>0</TotalTime>
  <Pages>2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Moselle</dc:creator>
  <cp:keywords/>
  <dc:description/>
  <cp:lastModifiedBy>Moselle, Ken</cp:lastModifiedBy>
  <cp:revision>2</cp:revision>
  <dcterms:created xsi:type="dcterms:W3CDTF">2019-07-16T15:37:00Z</dcterms:created>
  <dcterms:modified xsi:type="dcterms:W3CDTF">2019-07-16T15:37:00Z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