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566FF4" w14:textId="77777777" w:rsidR="00663217" w:rsidRDefault="00DB1E65">
      <w:pPr>
        <w:pStyle w:val="GuideKicker"/>
      </w:pPr>
      <w:r>
        <w:t>QUICK USER GUIDE</w:t>
      </w:r>
    </w:p>
    <w:p w14:paraId="0B11A0C9" w14:textId="77777777" w:rsidR="00663217" w:rsidRDefault="00DB1E65">
      <w:pPr>
        <w:pStyle w:val="Title"/>
      </w:pPr>
      <w:r>
        <w:t>NAACCR LRI validator</w:t>
      </w:r>
    </w:p>
    <w:p w14:paraId="3E51FAE3" w14:textId="77777777" w:rsidR="00663217" w:rsidRDefault="00DB1E65">
      <w:pPr>
        <w:pStyle w:val="Subtitle"/>
      </w:pPr>
      <w:r>
        <w:t>Local validation for one HL7 v2.5.1 cancer-pathology message, with an optional online registry-content check.</w:t>
      </w:r>
    </w:p>
    <w:p w14:paraId="6A12B552" w14:textId="77777777" w:rsidR="00663217" w:rsidRDefault="00DB1E65">
      <w:pPr>
        <w:pStyle w:val="GuideMetadata"/>
      </w:pPr>
      <w:r>
        <w:t>Browser workflow | September 2026</w:t>
      </w:r>
    </w:p>
    <w:p w14:paraId="6AC30957" w14:textId="77777777" w:rsidR="00663217" w:rsidRDefault="00DB1E65">
      <w:pPr>
        <w:pStyle w:val="GuideCallout"/>
        <w:pBdr>
          <w:left w:val="single" w:sz="18" w:space="8" w:color="145A69"/>
        </w:pBdr>
        <w:shd w:val="clear" w:color="auto" w:fill="EAF4F6"/>
      </w:pPr>
      <w:r>
        <w:rPr>
          <w:b/>
        </w:rPr>
        <w:t xml:space="preserve">Scope: </w:t>
      </w:r>
      <w:r>
        <w:t>This validator is an implementation aid, not an HL7 or NIST certification service. Local syntax validation is offline. The SEER registry-content check is optional and online.</w:t>
      </w:r>
    </w:p>
    <w:p w14:paraId="606F46CE" w14:textId="39A208B9" w:rsidR="0018459C" w:rsidRDefault="0018459C">
      <w:pPr>
        <w:pStyle w:val="Heading1"/>
        <w:keepNext/>
      </w:pPr>
      <w:r>
        <w:t>Prerequisites</w:t>
      </w:r>
    </w:p>
    <w:p w14:paraId="5417EB8D" w14:textId="2CA839EE" w:rsidR="0018459C" w:rsidRDefault="0018459C" w:rsidP="0018459C">
      <w:pPr>
        <w:pStyle w:val="Heading2"/>
        <w:keepNext/>
      </w:pPr>
      <w:r>
        <w:t>Download and open</w:t>
      </w:r>
    </w:p>
    <w:p w14:paraId="1E935FC9" w14:textId="5195DE09" w:rsidR="00F16847" w:rsidRDefault="00F16847" w:rsidP="0018459C">
      <w:r>
        <w:t xml:space="preserve">The hosted validator at </w:t>
      </w:r>
      <w:hyperlink r:id="rId22">
        <w:r>
          <w:rPr>
            <w:rStyle w:val="Hyperlink"/>
          </w:rPr>
          <w:t>ihe-sdc-wg.github.io/LRI-Validator</w:t>
        </w:r>
      </w:hyperlink>
      <w:r>
        <w:t xml:space="preserve"> is the simplest option. It opens in a browser without a download or local server.</w:t>
      </w:r>
    </w:p>
    <w:p w14:paraId="7466AB17" w14:textId="014D989A" w:rsidR="0018459C" w:rsidRDefault="0018459C" w:rsidP="0018459C">
      <w:r>
        <w:t>To download a local copy from GitHub:</w:t>
      </w:r>
    </w:p>
    <w:p>
      <w:pPr>
        <w:pStyle w:val="ListNumber"/>
      </w:pPr>
      <w:r>
        <w:t xml:space="preserve">Open the </w:t>
      </w:r>
      <w:hyperlink r:id="rId8">
        <w:r>
          <w:rPr>
            <w:rStyle w:val="Hyperlink"/>
          </w:rPr>
          <w:t>LRI-Validator repository</w:t>
        </w:r>
      </w:hyperlink>
      <w:r>
        <w:t>.</w:t>
      </w:r>
    </w:p>
    <w:p>
      <w:pPr>
        <w:pStyle w:val="ListNumber"/>
      </w:pPr>
      <w:r>
        <w:t xml:space="preserve">Select the green Code button, then select Download ZIP. You can also use the </w:t>
      </w:r>
      <w:hyperlink r:id="rId23">
        <w:r>
          <w:rPr>
            <w:rStyle w:val="Hyperlink"/>
          </w:rPr>
          <w:t>direct main.zip download</w:t>
        </w:r>
      </w:hyperlink>
      <w:r>
        <w:t>.</w:t>
      </w:r>
    </w:p>
    <w:p>
      <w:pPr>
        <w:pStyle w:val="ListNumber"/>
      </w:pPr>
      <w:r>
        <w:t>Find LRI-Validator-main.zip in the folder where your browser saves downloads.</w:t>
      </w:r>
    </w:p>
    <w:p>
      <w:pPr>
        <w:pStyle w:val="ListNumber"/>
      </w:pPr>
      <w:r>
        <w:t>Extract LRI-Validator-main.zip.</w:t>
      </w:r>
    </w:p>
    <w:p>
      <w:pPr>
        <w:pStyle w:val="ListNumber"/>
      </w:pPr>
      <w:r>
        <w:t>Open the extracted LRI-Validator-main folder, then open its dist subfolder.</w:t>
      </w:r>
    </w:p>
    <w:p>
      <w:pPr>
        <w:pStyle w:val="ListNumber"/>
      </w:pPr>
      <w:r>
        <w:t>Open naaccr-lri-validator.html in a current version of Safari, Chrome, Firefox, or Edge.</w:t>
      </w:r>
    </w:p>
    <w:p>
      <w:pPr>
        <w:keepNext/>
        <w:jc w:val="center"/>
      </w:pPr>
      <w:r>
        <w:drawing>
          <wp:inline xmlns:a="http://schemas.openxmlformats.org/drawingml/2006/main" xmlns:pic="http://schemas.openxmlformats.org/drawingml/2006/picture">
            <wp:extent cx="5303520" cy="2808952"/>
            <wp:docPr id="7" name="Picture 7" descr="GitHub Code menu with Download ZIP near the bottom."/>
            <wp:cNvGraphicFramePr>
              <a:graphicFrameLocks noChangeAspect="1"/>
            </wp:cNvGraphicFramePr>
            <a:graphic>
              <a:graphicData uri="http://schemas.openxmlformats.org/drawingml/2006/picture">
                <pic:pic>
                  <pic:nvPicPr>
                    <pic:cNvPr id="0" name="download-zip-from-github.png"/>
                    <pic:cNvPicPr/>
                  </pic:nvPicPr>
                  <pic:blipFill>
                    <a:blip r:embed="rId24"/>
                    <a:stretch>
                      <a:fillRect/>
                    </a:stretch>
                  </pic:blipFill>
                  <pic:spPr>
                    <a:xfrm>
                      <a:off x="0" y="0"/>
                      <a:ext cx="5303520" cy="2808952"/>
                    </a:xfrm>
                    <a:prstGeom prst="rect"/>
                  </pic:spPr>
                </pic:pic>
              </a:graphicData>
            </a:graphic>
          </wp:inline>
        </w:drawing>
      </w:r>
    </w:p>
    <w:p>
      <w:pPr>
        <w:pStyle w:val="Caption"/>
        <w:keepLines/>
      </w:pPr>
      <w:r>
        <w:t>Figure 1. On GitHub, open Code and choose Download ZIP.</w:t>
      </w:r>
    </w:p>
    <w:p>
      <w:pPr>
        <w:pStyle w:val="GuideCallout"/>
      </w:pPr>
      <w:r>
        <w:rPr>
          <w:b/>
        </w:rPr>
        <w:t xml:space="preserve">File type: </w:t>
      </w:r>
      <w:r>
        <w:t xml:space="preserve">The .html extension is intentional. The validator is a local browser application, not a Windows .exe, and it does not require installation. The final path is </w:t>
      </w:r>
      <w:r>
        <w:rPr>
          <w:rFonts w:ascii="Aptos Mono" w:hAnsi="Aptos Mono"/>
        </w:rPr>
        <w:t>LRI-Validator-main/dist/naaccr-lri-validator.html</w:t>
      </w:r>
      <w:r>
        <w:t>.</w:t>
      </w:r>
    </w:p>
    <w:p w14:paraId="0980F962" w14:textId="0F1717CF" w:rsidR="00D60381" w:rsidRDefault="00252D4D" w:rsidP="00D60381">
      <w:pPr>
        <w:pStyle w:val="Heading2"/>
        <w:keepNext/>
      </w:pPr>
      <w:r>
        <w:t>SEER registry check</w:t>
      </w:r>
    </w:p>
    <w:p w14:paraId="075A6FAB" w14:textId="5ADA30EF" w:rsidR="00252D4D" w:rsidRPr="00252D4D" w:rsidRDefault="00252D4D" w:rsidP="00252D4D">
      <w:r>
        <w:t xml:space="preserve">The optional registry-content check sends only the message-derived codes and reference identifiers listed before you run it. These codes are sensitive clinical metadata. You need a free SEER API key from </w:t>
      </w:r>
      <w:hyperlink r:id="rId25">
        <w:r>
          <w:rPr>
            <w:rStyle w:val="Hyperlink"/>
          </w:rPr>
          <w:t>api.seer.cancer.gov/login</w:t>
        </w:r>
      </w:hyperlink>
      <w:r>
        <w:t>. The full HL7 message and direct identifiers are never sent.</w:t>
      </w:r>
    </w:p>
    <w:p w14:paraId="574A46CA" w14:textId="26BA9EEA" w:rsidR="00663217" w:rsidRDefault="00DB1E65">
      <w:pPr>
        <w:pStyle w:val="Heading1"/>
        <w:keepNext/>
      </w:pPr>
      <w:r>
        <w:t>Step 1: Add one message</w:t>
      </w:r>
    </w:p>
    <w:p w14:paraId="578A9AB5" w14:textId="3BD63F81" w:rsidR="00663217" w:rsidRDefault="00DB1E65">
      <w:r>
        <w:t>Open the validator HTML file in a browser. Paste one HL7 message into the editor, or choose one .hl7, .er7, or .txt file. CR, LF, and CRLF line endings are accepted. Complete MLLP framing is removed. Batches and multiple messages are rejected.</w:t>
      </w:r>
    </w:p>
    <w:p w14:paraId="7B5DFE19" w14:textId="77777777" w:rsidR="00663217" w:rsidRDefault="00DB1E65">
      <w:pPr>
        <w:keepNext/>
        <w:spacing w:before="40" w:after="0"/>
        <w:jc w:val="center"/>
      </w:pPr>
      <w:r>
        <w:drawing>
          <wp:inline xmlns:a="http://schemas.openxmlformats.org/drawingml/2006/main" xmlns:pic="http://schemas.openxmlformats.org/drawingml/2006/picture">
            <wp:extent cx="5715000" cy="2958472"/>
            <wp:docPr id="8" name="Picture 8" descr="Message input panel with the label Paste one HL7 message and controls for files and samples."/>
            <wp:cNvGraphicFramePr>
              <a:graphicFrameLocks noChangeAspect="1"/>
            </wp:cNvGraphicFramePr>
            <a:graphic>
              <a:graphicData uri="http://schemas.openxmlformats.org/drawingml/2006/picture">
                <pic:pic>
                  <pic:nvPicPr>
                    <pic:cNvPr id="0" name="figure-1-message-input.png"/>
                    <pic:cNvPicPr/>
                  </pic:nvPicPr>
                  <pic:blipFill>
                    <a:blip r:embed="rId26"/>
                    <a:stretch>
                      <a:fillRect/>
                    </a:stretch>
                  </pic:blipFill>
                  <pic:spPr>
                    <a:xfrm>
                      <a:off x="0" y="0"/>
                      <a:ext cx="5715000" cy="2958472"/>
                    </a:xfrm>
                    <a:prstGeom prst="rect"/>
                  </pic:spPr>
                </pic:pic>
              </a:graphicData>
            </a:graphic>
          </wp:inline>
        </w:drawing>
      </w:r>
    </w:p>
    <w:p w14:paraId="5FE9F7F2" w14:textId="77777777" w:rsidR="00663217" w:rsidRDefault="00DB1E65">
      <w:pPr>
        <w:pStyle w:val="Caption"/>
        <w:keepLines/>
      </w:pPr>
      <w:r>
        <w:t>Figure 2. Paste one HL7 message, choose a message file, or load a synthetic sample.</w:t>
      </w:r>
    </w:p>
    <w:p w14:paraId="2DD9EA4A" w14:textId="77777777" w:rsidR="00663217" w:rsidRDefault="00DB1E65">
      <w:pPr>
        <w:spacing w:after="0"/>
      </w:pPr>
      <w:r>
        <w:br w:type="page"/>
      </w:r>
    </w:p>
    <w:p w14:paraId="1BFDD787" w14:textId="77777777" w:rsidR="00663217" w:rsidRDefault="00DB1E65">
      <w:pPr>
        <w:pStyle w:val="Heading2"/>
        <w:keepNext/>
      </w:pPr>
      <w:r>
        <w:t>Use a synthetic sample</w:t>
      </w:r>
    </w:p>
    <w:p w14:paraId="744203D2" w14:textId="77777777" w:rsidR="00663217" w:rsidRDefault="00DB1E65">
      <w:r>
        <w:t>To learn the interface, choose a report style under Synthetic sample, then select Load sample. The bundled examples use independently synthetic data.</w:t>
      </w:r>
    </w:p>
    <w:p w14:paraId="23998ED2" w14:textId="77777777" w:rsidR="00663217" w:rsidRDefault="00DB1E65">
      <w:pPr>
        <w:keepNext/>
        <w:spacing w:before="40" w:after="0"/>
        <w:jc w:val="center"/>
      </w:pPr>
      <w:r>
        <w:drawing>
          <wp:inline xmlns:a="http://schemas.openxmlformats.org/drawingml/2006/main" xmlns:pic="http://schemas.openxmlformats.org/drawingml/2006/picture">
            <wp:extent cx="4572000" cy="382482"/>
            <wp:docPr id="9" name="Picture 9" descr="Synthetic sample selector with Breast synoptic summary selected and a Load sample button."/>
            <wp:cNvGraphicFramePr>
              <a:graphicFrameLocks noChangeAspect="1"/>
            </wp:cNvGraphicFramePr>
            <a:graphic>
              <a:graphicData uri="http://schemas.openxmlformats.org/drawingml/2006/picture">
                <pic:pic>
                  <pic:nvPicPr>
                    <pic:cNvPr id="0" name="figure-2-synthetic-sample.png"/>
                    <pic:cNvPicPr/>
                  </pic:nvPicPr>
                  <pic:blipFill>
                    <a:blip r:embed="rId27"/>
                    <a:stretch>
                      <a:fillRect/>
                    </a:stretch>
                  </pic:blipFill>
                  <pic:spPr>
                    <a:xfrm>
                      <a:off x="0" y="0"/>
                      <a:ext cx="4572000" cy="382482"/>
                    </a:xfrm>
                    <a:prstGeom prst="rect"/>
                  </pic:spPr>
                </pic:pic>
              </a:graphicData>
            </a:graphic>
          </wp:inline>
        </w:drawing>
      </w:r>
    </w:p>
    <w:p w14:paraId="5508C79C" w14:textId="77777777" w:rsidR="00663217" w:rsidRDefault="00DB1E65">
      <w:pPr>
        <w:pStyle w:val="Caption"/>
        <w:keepLines/>
      </w:pPr>
      <w:r>
        <w:t>Figure 3. Choose a bundled example, then select Load sample.</w:t>
      </w:r>
    </w:p>
    <w:p w14:paraId="4CDE83C9" w14:textId="77777777" w:rsidR="00663217" w:rsidRDefault="00DB1E65">
      <w:pPr>
        <w:pStyle w:val="Heading1"/>
        <w:keepNext/>
      </w:pPr>
      <w:r>
        <w:t>Step 2: Validate the message</w:t>
      </w:r>
    </w:p>
    <w:p w14:paraId="0F72A73D" w14:textId="77777777" w:rsidR="00663217" w:rsidRDefault="00DB1E65">
      <w:r>
        <w:t>Select Validate message. A FAIL means that one or more error-level findings require correction. The example below shows Errors first, followed by Warnings.</w:t>
      </w:r>
    </w:p>
    <w:p w14:paraId="3C86943F" w14:textId="77777777" w:rsidR="00663217" w:rsidRDefault="00DB1E65">
      <w:pPr>
        <w:keepNext/>
        <w:spacing w:before="40" w:after="0"/>
        <w:jc w:val="center"/>
      </w:pPr>
      <w:r>
        <w:drawing>
          <wp:inline xmlns:a="http://schemas.openxmlformats.org/drawingml/2006/main" xmlns:pic="http://schemas.openxmlformats.org/drawingml/2006/picture">
            <wp:extent cx="5715000" cy="4700234"/>
            <wp:docPr id="10" name="Picture 10" descr="Validation report showing an Errors section before a Warnings section."/>
            <wp:cNvGraphicFramePr>
              <a:graphicFrameLocks noChangeAspect="1"/>
            </wp:cNvGraphicFramePr>
            <a:graphic>
              <a:graphicData uri="http://schemas.openxmlformats.org/drawingml/2006/picture">
                <pic:pic>
                  <pic:nvPicPr>
                    <pic:cNvPr id="0" name="figure-3-validation-report.png"/>
                    <pic:cNvPicPr/>
                  </pic:nvPicPr>
                  <pic:blipFill>
                    <a:blip r:embed="rId28"/>
                    <a:stretch>
                      <a:fillRect/>
                    </a:stretch>
                  </pic:blipFill>
                  <pic:spPr>
                    <a:xfrm>
                      <a:off x="0" y="0"/>
                      <a:ext cx="5715000" cy="4700234"/>
                    </a:xfrm>
                    <a:prstGeom prst="rect"/>
                  </pic:spPr>
                </pic:pic>
              </a:graphicData>
            </a:graphic>
          </wp:inline>
        </w:drawing>
      </w:r>
    </w:p>
    <w:p w14:paraId="11F1FA80" w14:textId="77777777" w:rsidR="00663217" w:rsidRDefault="00DB1E65">
      <w:pPr>
        <w:pStyle w:val="Caption"/>
        <w:keepLines/>
      </w:pPr>
      <w:r>
        <w:t>Figure 4. The report groups Errors before Warnings and lists findings by message line within each group.</w:t>
      </w:r>
    </w:p>
    <w:p w14:paraId="0B23AA2A" w14:textId="77777777" w:rsidR="00663217" w:rsidRDefault="00DB1E65">
      <w:pPr>
        <w:spacing w:after="0"/>
      </w:pPr>
      <w:r>
        <w:br w:type="page"/>
      </w:r>
    </w:p>
    <w:p w14:paraId="7243C06E" w14:textId="77777777" w:rsidR="00663217" w:rsidRDefault="00DB1E65">
      <w:pPr>
        <w:pStyle w:val="Heading1"/>
        <w:keepNext/>
      </w:pPr>
      <w:r>
        <w:t>Step 3: Review and export the local report</w:t>
      </w:r>
    </w:p>
    <w:p w14:paraId="2C3A3E7D" w14:textId="77777777" w:rsidR="00663217" w:rsidRDefault="00DB1E65">
      <w:r>
        <w:t>The on-screen report groups findings as Errors, Warnings, then Information. Within each group, message-level findings without a line number appear first and line-based findings follow message-line order. Missing required (R) fields are errors. Empty required-but-may-be-empty (RE) fields produce warnings when values are not known. Other rule-specific errors and warnings may also appear.</w:t>
      </w:r>
    </w:p>
    <w:p>
      <w:pPr/>
      <w:r>
        <w:t>Use the severity checkboxes to filter findings. Select a compact row to focus its message line. Open Expected and source to read the complete requirement and source section.</w:t>
      </w:r>
    </w:p>
    <w:p w14:paraId="517C04EB" w14:textId="77777777" w:rsidR="00663217" w:rsidRDefault="00DB1E65">
      <w:pPr>
        <w:keepNext/>
        <w:spacing w:before="40" w:after="0"/>
        <w:jc w:val="center"/>
      </w:pPr>
      <w:r>
        <w:drawing>
          <wp:inline xmlns:a="http://schemas.openxmlformats.org/drawingml/2006/main" xmlns:pic="http://schemas.openxmlformats.org/drawingml/2006/picture">
            <wp:extent cx="5715000" cy="5740243"/>
            <wp:docPr id="11" name="Picture 11" descr="Message input above the full-width Validation report with compact warning rows."/>
            <wp:cNvGraphicFramePr>
              <a:graphicFrameLocks noChangeAspect="1"/>
            </wp:cNvGraphicFramePr>
            <a:graphic>
              <a:graphicData uri="http://schemas.openxmlformats.org/drawingml/2006/picture">
                <pic:pic>
                  <pic:nvPicPr>
                    <pic:cNvPr id="0" name="figure-4-stacked-review.png"/>
                    <pic:cNvPicPr/>
                  </pic:nvPicPr>
                  <pic:blipFill>
                    <a:blip r:embed="rId29"/>
                    <a:stretch>
                      <a:fillRect/>
                    </a:stretch>
                  </pic:blipFill>
                  <pic:spPr>
                    <a:xfrm>
                      <a:off x="0" y="0"/>
                      <a:ext cx="5715000" cy="5740243"/>
                    </a:xfrm>
                    <a:prstGeom prst="rect"/>
                  </pic:spPr>
                </pic:pic>
              </a:graphicData>
            </a:graphic>
          </wp:inline>
        </w:drawing>
      </w:r>
    </w:p>
    <w:p w14:paraId="1DD59E77" w14:textId="77777777" w:rsidR="00663217" w:rsidRDefault="00DB1E65">
      <w:pPr>
        <w:pStyle w:val="Caption"/>
        <w:keepLines/>
      </w:pPr>
      <w:r>
        <w:t>Figure 5. Message input appears above the full-width Validation report.</w:t>
      </w:r>
    </w:p>
    <w:p w14:paraId="272CEEB5" w14:textId="77777777" w:rsidR="00663217" w:rsidRDefault="00DB1E65">
      <w:pPr>
        <w:spacing w:after="100"/>
      </w:pPr>
      <w:r>
        <w:rPr>
          <w:b/>
        </w:rPr>
        <w:t xml:space="preserve">PASS: </w:t>
      </w:r>
      <w:r>
        <w:t>No error-level findings were reported. A passing report can still contain warnings.</w:t>
      </w:r>
    </w:p>
    <w:p w14:paraId="01CE676E" w14:textId="77777777" w:rsidR="00663217" w:rsidRDefault="00DB1E65">
      <w:pPr>
        <w:spacing w:after="100"/>
      </w:pPr>
      <w:r>
        <w:rPr>
          <w:b/>
        </w:rPr>
        <w:t xml:space="preserve">Download JSON: </w:t>
      </w:r>
      <w:r>
        <w:t>Save the structured local report. The download omits the raw message and arbitrary clinical text.</w:t>
      </w:r>
    </w:p>
    <w:p w14:paraId="666299FC" w14:textId="77777777" w:rsidR="00663217" w:rsidRDefault="00DB1E65">
      <w:pPr>
        <w:spacing w:after="100"/>
      </w:pPr>
      <w:r>
        <w:rPr>
          <w:b/>
        </w:rPr>
        <w:t xml:space="preserve">Print report: </w:t>
      </w:r>
      <w:r>
        <w:t>Open the browser print flow. The printed report also omits the message editor.</w:t>
      </w:r>
    </w:p>
    <w:p w14:paraId="6FBA4D23" w14:textId="77777777" w:rsidR="00663217" w:rsidRDefault="00DB1E65">
      <w:pPr>
        <w:spacing w:after="0"/>
      </w:pPr>
      <w:r>
        <w:br w:type="page"/>
      </w:r>
    </w:p>
    <w:p w14:paraId="592E1A78" w14:textId="77777777" w:rsidR="00663217" w:rsidRDefault="00DB1E65">
      <w:pPr>
        <w:pStyle w:val="Heading1"/>
        <w:keepNext/>
      </w:pPr>
      <w:r>
        <w:t>Step 4: Run the optional registry-content check</w:t>
      </w:r>
    </w:p>
    <w:p w14:paraId="58BA56DE" w14:textId="77777777" w:rsidR="00663217" w:rsidRDefault="00DB1E65">
      <w:r>
        <w:t>After a syntax-valid message yields registry codes, the online panel lists every message-derived item proposed for transmission. Review the values and message lines, enter a SEER API key, then select Check registry content.</w:t>
      </w:r>
    </w:p>
    <w:p w14:paraId="7FA3645A" w14:textId="77777777" w:rsidR="00663217" w:rsidRDefault="00DB1E65">
      <w:pPr>
        <w:pStyle w:val="GuideCallout"/>
        <w:pBdr>
          <w:left w:val="single" w:sz="18" w:space="8" w:color="145A69"/>
        </w:pBdr>
        <w:shd w:val="clear" w:color="auto" w:fill="EAF4F6"/>
      </w:pPr>
      <w:r>
        <w:rPr>
          <w:b/>
        </w:rPr>
        <w:t>Privacy:</w:t>
      </w:r>
      <w:r>
        <w:t xml:space="preserve"> Only the listed normalized codes and reference identifiers are sent. Grade is checked locally and is not sent. The full HL7 message and direct identifiers are never sent. The codes remain sensitive clinical metadata, and SEER and network operators can observe the API account and source IP address.</w:t>
      </w:r>
    </w:p>
    <w:p w14:paraId="3A4DCB81" w14:textId="77777777" w:rsidR="00663217" w:rsidRDefault="00DB1E65">
      <w:pPr>
        <w:keepNext/>
        <w:spacing w:before="40" w:after="0"/>
        <w:jc w:val="center"/>
      </w:pPr>
      <w:r>
        <w:drawing>
          <wp:inline xmlns:a="http://schemas.openxmlformats.org/drawingml/2006/main" xmlns:pic="http://schemas.openxmlformats.org/drawingml/2006/picture">
            <wp:extent cx="5715000" cy="2579615"/>
            <wp:docPr id="12" name="Picture 12" descr="Registry content check disclosure listing site, histology, behavior, and diagnosis year, without grade."/>
            <wp:cNvGraphicFramePr>
              <a:graphicFrameLocks noChangeAspect="1"/>
            </wp:cNvGraphicFramePr>
            <a:graphic>
              <a:graphicData uri="http://schemas.openxmlformats.org/drawingml/2006/picture">
                <pic:pic>
                  <pic:nvPicPr>
                    <pic:cNvPr id="0" name="figure-5-content-disclosure.png"/>
                    <pic:cNvPicPr/>
                  </pic:nvPicPr>
                  <pic:blipFill>
                    <a:blip r:embed="rId30"/>
                    <a:stretch>
                      <a:fillRect/>
                    </a:stretch>
                  </pic:blipFill>
                  <pic:spPr>
                    <a:xfrm>
                      <a:off x="0" y="0"/>
                      <a:ext cx="5715000" cy="2579615"/>
                    </a:xfrm>
                    <a:prstGeom prst="rect"/>
                  </pic:spPr>
                </pic:pic>
              </a:graphicData>
            </a:graphic>
          </wp:inline>
        </w:drawing>
      </w:r>
    </w:p>
    <w:p w14:paraId="5584E29D" w14:textId="77777777" w:rsidR="00663217" w:rsidRDefault="00DB1E65">
      <w:pPr>
        <w:pStyle w:val="Caption"/>
        <w:keepLines/>
      </w:pPr>
      <w:r>
        <w:t>Figure 6. Review every proposed outbound item before starting the online check.</w:t>
      </w:r>
    </w:p>
    <w:p w14:paraId="65F67733" w14:textId="77777777" w:rsidR="00663217" w:rsidRDefault="00DB1E65">
      <w:pPr>
        <w:spacing w:after="100"/>
      </w:pPr>
      <w:r>
        <w:rPr>
          <w:b/>
        </w:rPr>
        <w:t xml:space="preserve">API key: </w:t>
      </w:r>
      <w:r>
        <w:t>The key stays in memory in the current tab, is sent only in the X-SEERAPI-Key header, and is excluded from downloads. Close the tab on a shared workstation.</w:t>
      </w:r>
    </w:p>
    <w:p w14:paraId="3B47DB62" w14:textId="77777777" w:rsidR="00663217" w:rsidRDefault="00DB1E65">
      <w:pPr>
        <w:spacing w:after="0"/>
      </w:pPr>
      <w:r>
        <w:br w:type="page"/>
      </w:r>
    </w:p>
    <w:p w14:paraId="4EB8221B" w14:textId="77777777" w:rsidR="00663217" w:rsidRDefault="00DB1E65">
      <w:pPr>
        <w:pStyle w:val="Heading1"/>
        <w:keepNext/>
      </w:pPr>
      <w:r>
        <w:t>Step 5: Review the registry-content result</w:t>
      </w:r>
    </w:p>
    <w:p w14:paraId="0901480B" w14:textId="77777777" w:rsidR="00663217" w:rsidRDefault="00DB1E65">
      <w:r>
        <w:t>Review the status and grouped finding counts. Open Expected and source for finding details. Expand a request to inspect its description, method, URL, body, cache state, and HTTP status. Coverage notices describe checks that did not apply or could not run.</w:t>
      </w:r>
    </w:p>
    <w:p w14:paraId="1135867F" w14:textId="77777777" w:rsidR="00663217" w:rsidRDefault="00DB1E65">
      <w:pPr>
        <w:keepNext/>
        <w:spacing w:before="40" w:after="0"/>
        <w:jc w:val="center"/>
      </w:pPr>
      <w:r>
        <w:drawing>
          <wp:inline xmlns:a="http://schemas.openxmlformats.org/drawingml/2006/main" xmlns:pic="http://schemas.openxmlformats.org/drawingml/2006/picture">
            <wp:extent cx="5715000" cy="4131578"/>
            <wp:docPr id="13" name="Picture 13" descr="Completed registry-content report with an Information group and collapsed SEER request details."/>
            <wp:cNvGraphicFramePr>
              <a:graphicFrameLocks noChangeAspect="1"/>
            </wp:cNvGraphicFramePr>
            <a:graphic>
              <a:graphicData uri="http://schemas.openxmlformats.org/drawingml/2006/picture">
                <pic:pic>
                  <pic:nvPicPr>
                    <pic:cNvPr id="0" name="figure-6-content-result.png"/>
                    <pic:cNvPicPr/>
                  </pic:nvPicPr>
                  <pic:blipFill>
                    <a:blip r:embed="rId31"/>
                    <a:stretch>
                      <a:fillRect/>
                    </a:stretch>
                  </pic:blipFill>
                  <pic:spPr>
                    <a:xfrm>
                      <a:off x="0" y="0"/>
                      <a:ext cx="5715000" cy="4131578"/>
                    </a:xfrm>
                    <a:prstGeom prst="rect"/>
                  </pic:spPr>
                </pic:pic>
              </a:graphicData>
            </a:graphic>
          </wp:inline>
        </w:drawing>
      </w:r>
    </w:p>
    <w:p w14:paraId="4D7567F7" w14:textId="77777777" w:rsidR="00663217" w:rsidRDefault="00DB1E65">
      <w:pPr>
        <w:pStyle w:val="Caption"/>
        <w:keepLines/>
      </w:pPr>
      <w:r>
        <w:t>Figure 7. A completed registry-content report groups findings and lists the SEER requests made.</w:t>
      </w:r>
    </w:p>
    <w:p w14:paraId="2C22408E" w14:textId="77777777" w:rsidR="00663217" w:rsidRDefault="00DB1E65">
      <w:pPr>
        <w:spacing w:after="100"/>
      </w:pPr>
      <w:r>
        <w:rPr>
          <w:b/>
        </w:rPr>
        <w:t xml:space="preserve">PASS: </w:t>
      </w:r>
      <w:r>
        <w:t>Every applicable online check finished and no error-level findings were reported.</w:t>
      </w:r>
    </w:p>
    <w:p w14:paraId="3913488D" w14:textId="77777777" w:rsidR="00663217" w:rsidRDefault="00DB1E65">
      <w:pPr>
        <w:spacing w:after="100"/>
      </w:pPr>
      <w:r>
        <w:rPr>
          <w:b/>
        </w:rPr>
        <w:t xml:space="preserve">INCOMPLETE: </w:t>
      </w:r>
      <w:r>
        <w:t>One or more checks were skipped or failed. This label can appear even when Errors is 0.</w:t>
      </w:r>
    </w:p>
    <w:p w14:paraId="33D30F35" w14:textId="0B21D899" w:rsidR="00663217" w:rsidRDefault="00DB1E65">
      <w:pPr>
        <w:spacing w:after="100"/>
      </w:pPr>
      <w:r>
        <w:rPr>
          <w:b/>
        </w:rPr>
        <w:t xml:space="preserve">Download content JSON: </w:t>
      </w:r>
      <w:r>
        <w:t xml:space="preserve">Save the </w:t>
      </w:r>
      <w:r>
        <w:t>report, normalized registry codes, public SEER response data, and request metadata. The raw message and API key are not included.</w:t>
      </w:r>
    </w:p>
    <w:sectPr w:rsidR="00663217" w:rsidSect="00034616">
      <w:headerReference w:type="default" r:id="rId16"/>
      <w:footerReference w:type="default" r:id="rId17"/>
      <w:headerReference w:type="first" r:id="rId18"/>
      <w:footerReference w:type="first" r:id="rId1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FBABC" w14:textId="77777777" w:rsidR="00DB1E65" w:rsidRDefault="00DB1E65">
      <w:pPr>
        <w:spacing w:after="0" w:line="240" w:lineRule="auto"/>
      </w:pPr>
      <w:r>
        <w:separator/>
      </w:r>
    </w:p>
  </w:endnote>
  <w:endnote w:type="continuationSeparator" w:id="0">
    <w:p w14:paraId="354C7C4A" w14:textId="77777777" w:rsidR="00DB1E65" w:rsidRDefault="00DB1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B0217" w14:textId="77777777" w:rsidR="00663217" w:rsidRDefault="00DB1E65">
    <w:pPr>
      <w:tabs>
        <w:tab w:val="right" w:pos="9360"/>
      </w:tabs>
      <w:spacing w:after="0"/>
    </w:pPr>
    <w:r>
      <w:rPr>
        <w:color w:val="5B6775"/>
        <w:sz w:val="17"/>
      </w:rPr>
      <w:t>August 2026</w:t>
    </w:r>
    <w:r>
      <w:tab/>
    </w:r>
    <w:r>
      <w:rPr>
        <w:color w:val="5B6775"/>
        <w:sz w:val="17"/>
      </w:rPr>
      <w:t xml:space="preserve">Page </w:t>
    </w:r>
    <w:r>
      <w:rPr>
        <w:color w:val="5B6775"/>
        <w:sz w:val="17"/>
      </w:rPr>
      <w:fldChar w:fldCharType="begin"/>
    </w:r>
    <w:r>
      <w:rPr>
        <w:color w:val="5B6775"/>
        <w:sz w:val="17"/>
      </w:rPr>
      <w:instrText xml:space="preserve"> PAGE </w:instrText>
    </w:r>
    <w:r>
      <w:rPr>
        <w:color w:val="5B6775"/>
        <w:sz w:val="17"/>
      </w:rPr>
      <w:fldChar w:fldCharType="separate"/>
    </w:r>
    <w:r>
      <w:rPr>
        <w:color w:val="5B6775"/>
        <w:sz w:val="17"/>
      </w:rPr>
      <w:t>1</w:t>
    </w:r>
    <w:r>
      <w:rPr>
        <w:color w:val="5B6775"/>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2A825" w14:textId="77777777" w:rsidR="00663217" w:rsidRDefault="00DB1E65">
    <w:pPr>
      <w:tabs>
        <w:tab w:val="right" w:pos="9360"/>
      </w:tabs>
      <w:spacing w:after="0"/>
    </w:pPr>
    <w:r>
      <w:rPr>
        <w:color w:val="5B6775"/>
        <w:sz w:val="17"/>
      </w:rPr>
      <w:t>August 2026</w:t>
    </w:r>
    <w:r>
      <w:tab/>
    </w:r>
    <w:r>
      <w:rPr>
        <w:color w:val="5B6775"/>
        <w:sz w:val="17"/>
      </w:rPr>
      <w:t xml:space="preserve">Page </w:t>
    </w:r>
    <w:r>
      <w:rPr>
        <w:color w:val="5B6775"/>
        <w:sz w:val="17"/>
      </w:rPr>
      <w:fldChar w:fldCharType="begin"/>
    </w:r>
    <w:r>
      <w:rPr>
        <w:color w:val="5B6775"/>
        <w:sz w:val="17"/>
      </w:rPr>
      <w:instrText xml:space="preserve"> PAGE </w:instrText>
    </w:r>
    <w:r>
      <w:rPr>
        <w:color w:val="5B6775"/>
        <w:sz w:val="17"/>
      </w:rPr>
      <w:fldChar w:fldCharType="separate"/>
    </w:r>
    <w:r>
      <w:rPr>
        <w:color w:val="5B6775"/>
        <w:sz w:val="17"/>
      </w:rPr>
      <w:t>1</w:t>
    </w:r>
    <w:r>
      <w:rPr>
        <w:color w:val="5B677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A3EF22" w14:textId="77777777" w:rsidR="00DB1E65" w:rsidRDefault="00DB1E65">
      <w:pPr>
        <w:spacing w:after="0" w:line="240" w:lineRule="auto"/>
      </w:pPr>
      <w:r>
        <w:separator/>
      </w:r>
    </w:p>
  </w:footnote>
  <w:footnote w:type="continuationSeparator" w:id="0">
    <w:p w14:paraId="21699212" w14:textId="77777777" w:rsidR="00DB1E65" w:rsidRDefault="00DB1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A9294" w14:textId="77777777" w:rsidR="00663217" w:rsidRDefault="00DB1E65">
    <w:pPr>
      <w:tabs>
        <w:tab w:val="right" w:pos="9360"/>
      </w:tabs>
      <w:spacing w:after="0"/>
    </w:pPr>
    <w:r>
      <w:rPr>
        <w:b/>
        <w:color w:val="5B6775"/>
        <w:sz w:val="17"/>
      </w:rPr>
      <w:t>NAACCR LRI validator</w:t>
    </w:r>
    <w:r>
      <w:tab/>
    </w:r>
    <w:r>
      <w:rPr>
        <w:color w:val="5B6775"/>
        <w:sz w:val="17"/>
      </w:rPr>
      <w:t>Quick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3FF63" w14:textId="77777777" w:rsidR="00663217" w:rsidRDefault="006632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090973">
    <w:abstractNumId w:val="8"/>
  </w:num>
  <w:num w:numId="2" w16cid:durableId="191767510">
    <w:abstractNumId w:val="6"/>
  </w:num>
  <w:num w:numId="3" w16cid:durableId="1751002042">
    <w:abstractNumId w:val="5"/>
  </w:num>
  <w:num w:numId="4" w16cid:durableId="1990405404">
    <w:abstractNumId w:val="4"/>
  </w:num>
  <w:num w:numId="5" w16cid:durableId="730426663">
    <w:abstractNumId w:val="7"/>
  </w:num>
  <w:num w:numId="6" w16cid:durableId="1565215772">
    <w:abstractNumId w:val="3"/>
  </w:num>
  <w:num w:numId="7" w16cid:durableId="532378977">
    <w:abstractNumId w:val="2"/>
  </w:num>
  <w:num w:numId="8" w16cid:durableId="414015990">
    <w:abstractNumId w:val="1"/>
  </w:num>
  <w:num w:numId="9" w16cid:durableId="14349786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59C"/>
    <w:rsid w:val="00200C2F"/>
    <w:rsid w:val="00252D4D"/>
    <w:rsid w:val="0029639D"/>
    <w:rsid w:val="00326F90"/>
    <w:rsid w:val="00663217"/>
    <w:rsid w:val="0066327C"/>
    <w:rsid w:val="007411AE"/>
    <w:rsid w:val="00AA1D8D"/>
    <w:rsid w:val="00B47730"/>
    <w:rsid w:val="00CB0664"/>
    <w:rsid w:val="00D60381"/>
    <w:rsid w:val="00DA7241"/>
    <w:rsid w:val="00DB1E65"/>
    <w:rsid w:val="00F16847"/>
    <w:rsid w:val="00F73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37562"/>
  <w14:defaultImageDpi w14:val="300"/>
  <w15:docId w15:val="{8C01EB50-9FC8-9A42-9DBA-71C7969B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C2733"/>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145A6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145A6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line="276" w:lineRule="auto"/>
    </w:pPr>
    <w:rPr>
      <w:rFonts w:asciiTheme="majorHAnsi" w:eastAsiaTheme="majorEastAsia" w:hAnsiTheme="majorHAnsi" w:cstheme="majorBidi"/>
      <w:i/>
      <w:iCs/>
      <w:color w:val="5B677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line="240" w:lineRule="auto"/>
      <w:jc w:val="center"/>
    </w:pPr>
    <w:rPr>
      <w:b/>
      <w:bCs/>
      <w:i/>
      <w:color w:val="5B67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keepNext/>
      <w:spacing w:after="100" w:line="240" w:lineRule="auto"/>
    </w:pPr>
    <w:rPr>
      <w:rFonts w:ascii="Calibri" w:eastAsia="Calibri" w:hAnsi="Calibri"/>
      <w:b/>
      <w:color w:val="145A69"/>
      <w:sz w:val="19"/>
    </w:rPr>
  </w:style>
  <w:style w:type="paragraph" w:customStyle="1" w:styleId="GuideMetadata">
    <w:name w:val="Guide Metadata"/>
    <w:pPr>
      <w:keepNext/>
      <w:spacing w:after="260" w:line="240" w:lineRule="auto"/>
    </w:pPr>
    <w:rPr>
      <w:rFonts w:ascii="Calibri" w:eastAsia="Calibri" w:hAnsi="Calibri"/>
      <w:color w:val="5B6775"/>
      <w:sz w:val="19"/>
    </w:rPr>
  </w:style>
  <w:style w:type="paragraph" w:customStyle="1" w:styleId="GuideCallout">
    <w:name w:val="Guide Callout"/>
    <w:pPr>
      <w:keepLines/>
      <w:spacing w:before="100" w:line="288" w:lineRule="auto"/>
      <w:ind w:left="202" w:right="115"/>
    </w:pPr>
    <w:rPr>
      <w:rFonts w:ascii="Calibri" w:eastAsia="Calibri" w:hAnsi="Calibri"/>
      <w:color w:val="1C2733"/>
      <w:sz w:val="21"/>
    </w:rPr>
  </w:style>
  <w:style w:type="character" w:styleId="Hyperlink">
    <w:name w:val="Hyperlink"/>
    <w:basedOn w:val="DefaultParagraphFont"/>
    <w:uiPriority w:val="99"/>
    <w:unhideWhenUsed/>
    <w:rsid w:val="00F16847"/>
    <w:rPr>
      <w:color w:val="0000FF" w:themeColor="hyperlink"/>
      <w:u w:val="single"/>
    </w:rPr>
  </w:style>
  <w:style w:type="character" w:styleId="UnresolvedMention">
    <w:name w:val="Unresolved Mention"/>
    <w:basedOn w:val="DefaultParagraphFont"/>
    <w:uiPriority w:val="99"/>
    <w:semiHidden/>
    <w:unhideWhenUsed/>
    <w:rsid w:val="00F16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HE-SDC-WG/LRI-Validator"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api.seer.cancer.gov/usage" TargetMode="External"/><Relationship Id="rId22" Type="http://schemas.openxmlformats.org/officeDocument/2006/relationships/hyperlink" Target="https://ihe-sdc-wg.github.io/LRI-Validator/" TargetMode="External"/><Relationship Id="rId23" Type="http://schemas.openxmlformats.org/officeDocument/2006/relationships/hyperlink" Target="https://github.com/IHE-SDC-WG/LRI-Validator/archive/refs/heads/main.zip" TargetMode="External"/><Relationship Id="rId24" Type="http://schemas.openxmlformats.org/officeDocument/2006/relationships/image" Target="media/image7.png"/><Relationship Id="rId25" Type="http://schemas.openxmlformats.org/officeDocument/2006/relationships/hyperlink" Target="https://api.seer.cancer.gov/login" TargetMode="Externa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NAACCR LRI Validator Quick User Guide</vt:lpstr>
    </vt:vector>
  </TitlesOfParts>
  <Manager/>
  <Company/>
  <LinksUpToDate>false</LinksUpToDate>
  <CharactersWithSpaces>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NAACCR LRI Validator Quick User Guide</dc:title>
  <dc:subject>Browser workflow for local LRI validation and optional SEER checks</dc:subject>
  <dc:creator/>
  <cp:keywords>NAACCR, LRI, HL7 v2, SEER, validator, user guide</cp:keywords>
  <dc:description>generated by python-docx</dc:description>
  <cp:lastModifiedBy>Alex Goel</cp:lastModifiedBy>
  <cp:revision>6</cp:revision>
  <dcterms:created xsi:type="dcterms:W3CDTF">2013-12-23T23:15:00Z</dcterms:created>
  <dcterms:modified xsi:type="dcterms:W3CDTF">2026-08-31T16:40:00Z</dcterms:modified>
  <cp:category/>
</cp:coreProperties>
</file>