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Title"/>
        <w:rPr>
          <w:rFonts w:ascii="Calibri" w:cs="Calibri" w:eastAsia="Calibri" w:hAnsi="Calibri"/>
        </w:rPr>
      </w:pPr>
      <w:r w:rsidDel="00000000" w:rsidR="00000000" w:rsidRPr="00000000">
        <w:rPr>
          <w:rFonts w:ascii="Calibri" w:cs="Calibri" w:eastAsia="Calibri" w:hAnsi="Calibri"/>
          <w:rtl w:val="0"/>
        </w:rPr>
        <w:t xml:space="preserve">IHE Work Item Proposal (Short)</w:t>
      </w: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04">
      <w:pPr>
        <w:pStyle w:val="Heading1"/>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rtl w:val="0"/>
        </w:rPr>
        <w:t xml:space="preserve">Proposed Work Item: </w:t>
      </w:r>
      <w:r w:rsidDel="00000000" w:rsidR="00000000" w:rsidRPr="00000000">
        <w:rPr>
          <w:rFonts w:ascii="Calibri" w:cs="Calibri" w:eastAsia="Calibri" w:hAnsi="Calibri"/>
          <w:sz w:val="24"/>
          <w:szCs w:val="24"/>
          <w:rtl w:val="0"/>
        </w:rPr>
        <w:t xml:space="preserve">Finance and Insurance Services</w:t>
      </w:r>
    </w:p>
    <w:p w:rsidR="00000000" w:rsidDel="00000000" w:rsidP="00000000" w:rsidRDefault="00000000" w:rsidRPr="00000000" w14:paraId="00000005">
      <w:pPr>
        <w:ind w:left="360" w:firstLine="0"/>
        <w:rPr>
          <w:rFonts w:ascii="Calibri" w:cs="Calibri" w:eastAsia="Calibri" w:hAnsi="Calibri"/>
        </w:rPr>
      </w:pPr>
      <w:r w:rsidDel="00000000" w:rsidR="00000000" w:rsidRPr="00000000">
        <w:rPr>
          <w:rFonts w:ascii="Calibri" w:cs="Calibri" w:eastAsia="Calibri" w:hAnsi="Calibri"/>
          <w:rtl w:val="0"/>
        </w:rPr>
        <w:t xml:space="preserve">Proposal Editor: Uwe Wahser (uwe.wahser@giz.de), Dragos Dobre (dragos.dobre@swisstph.ch)</w:t>
      </w:r>
    </w:p>
    <w:p w:rsidR="00000000" w:rsidDel="00000000" w:rsidP="00000000" w:rsidRDefault="00000000" w:rsidRPr="00000000" w14:paraId="00000006">
      <w:pPr>
        <w:ind w:left="360" w:firstLine="0"/>
        <w:rPr>
          <w:rFonts w:ascii="Calibri" w:cs="Calibri" w:eastAsia="Calibri" w:hAnsi="Calibri"/>
        </w:rPr>
      </w:pPr>
      <w:r w:rsidDel="00000000" w:rsidR="00000000" w:rsidRPr="00000000">
        <w:rPr>
          <w:rFonts w:ascii="Calibri" w:cs="Calibri" w:eastAsia="Calibri" w:hAnsi="Calibri"/>
          <w:rtl w:val="0"/>
        </w:rPr>
        <w:t xml:space="preserve">Work item Editor: Uwe Wahser (uwe.wahser@giz.de), Dragos Dobre (dragos.dobre@swisstph.ch)</w:t>
      </w:r>
    </w:p>
    <w:p w:rsidR="00000000" w:rsidDel="00000000" w:rsidP="00000000" w:rsidRDefault="00000000" w:rsidRPr="00000000" w14:paraId="00000007">
      <w:pPr>
        <w:ind w:left="360" w:firstLine="0"/>
        <w:rPr>
          <w:rFonts w:ascii="Calibri" w:cs="Calibri" w:eastAsia="Calibri" w:hAnsi="Calibri"/>
        </w:rPr>
      </w:pPr>
      <w:r w:rsidDel="00000000" w:rsidR="00000000" w:rsidRPr="00000000">
        <w:rPr>
          <w:rFonts w:ascii="Calibri" w:cs="Calibri" w:eastAsia="Calibri" w:hAnsi="Calibri"/>
          <w:rtl w:val="0"/>
        </w:rPr>
        <w:t xml:space="preserve">Date: 2022-11-10</w:t>
      </w:r>
    </w:p>
    <w:p w:rsidR="00000000" w:rsidDel="00000000" w:rsidP="00000000" w:rsidRDefault="00000000" w:rsidRPr="00000000" w14:paraId="00000008">
      <w:pPr>
        <w:ind w:left="360" w:firstLine="0"/>
        <w:rPr>
          <w:rFonts w:ascii="Calibri" w:cs="Calibri" w:eastAsia="Calibri" w:hAnsi="Calibri"/>
        </w:rPr>
      </w:pPr>
      <w:r w:rsidDel="00000000" w:rsidR="00000000" w:rsidRPr="00000000">
        <w:rPr>
          <w:rFonts w:ascii="Calibri" w:cs="Calibri" w:eastAsia="Calibri" w:hAnsi="Calibri"/>
          <w:rtl w:val="0"/>
        </w:rPr>
        <w:t xml:space="preserve">Version: 1</w:t>
      </w:r>
    </w:p>
    <w:p w:rsidR="00000000" w:rsidDel="00000000" w:rsidP="00000000" w:rsidRDefault="00000000" w:rsidRPr="00000000" w14:paraId="00000009">
      <w:pPr>
        <w:ind w:left="360" w:firstLine="0"/>
        <w:rPr>
          <w:rFonts w:ascii="Calibri" w:cs="Calibri" w:eastAsia="Calibri" w:hAnsi="Calibri"/>
        </w:rPr>
      </w:pPr>
      <w:r w:rsidDel="00000000" w:rsidR="00000000" w:rsidRPr="00000000">
        <w:rPr>
          <w:rFonts w:ascii="Calibri" w:cs="Calibri" w:eastAsia="Calibri" w:hAnsi="Calibri"/>
          <w:rtl w:val="0"/>
        </w:rPr>
        <w:t xml:space="preserve">Domain: ITI (IT Infrastructure)</w:t>
      </w:r>
    </w:p>
    <w:p w:rsidR="00000000" w:rsidDel="00000000" w:rsidP="00000000" w:rsidRDefault="00000000" w:rsidRPr="00000000" w14:paraId="0000000A">
      <w:pPr>
        <w:pStyle w:val="Heading1"/>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The Problem</w:t>
      </w:r>
      <w:r w:rsidDel="00000000" w:rsidR="00000000" w:rsidRPr="00000000">
        <w:rPr>
          <w:rtl w:val="0"/>
        </w:rPr>
      </w:r>
    </w:p>
    <w:p w:rsidR="00000000" w:rsidDel="00000000" w:rsidP="00000000" w:rsidRDefault="00000000" w:rsidRPr="00000000" w14:paraId="0000000B">
      <w:pPr>
        <w:ind w:left="360" w:firstLine="0"/>
        <w:rPr>
          <w:rFonts w:ascii="Calibri" w:cs="Calibri" w:eastAsia="Calibri" w:hAnsi="Calibri"/>
        </w:rPr>
      </w:pPr>
      <w:r w:rsidDel="00000000" w:rsidR="00000000" w:rsidRPr="00000000">
        <w:rPr>
          <w:rFonts w:ascii="Calibri" w:cs="Calibri" w:eastAsia="Calibri" w:hAnsi="Calibri"/>
          <w:rtl w:val="0"/>
        </w:rPr>
        <w:t xml:space="preserve">Due to a lack of interoperability between Point of Service (PoS) systems of health care providers (e.g. Hospital Information Systems) and information systems of health care payers (e.g. Health Financing and Insurance System) there is a lack of automated payment processes for health services.</w:t>
      </w:r>
    </w:p>
    <w:p w:rsidR="00000000" w:rsidDel="00000000" w:rsidP="00000000" w:rsidRDefault="00000000" w:rsidRPr="00000000" w14:paraId="0000000C">
      <w:pPr>
        <w:ind w:left="360" w:firstLine="0"/>
        <w:rPr>
          <w:rFonts w:ascii="Calibri" w:cs="Calibri" w:eastAsia="Calibri" w:hAnsi="Calibri"/>
        </w:rPr>
      </w:pPr>
      <w:r w:rsidDel="00000000" w:rsidR="00000000" w:rsidRPr="00000000">
        <w:rPr>
          <w:rFonts w:ascii="Calibri" w:cs="Calibri" w:eastAsia="Calibri" w:hAnsi="Calibri"/>
          <w:rtl w:val="0"/>
        </w:rPr>
        <w:t xml:space="preserve">A PoS needs to communicate at several stages of the health care process with the payer of the service: a) to verify that occurred costs are covered for a patient (and to which extent) and b) claim the incurred costs for a delivered health care service from the payer. Depending on the number of patient visits and the nature of the coverage, this can create high data volumes at all process stages, e.g Nepal ca. 20 thousand hospital claims to the national health insurance  per day. Manual entry and transfer of data results in costs for duplicated data entry and errors.</w:t>
      </w:r>
    </w:p>
    <w:p w:rsidR="00000000" w:rsidDel="00000000" w:rsidP="00000000" w:rsidRDefault="00000000" w:rsidRPr="00000000" w14:paraId="0000000D">
      <w:pPr>
        <w:pStyle w:val="Heading1"/>
        <w:numPr>
          <w:ilvl w:val="0"/>
          <w:numId w:val="5"/>
        </w:numPr>
        <w:spacing w:after="6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Key Use Case</w:t>
      </w:r>
      <w:r w:rsidDel="00000000" w:rsidR="00000000" w:rsidRPr="00000000">
        <w:rPr>
          <w:rtl w:val="0"/>
        </w:rPr>
      </w:r>
    </w:p>
    <w:p w:rsidR="00000000" w:rsidDel="00000000" w:rsidP="00000000" w:rsidRDefault="00000000" w:rsidRPr="00000000" w14:paraId="0000000E">
      <w:pPr>
        <w:numPr>
          <w:ilvl w:val="0"/>
          <w:numId w:val="6"/>
        </w:numPr>
        <w:spacing w:after="0" w:afterAutospacing="0" w:before="60" w:beforeAutospacing="0"/>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field agent of the national insurance provider registers a household into a specific insurance scheme after verifying their Identity with a national ID system.</w:t>
      </w: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00F">
      <w:pPr>
        <w:numPr>
          <w:ilvl w:val="0"/>
          <w:numId w:val="8"/>
        </w:numPr>
        <w:spacing w:after="0" w:before="0" w:lineRule="auto"/>
        <w:ind w:left="720" w:hanging="360"/>
        <w:rPr>
          <w:rFonts w:ascii="Calibri" w:cs="Calibri" w:eastAsia="Calibri" w:hAnsi="Calibri"/>
          <w:highlight w:val="white"/>
        </w:rPr>
      </w:pPr>
      <w:r w:rsidDel="00000000" w:rsidR="00000000" w:rsidRPr="00000000">
        <w:rPr>
          <w:rFonts w:ascii="Arial" w:cs="Arial" w:eastAsia="Arial" w:hAnsi="Arial"/>
          <w:sz w:val="22"/>
          <w:szCs w:val="22"/>
          <w:highlight w:val="white"/>
          <w:rtl w:val="0"/>
        </w:rPr>
        <w:t xml:space="preserve">An insurance agent is looking for information about a beneficiary to respond to a service desk call.</w:t>
      </w:r>
      <w:r w:rsidDel="00000000" w:rsidR="00000000" w:rsidRPr="00000000">
        <w:rPr>
          <w:rtl w:val="0"/>
        </w:rPr>
      </w:r>
    </w:p>
    <w:p w:rsidR="00000000" w:rsidDel="00000000" w:rsidP="00000000" w:rsidRDefault="00000000" w:rsidRPr="00000000" w14:paraId="00000010">
      <w:pPr>
        <w:numPr>
          <w:ilvl w:val="0"/>
          <w:numId w:val="7"/>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mother presents at a hospital for postnatal care, so the hospital verifies first if she is enrolled in the MCH postnatal care scheme of the MoH.</w:t>
      </w:r>
    </w:p>
    <w:p w:rsidR="00000000" w:rsidDel="00000000" w:rsidP="00000000" w:rsidRDefault="00000000" w:rsidRPr="00000000" w14:paraId="00000011">
      <w:pPr>
        <w:numPr>
          <w:ilvl w:val="0"/>
          <w:numId w:val="7"/>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patient is diagnosed with cancer and needs chemotherapy. The hospital inquires about coverage for chemotherapy. </w:t>
      </w:r>
    </w:p>
    <w:p w:rsidR="00000000" w:rsidDel="00000000" w:rsidP="00000000" w:rsidRDefault="00000000" w:rsidRPr="00000000" w14:paraId="00000012">
      <w:pPr>
        <w:numPr>
          <w:ilvl w:val="0"/>
          <w:numId w:val="7"/>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 expensive treatment is needed and the Hospital wants to estimate the measures they can apply.</w:t>
      </w:r>
    </w:p>
    <w:p w:rsidR="00000000" w:rsidDel="00000000" w:rsidP="00000000" w:rsidRDefault="00000000" w:rsidRPr="00000000" w14:paraId="00000013">
      <w:pPr>
        <w:numPr>
          <w:ilvl w:val="0"/>
          <w:numId w:val="1"/>
        </w:numPr>
        <w:spacing w:after="0" w:before="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costly surgery is needed and has to be pre-approved by the insurance before it can be done.</w:t>
      </w:r>
    </w:p>
    <w:p w:rsidR="00000000" w:rsidDel="00000000" w:rsidP="00000000" w:rsidRDefault="00000000" w:rsidRPr="00000000" w14:paraId="00000014">
      <w:pPr>
        <w:numPr>
          <w:ilvl w:val="0"/>
          <w:numId w:val="1"/>
        </w:numPr>
        <w:spacing w:after="0" w:afterAutospacing="0" w:before="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patient was treated in the hospital and the hospital requests reimbursement of the incurred costs.</w:t>
      </w:r>
      <w:r w:rsidDel="00000000" w:rsidR="00000000" w:rsidRPr="00000000">
        <w:rPr>
          <w:rtl w:val="0"/>
        </w:rPr>
      </w:r>
    </w:p>
    <w:p w:rsidR="00000000" w:rsidDel="00000000" w:rsidP="00000000" w:rsidRDefault="00000000" w:rsidRPr="00000000" w14:paraId="00000015">
      <w:pPr>
        <w:numPr>
          <w:ilvl w:val="0"/>
          <w:numId w:val="3"/>
        </w:numPr>
        <w:spacing w:before="0" w:before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hospital has sent an electronic reimbursement claim to the insurance company. </w:t>
        <w:tab/>
        <w:t xml:space="preserve">After a waiting period the hospital wants to verify if the claim was processed.</w:t>
      </w:r>
    </w:p>
    <w:p w:rsidR="00000000" w:rsidDel="00000000" w:rsidP="00000000" w:rsidRDefault="00000000" w:rsidRPr="00000000" w14:paraId="00000016">
      <w:pPr>
        <w:pStyle w:val="Heading1"/>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Standards &amp; Systems</w:t>
      </w:r>
      <w:r w:rsidDel="00000000" w:rsidR="00000000" w:rsidRPr="00000000">
        <w:rPr>
          <w:rtl w:val="0"/>
        </w:rPr>
      </w:r>
    </w:p>
    <w:p w:rsidR="00000000" w:rsidDel="00000000" w:rsidP="00000000" w:rsidRDefault="00000000" w:rsidRPr="00000000" w14:paraId="00000017">
      <w:pPr>
        <w:pStyle w:val="Heading2"/>
        <w:ind w:left="360" w:firstLine="0"/>
        <w:rPr/>
      </w:pPr>
      <w:bookmarkStart w:colFirst="0" w:colLast="0" w:name="_heading=h.jtspw9kcibz2" w:id="1"/>
      <w:bookmarkEnd w:id="1"/>
      <w:r w:rsidDel="00000000" w:rsidR="00000000" w:rsidRPr="00000000">
        <w:rPr>
          <w:rtl w:val="0"/>
        </w:rPr>
        <w:t xml:space="preserve">4.1 </w:t>
      </w:r>
      <w:r w:rsidDel="00000000" w:rsidR="00000000" w:rsidRPr="00000000">
        <w:rPr>
          <w:rtl w:val="0"/>
        </w:rPr>
        <w:t xml:space="preserve">Systems </w:t>
      </w:r>
    </w:p>
    <w:p w:rsidR="00000000" w:rsidDel="00000000" w:rsidP="00000000" w:rsidRDefault="00000000" w:rsidRPr="00000000" w14:paraId="00000018">
      <w:pPr>
        <w:numPr>
          <w:ilvl w:val="0"/>
          <w:numId w:val="2"/>
        </w:numPr>
        <w:spacing w:after="0" w:before="0" w:line="276" w:lineRule="auto"/>
        <w:ind w:left="720" w:hanging="360"/>
        <w:rPr>
          <w:rFonts w:ascii="Arial" w:cs="Arial" w:eastAsia="Arial" w:hAnsi="Arial"/>
          <w:sz w:val="22"/>
          <w:szCs w:val="22"/>
        </w:rPr>
      </w:pPr>
      <w:hyperlink r:id="rId7">
        <w:r w:rsidDel="00000000" w:rsidR="00000000" w:rsidRPr="00000000">
          <w:rPr>
            <w:rFonts w:ascii="Arial" w:cs="Arial" w:eastAsia="Arial" w:hAnsi="Arial"/>
            <w:color w:val="1155cc"/>
            <w:sz w:val="22"/>
            <w:szCs w:val="22"/>
            <w:u w:val="single"/>
            <w:rtl w:val="0"/>
          </w:rPr>
          <w:t xml:space="preserve">FIS</w:t>
        </w:r>
      </w:hyperlink>
      <w:r w:rsidDel="00000000" w:rsidR="00000000" w:rsidRPr="00000000">
        <w:rPr>
          <w:rFonts w:ascii="Arial" w:cs="Arial" w:eastAsia="Arial" w:hAnsi="Arial"/>
          <w:sz w:val="22"/>
          <w:szCs w:val="22"/>
          <w:rtl w:val="0"/>
        </w:rPr>
        <w:t xml:space="preserve"> - Financing and Insurance System that manages data on beneficiaries, their coverage and claims</w:t>
      </w:r>
      <w:r w:rsidDel="00000000" w:rsidR="00000000" w:rsidRPr="00000000">
        <w:rPr>
          <w:rtl w:val="0"/>
        </w:rPr>
      </w:r>
    </w:p>
    <w:p w:rsidR="00000000" w:rsidDel="00000000" w:rsidP="00000000" w:rsidRDefault="00000000" w:rsidRPr="00000000" w14:paraId="00000019">
      <w:pPr>
        <w:numPr>
          <w:ilvl w:val="0"/>
          <w:numId w:val="2"/>
        </w:numPr>
        <w:spacing w:after="0" w:before="0" w:line="276" w:lineRule="auto"/>
        <w:ind w:left="720" w:hanging="360"/>
        <w:rPr>
          <w:rFonts w:ascii="Arial" w:cs="Arial" w:eastAsia="Arial" w:hAnsi="Arial"/>
          <w:sz w:val="22"/>
          <w:szCs w:val="22"/>
        </w:rPr>
      </w:pPr>
      <w:hyperlink r:id="rId8">
        <w:r w:rsidDel="00000000" w:rsidR="00000000" w:rsidRPr="00000000">
          <w:rPr>
            <w:rFonts w:ascii="Arial" w:cs="Arial" w:eastAsia="Arial" w:hAnsi="Arial"/>
            <w:color w:val="1155cc"/>
            <w:sz w:val="22"/>
            <w:szCs w:val="22"/>
            <w:u w:val="single"/>
            <w:rtl w:val="0"/>
          </w:rPr>
          <w:t xml:space="preserve">PoS</w:t>
        </w:r>
      </w:hyperlink>
      <w:r w:rsidDel="00000000" w:rsidR="00000000" w:rsidRPr="00000000">
        <w:rPr>
          <w:rFonts w:ascii="Arial" w:cs="Arial" w:eastAsia="Arial" w:hAnsi="Arial"/>
          <w:sz w:val="22"/>
          <w:szCs w:val="22"/>
          <w:rtl w:val="0"/>
        </w:rPr>
        <w:t xml:space="preserve"> - The point of service system (e.g. Hospital Information System) that captures an enrollment request and sends claims</w:t>
      </w:r>
    </w:p>
    <w:p w:rsidR="00000000" w:rsidDel="00000000" w:rsidP="00000000" w:rsidRDefault="00000000" w:rsidRPr="00000000" w14:paraId="0000001A">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EXT-PAY - an external payment layer</w:t>
      </w:r>
    </w:p>
    <w:p w:rsidR="00000000" w:rsidDel="00000000" w:rsidP="00000000" w:rsidRDefault="00000000" w:rsidRPr="00000000" w14:paraId="0000001B">
      <w:pPr>
        <w:pStyle w:val="Heading2"/>
        <w:ind w:left="360" w:firstLine="0"/>
        <w:rPr/>
      </w:pPr>
      <w:bookmarkStart w:colFirst="0" w:colLast="0" w:name="_heading=h.1aiu6j75xyw2" w:id="2"/>
      <w:bookmarkEnd w:id="2"/>
      <w:r w:rsidDel="00000000" w:rsidR="00000000" w:rsidRPr="00000000">
        <w:rPr>
          <w:rtl w:val="0"/>
        </w:rPr>
        <w:t xml:space="preserve">4.2 </w:t>
      </w:r>
      <w:r w:rsidDel="00000000" w:rsidR="00000000" w:rsidRPr="00000000">
        <w:rPr>
          <w:rtl w:val="0"/>
        </w:rPr>
        <w:t xml:space="preserve">Standards </w:t>
      </w:r>
      <w:r w:rsidDel="00000000" w:rsidR="00000000" w:rsidRPr="00000000">
        <w:rPr>
          <w:rtl w:val="0"/>
        </w:rPr>
      </w:r>
    </w:p>
    <w:p w:rsidR="00000000" w:rsidDel="00000000" w:rsidP="00000000" w:rsidRDefault="00000000" w:rsidRPr="00000000" w14:paraId="0000001C">
      <w:pPr>
        <w:numPr>
          <w:ilvl w:val="0"/>
          <w:numId w:val="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openHIE:</w:t>
      </w:r>
    </w:p>
    <w:p w:rsidR="00000000" w:rsidDel="00000000" w:rsidP="00000000" w:rsidRDefault="00000000" w:rsidRPr="00000000" w14:paraId="0000001D">
      <w:pPr>
        <w:numPr>
          <w:ilvl w:val="1"/>
          <w:numId w:val="4"/>
        </w:numPr>
        <w:spacing w:after="0" w:afterAutospacing="0" w:before="0" w:beforeAutospacing="0"/>
        <w:ind w:left="1440" w:hanging="360"/>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HFW-001: Enroll Beneficiary</w:t>
        </w:r>
      </w:hyperlink>
      <w:r w:rsidDel="00000000" w:rsidR="00000000" w:rsidRPr="00000000">
        <w:rPr>
          <w:rtl w:val="0"/>
        </w:rPr>
      </w:r>
    </w:p>
    <w:p w:rsidR="00000000" w:rsidDel="00000000" w:rsidP="00000000" w:rsidRDefault="00000000" w:rsidRPr="00000000" w14:paraId="0000001E">
      <w:pPr>
        <w:numPr>
          <w:ilvl w:val="1"/>
          <w:numId w:val="4"/>
        </w:numPr>
        <w:spacing w:after="0" w:afterAutospacing="0" w:before="0" w:beforeAutospacing="0"/>
        <w:ind w:left="1440" w:hanging="360"/>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HFW-002: Query Beneficiary</w:t>
        </w:r>
      </w:hyperlink>
      <w:r w:rsidDel="00000000" w:rsidR="00000000" w:rsidRPr="00000000">
        <w:rPr>
          <w:rtl w:val="0"/>
        </w:rPr>
      </w:r>
    </w:p>
    <w:p w:rsidR="00000000" w:rsidDel="00000000" w:rsidP="00000000" w:rsidRDefault="00000000" w:rsidRPr="00000000" w14:paraId="0000001F">
      <w:pPr>
        <w:numPr>
          <w:ilvl w:val="1"/>
          <w:numId w:val="4"/>
        </w:numPr>
        <w:spacing w:after="0" w:afterAutospacing="0" w:before="0" w:beforeAutospacing="0"/>
        <w:ind w:left="1440" w:hanging="360"/>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HFW-003: Check Coverage Eligibility</w:t>
        </w:r>
      </w:hyperlink>
      <w:r w:rsidDel="00000000" w:rsidR="00000000" w:rsidRPr="00000000">
        <w:rPr>
          <w:rtl w:val="0"/>
        </w:rPr>
      </w:r>
    </w:p>
    <w:p w:rsidR="00000000" w:rsidDel="00000000" w:rsidP="00000000" w:rsidRDefault="00000000" w:rsidRPr="00000000" w14:paraId="00000020">
      <w:pPr>
        <w:numPr>
          <w:ilvl w:val="1"/>
          <w:numId w:val="4"/>
        </w:numPr>
        <w:spacing w:after="0" w:afterAutospacing="0" w:before="0" w:beforeAutospacing="0"/>
        <w:ind w:left="1440" w:hanging="360"/>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HFW-004: Claiming</w:t>
        </w:r>
      </w:hyperlink>
      <w:r w:rsidDel="00000000" w:rsidR="00000000" w:rsidRPr="00000000">
        <w:rPr>
          <w:rtl w:val="0"/>
        </w:rPr>
      </w:r>
    </w:p>
    <w:p w:rsidR="00000000" w:rsidDel="00000000" w:rsidP="00000000" w:rsidRDefault="00000000" w:rsidRPr="00000000" w14:paraId="00000021">
      <w:pPr>
        <w:numPr>
          <w:ilvl w:val="1"/>
          <w:numId w:val="4"/>
        </w:numPr>
        <w:spacing w:after="0" w:afterAutospacing="0" w:before="0" w:beforeAutospacing="0"/>
        <w:ind w:left="1440" w:hanging="360"/>
        <w:rPr>
          <w:rFonts w:ascii="Calibri" w:cs="Calibri" w:eastAsia="Calibri" w:hAnsi="Calibri"/>
        </w:rPr>
      </w:pPr>
      <w:hyperlink r:id="rId13">
        <w:r w:rsidDel="00000000" w:rsidR="00000000" w:rsidRPr="00000000">
          <w:rPr>
            <w:rFonts w:ascii="Calibri" w:cs="Calibri" w:eastAsia="Calibri" w:hAnsi="Calibri"/>
            <w:color w:val="1155cc"/>
            <w:u w:val="single"/>
            <w:rtl w:val="0"/>
          </w:rPr>
          <w:t xml:space="preserve">HFW-005: Claim Tracking</w:t>
        </w:r>
      </w:hyperlink>
      <w:r w:rsidDel="00000000" w:rsidR="00000000" w:rsidRPr="00000000">
        <w:rPr>
          <w:rtl w:val="0"/>
        </w:rPr>
      </w:r>
    </w:p>
    <w:p w:rsidR="00000000" w:rsidDel="00000000" w:rsidP="00000000" w:rsidRDefault="00000000" w:rsidRPr="00000000" w14:paraId="00000022">
      <w:pPr>
        <w:numPr>
          <w:ilvl w:val="0"/>
          <w:numId w:val="4"/>
        </w:numPr>
        <w:spacing w:after="0" w:afterAutospacing="0" w:before="0" w:before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HL7 FHIR: </w:t>
      </w:r>
      <w:r w:rsidDel="00000000" w:rsidR="00000000" w:rsidRPr="00000000">
        <w:rPr>
          <w:rFonts w:ascii="Arial" w:cs="Arial" w:eastAsia="Arial" w:hAnsi="Arial"/>
          <w:sz w:val="22"/>
          <w:szCs w:val="22"/>
          <w:rtl w:val="0"/>
        </w:rPr>
        <w:t xml:space="preserve">Patient, Organisation, Contract, InsurancePlan, ActivityDefinition, Medication, CoverageEligibilityRequest, CoverageEligibilityResponse, Claim, ClaimResponse </w:t>
      </w:r>
    </w:p>
    <w:p w:rsidR="00000000" w:rsidDel="00000000" w:rsidP="00000000" w:rsidRDefault="00000000" w:rsidRPr="00000000" w14:paraId="00000023">
      <w:pPr>
        <w:numPr>
          <w:ilvl w:val="0"/>
          <w:numId w:val="4"/>
        </w:numPr>
        <w:spacing w:after="0" w:afterAutospacing="0" w:before="0" w:before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PI</w:t>
      </w:r>
    </w:p>
    <w:p w:rsidR="00000000" w:rsidDel="00000000" w:rsidP="00000000" w:rsidRDefault="00000000" w:rsidRPr="00000000" w14:paraId="00000024">
      <w:pPr>
        <w:numPr>
          <w:ilvl w:val="0"/>
          <w:numId w:val="4"/>
        </w:numPr>
        <w:spacing w:after="0" w:afterAutospacing="0" w:before="0" w:before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PIXm (and/or PMIR, PDQm)</w:t>
      </w:r>
    </w:p>
    <w:p w:rsidR="00000000" w:rsidDel="00000000" w:rsidP="00000000" w:rsidRDefault="00000000" w:rsidRPr="00000000" w14:paraId="00000025">
      <w:pPr>
        <w:numPr>
          <w:ilvl w:val="0"/>
          <w:numId w:val="4"/>
        </w:numPr>
        <w:spacing w:after="0" w:afterAutospacing="0" w:before="0" w:before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mCSD</w:t>
      </w:r>
    </w:p>
    <w:p w:rsidR="00000000" w:rsidDel="00000000" w:rsidP="00000000" w:rsidRDefault="00000000" w:rsidRPr="00000000" w14:paraId="00000026">
      <w:pPr>
        <w:numPr>
          <w:ilvl w:val="0"/>
          <w:numId w:val="4"/>
        </w:numPr>
        <w:spacing w:before="0" w:before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SVCM</w:t>
      </w:r>
    </w:p>
    <w:p w:rsidR="00000000" w:rsidDel="00000000" w:rsidP="00000000" w:rsidRDefault="00000000" w:rsidRPr="00000000" w14:paraId="00000027">
      <w:pPr>
        <w:pStyle w:val="Heading1"/>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Discussion</w:t>
      </w:r>
      <w:r w:rsidDel="00000000" w:rsidR="00000000" w:rsidRPr="00000000">
        <w:rPr>
          <w:rtl w:val="0"/>
        </w:rPr>
      </w:r>
    </w:p>
    <w:p w:rsidR="00000000" w:rsidDel="00000000" w:rsidP="00000000" w:rsidRDefault="00000000" w:rsidRPr="00000000" w14:paraId="00000028">
      <w:pPr>
        <w:ind w:left="360" w:firstLine="0"/>
        <w:rPr>
          <w:rFonts w:ascii="Calibri" w:cs="Calibri" w:eastAsia="Calibri" w:hAnsi="Calibri"/>
        </w:rPr>
      </w:pPr>
      <w:r w:rsidDel="00000000" w:rsidR="00000000" w:rsidRPr="00000000">
        <w:rPr>
          <w:rFonts w:ascii="Calibri" w:cs="Calibri" w:eastAsia="Calibri" w:hAnsi="Calibri"/>
          <w:rtl w:val="0"/>
        </w:rPr>
        <w:t xml:space="preserve">Currently there is no specification for payment of health services in covered in IHE profiles (except one very specific use case in Ophthalmology). The proposed Health Financing profile aims to fill this gap. As a result, system builders would be able to align their activities to the HIE profile and FIS producers would be able to build interoperability according to the standard.</w:t>
      </w:r>
    </w:p>
    <w:p w:rsidR="00000000" w:rsidDel="00000000" w:rsidP="00000000" w:rsidRDefault="00000000" w:rsidRPr="00000000" w14:paraId="00000029">
      <w:pPr>
        <w:ind w:left="360" w:firstLine="0"/>
        <w:rPr>
          <w:rFonts w:ascii="Calibri" w:cs="Calibri" w:eastAsia="Calibri" w:hAnsi="Calibri"/>
        </w:rPr>
      </w:pPr>
      <w:r w:rsidDel="00000000" w:rsidR="00000000" w:rsidRPr="00000000">
        <w:rPr>
          <w:rFonts w:ascii="Calibri" w:cs="Calibri" w:eastAsia="Calibri" w:hAnsi="Calibri"/>
          <w:rtl w:val="0"/>
        </w:rPr>
        <w:t xml:space="preserve">IHE would enforce the standard, develop testing scenarios for interoperability connectathons and provide a certification label for software products.</w:t>
      </w:r>
    </w:p>
    <w:p w:rsidR="00000000" w:rsidDel="00000000" w:rsidP="00000000" w:rsidRDefault="00000000" w:rsidRPr="00000000" w14:paraId="0000002A">
      <w:pPr>
        <w:ind w:left="0" w:firstLine="0"/>
        <w:rPr>
          <w:rFonts w:ascii="Calibri" w:cs="Calibri" w:eastAsia="Calibri" w:hAnsi="Calibri"/>
        </w:rPr>
      </w:pPr>
      <w:r w:rsidDel="00000000" w:rsidR="00000000" w:rsidRPr="00000000">
        <w:rPr>
          <w:rtl w:val="0"/>
        </w:rPr>
      </w:r>
    </w:p>
    <w:sectPr>
      <w:headerReference r:id="rId14" w:type="default"/>
      <w:footerReference r:id="rId15" w:type="default"/>
      <w:pgSz w:h="15840" w:w="12240" w:orient="portrait"/>
      <w:pgMar w:bottom="1008" w:top="1008" w:left="1440"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IHE_Profile_Proposal_Template-Brief.doc</w:t>
      <w:tab/>
      <w:tab/>
      <w:t xml:space="preserve">Page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303911" cy="738341"/>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303911" cy="73834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120" w:before="12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720" w:hanging="360"/>
    </w:pPr>
    <w:rPr>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ind w:left="720"/>
    </w:pPr>
    <w:rPr>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qFormat w:val="1"/>
    <w:rsid w:val="0070040F"/>
    <w:pPr>
      <w:spacing w:after="120" w:before="120"/>
    </w:pPr>
    <w:rPr>
      <w:sz w:val="24"/>
      <w:szCs w:val="24"/>
    </w:rPr>
  </w:style>
  <w:style w:type="paragraph" w:styleId="Heading1">
    <w:name w:val="heading 1"/>
    <w:basedOn w:val="Normal"/>
    <w:next w:val="Normal"/>
    <w:qFormat w:val="1"/>
    <w:rsid w:val="00BC2136"/>
    <w:pPr>
      <w:keepNext w:val="1"/>
      <w:numPr>
        <w:numId w:val="12"/>
      </w:numPr>
      <w:spacing w:after="60" w:before="240"/>
      <w:outlineLvl w:val="0"/>
    </w:pPr>
    <w:rPr>
      <w:rFonts w:cs="Arial"/>
      <w:b w:val="1"/>
      <w:bCs w:val="1"/>
      <w:kern w:val="32"/>
      <w:sz w:val="28"/>
      <w:szCs w:val="32"/>
    </w:rPr>
  </w:style>
  <w:style w:type="paragraph" w:styleId="Heading2">
    <w:name w:val="heading 2"/>
    <w:basedOn w:val="Normal"/>
    <w:next w:val="Normal"/>
    <w:qFormat w:val="1"/>
    <w:rsid w:val="00BC2136"/>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qFormat w:val="1"/>
    <w:rsid w:val="00BC2136"/>
    <w:pPr>
      <w:keepNext w:val="1"/>
      <w:ind w:left="720"/>
      <w:outlineLvl w:val="2"/>
    </w:pPr>
    <w:rPr>
      <w:sz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ocumentMap">
    <w:name w:val="Document Map"/>
    <w:basedOn w:val="Normal"/>
    <w:semiHidden w:val="1"/>
    <w:rsid w:val="00BC2136"/>
    <w:pPr>
      <w:shd w:color="auto" w:fill="000080" w:val="clear"/>
    </w:pPr>
    <w:rPr>
      <w:rFonts w:ascii="Tahoma" w:cs="Tahoma" w:hAnsi="Tahoma"/>
    </w:rPr>
  </w:style>
  <w:style w:type="paragraph" w:styleId="BodyText">
    <w:name w:val="Body Text"/>
    <w:rsid w:val="00BC2136"/>
    <w:pPr>
      <w:spacing w:before="120"/>
    </w:pPr>
    <w:rPr>
      <w:noProof w:val="1"/>
      <w:sz w:val="24"/>
    </w:rPr>
  </w:style>
  <w:style w:type="character" w:styleId="Hyperlink">
    <w:name w:val="Hyperlink"/>
    <w:basedOn w:val="DefaultParagraphFont"/>
    <w:rsid w:val="00BC2136"/>
    <w:rPr>
      <w:color w:val="0000ff"/>
      <w:u w:val="single"/>
    </w:rPr>
  </w:style>
  <w:style w:type="paragraph" w:styleId="BalloonText">
    <w:name w:val="Balloon Text"/>
    <w:basedOn w:val="Normal"/>
    <w:semiHidden w:val="1"/>
    <w:rsid w:val="00E66DDA"/>
    <w:rPr>
      <w:rFonts w:ascii="Tahoma" w:cs="Tahoma" w:hAnsi="Tahoma"/>
      <w:sz w:val="16"/>
      <w:szCs w:val="16"/>
    </w:rPr>
  </w:style>
  <w:style w:type="paragraph" w:styleId="Title">
    <w:name w:val="Title"/>
    <w:basedOn w:val="Normal"/>
    <w:qFormat w:val="1"/>
    <w:rsid w:val="005E5451"/>
    <w:pPr>
      <w:spacing w:after="60" w:before="240"/>
      <w:jc w:val="center"/>
      <w:outlineLvl w:val="0"/>
    </w:pPr>
    <w:rPr>
      <w:rFonts w:ascii="Arial" w:cs="Arial" w:hAnsi="Arial"/>
      <w:b w:val="1"/>
      <w:bCs w:val="1"/>
      <w:kern w:val="28"/>
      <w:sz w:val="32"/>
      <w:szCs w:val="32"/>
    </w:rPr>
  </w:style>
  <w:style w:type="paragraph" w:styleId="Header">
    <w:name w:val="header"/>
    <w:basedOn w:val="Normal"/>
    <w:link w:val="HeaderChar"/>
    <w:uiPriority w:val="99"/>
    <w:unhideWhenUsed w:val="1"/>
    <w:rsid w:val="00906C8A"/>
    <w:pPr>
      <w:tabs>
        <w:tab w:val="center" w:pos="4680"/>
        <w:tab w:val="right" w:pos="9360"/>
      </w:tabs>
    </w:pPr>
  </w:style>
  <w:style w:type="character" w:styleId="HeaderChar" w:customStyle="1">
    <w:name w:val="Header Char"/>
    <w:basedOn w:val="DefaultParagraphFont"/>
    <w:link w:val="Header"/>
    <w:uiPriority w:val="99"/>
    <w:rsid w:val="00906C8A"/>
    <w:rPr>
      <w:sz w:val="24"/>
      <w:szCs w:val="24"/>
    </w:rPr>
  </w:style>
  <w:style w:type="paragraph" w:styleId="Footer">
    <w:name w:val="footer"/>
    <w:basedOn w:val="Normal"/>
    <w:link w:val="FooterChar"/>
    <w:uiPriority w:val="99"/>
    <w:unhideWhenUsed w:val="1"/>
    <w:rsid w:val="00906C8A"/>
    <w:pPr>
      <w:tabs>
        <w:tab w:val="center" w:pos="4680"/>
        <w:tab w:val="right" w:pos="9360"/>
      </w:tabs>
    </w:pPr>
  </w:style>
  <w:style w:type="character" w:styleId="FooterChar" w:customStyle="1">
    <w:name w:val="Footer Char"/>
    <w:basedOn w:val="DefaultParagraphFont"/>
    <w:link w:val="Footer"/>
    <w:uiPriority w:val="99"/>
    <w:rsid w:val="00906C8A"/>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guides.ohie.org/arch-spec/introduction/openhie-finance-and-insurance-services-workflows/hfw-003-check-coverage-eligibility" TargetMode="External"/><Relationship Id="rId10" Type="http://schemas.openxmlformats.org/officeDocument/2006/relationships/hyperlink" Target="https://guides.ohie.org/arch-spec/introduction/openhie-finance-and-insurance-services-workflows/hfw-002-query-beneficiary" TargetMode="External"/><Relationship Id="rId13" Type="http://schemas.openxmlformats.org/officeDocument/2006/relationships/hyperlink" Target="https://guides.ohie.org/arch-spec/introduction/openhie-finance-and-insurance-services-workflows/hfw-005-claim-tracking" TargetMode="External"/><Relationship Id="rId12" Type="http://schemas.openxmlformats.org/officeDocument/2006/relationships/hyperlink" Target="https://guides.ohie.org/arch-spec/introduction/openhie-finance-and-insurance-services-workflows/hfw-004-claim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uides.ohie.org/arch-spec/introduction/openhie-finance-and-insurance-services-workflows/hfw-001-enroll-beneficiary"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uides.ohie.org/arch-spec/openhie-component-specifications-1/openhie-finance-and-insurance-service" TargetMode="External"/><Relationship Id="rId8" Type="http://schemas.openxmlformats.org/officeDocument/2006/relationships/hyperlink" Target="https://guides.ohie.org/arch-spec/openhie-component-specifications-1/point-of-care-system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d5n3Jss1Sx5jSVb0Y7I5ksffrg==">AMUW2mWBGEaEU9GsBxSxRc0pAN8TDhpUclsb6gezOBqvNnBKHHOo+NnZjfkGxRmHHILfiXpBjsGBUsUsRUJitx7zqj7WlldgmV/jIarWQHpjTtJoDt82UPVBdxXR+BQ11DwCkcImqpNAlxN8TgFV4bmV4S5nxbAz+rgUDpHu3bHQ1G+7AiQmVD4n0KqXJpTQSHoW8Fc3gY2sKUrC8QUcpA/GsFL5Q4JPJG/exI4eC7Dt+12+DB8UuWEJUxeNZBBihRTmhIOKWQUMzRWfhkzTrZ6Wf42uGnPEpZiflnWjixeJj56Z5/qw+uteznCF7my+M4FyFxLLFfq5CsL/3wNutJ3jD//q6p1V2PFPiFGMNzN9vZMwamwdIBmsm7X3t5Gtwr6+HiQxWjbDMQfsoh1oWBOC2hxW0s5M7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2013-07-24T17:13:00Z</dcterms:created>
  <dc:creator>Kevin O'Donnell</dc:creator>
</cp:coreProperties>
</file>