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DE4E" w14:textId="77777777" w:rsidR="00995C5A" w:rsidRDefault="00995C5A" w:rsidP="00BD34B9">
      <w:pPr>
        <w:pStyle w:val="Title"/>
        <w:rPr>
          <w:sz w:val="40"/>
          <w:szCs w:val="40"/>
        </w:rPr>
      </w:pPr>
    </w:p>
    <w:p w14:paraId="11388297" w14:textId="0CAF8646" w:rsidR="00BD34B9" w:rsidRPr="00C8021A" w:rsidRDefault="00BD34B9" w:rsidP="00BD34B9">
      <w:pPr>
        <w:pStyle w:val="Title"/>
        <w:rPr>
          <w:sz w:val="40"/>
          <w:szCs w:val="40"/>
        </w:rPr>
      </w:pPr>
      <w:r w:rsidRPr="00C8021A">
        <w:rPr>
          <w:sz w:val="40"/>
          <w:szCs w:val="40"/>
        </w:rPr>
        <w:t xml:space="preserve">Board Report: IHE </w:t>
      </w:r>
      <w:r w:rsidR="00436FB2">
        <w:rPr>
          <w:sz w:val="40"/>
          <w:szCs w:val="40"/>
        </w:rPr>
        <w:t>ITI</w:t>
      </w:r>
      <w:r w:rsidRPr="00C8021A">
        <w:rPr>
          <w:sz w:val="40"/>
          <w:szCs w:val="40"/>
        </w:rPr>
        <w:t xml:space="preserve"> Domain</w:t>
      </w:r>
    </w:p>
    <w:p w14:paraId="3FF6A76F" w14:textId="77777777" w:rsidR="001677CF" w:rsidRDefault="001677CF" w:rsidP="001677CF">
      <w:pPr>
        <w:pStyle w:val="SectionHeading"/>
      </w:pPr>
      <w:r>
        <w:t>Sponsors:</w:t>
      </w:r>
    </w:p>
    <w:p w14:paraId="7482303A" w14:textId="77777777" w:rsidR="00403870" w:rsidRDefault="00403870" w:rsidP="001677CF">
      <w:pPr>
        <w:pStyle w:val="SectionHeading"/>
        <w:rPr>
          <w:b w:val="0"/>
          <w:u w:val="none"/>
        </w:rPr>
      </w:pPr>
      <w:r w:rsidRPr="00403870">
        <w:rPr>
          <w:b w:val="0"/>
          <w:u w:val="none"/>
        </w:rPr>
        <w:t>Health Information Management Systems Society (HIMSS)</w:t>
      </w:r>
    </w:p>
    <w:p w14:paraId="41811848" w14:textId="77777777" w:rsidR="001677CF" w:rsidRDefault="001011D3" w:rsidP="001677CF">
      <w:pPr>
        <w:pStyle w:val="SectionHeading"/>
      </w:pPr>
      <w:r>
        <w:t>Leadership</w:t>
      </w:r>
      <w:r w:rsidR="001677CF">
        <w:t xml:space="preserve">: </w:t>
      </w:r>
    </w:p>
    <w:p w14:paraId="108D5BB3" w14:textId="77777777" w:rsidR="001677CF" w:rsidRDefault="001011D3" w:rsidP="002472AE">
      <w:pPr>
        <w:pStyle w:val="ListParagraph"/>
        <w:numPr>
          <w:ilvl w:val="0"/>
          <w:numId w:val="23"/>
        </w:numPr>
      </w:pPr>
      <w:r>
        <w:t xml:space="preserve">Secretariat: </w:t>
      </w:r>
      <w:r>
        <w:tab/>
      </w:r>
      <w:r>
        <w:tab/>
      </w:r>
      <w:r w:rsidR="00403870" w:rsidRPr="00403870">
        <w:t xml:space="preserve">Bell, Sarah </w:t>
      </w:r>
      <w:hyperlink r:id="rId5" w:history="1">
        <w:r w:rsidR="003A65AD" w:rsidRPr="006357D5">
          <w:rPr>
            <w:rStyle w:val="Hyperlink"/>
          </w:rPr>
          <w:t>Sarah.Bell@himss.org</w:t>
        </w:r>
      </w:hyperlink>
      <w:r w:rsidR="003A65AD">
        <w:t xml:space="preserve"> </w:t>
      </w:r>
    </w:p>
    <w:p w14:paraId="1A0397D4" w14:textId="77777777" w:rsidR="007861FC" w:rsidRDefault="001011D3" w:rsidP="002472AE">
      <w:pPr>
        <w:pStyle w:val="ListParagraph"/>
        <w:numPr>
          <w:ilvl w:val="0"/>
          <w:numId w:val="23"/>
        </w:numPr>
      </w:pPr>
      <w:r>
        <w:t xml:space="preserve">Board Representative:  </w:t>
      </w:r>
      <w:r>
        <w:tab/>
      </w:r>
      <w:r w:rsidR="00B33061">
        <w:t>ITI Co-chairs for 2021</w:t>
      </w:r>
    </w:p>
    <w:p w14:paraId="16E46387" w14:textId="77777777" w:rsidR="000B1357" w:rsidRDefault="001011D3" w:rsidP="002472AE">
      <w:pPr>
        <w:pStyle w:val="ListParagraph"/>
        <w:numPr>
          <w:ilvl w:val="0"/>
          <w:numId w:val="23"/>
        </w:numPr>
      </w:pPr>
      <w:r>
        <w:t>Plan Cmte Co-chair:</w:t>
      </w:r>
      <w:r>
        <w:tab/>
      </w:r>
      <w:r w:rsidR="00B3389D" w:rsidRPr="00B3389D">
        <w:t>John Moehrke</w:t>
      </w:r>
      <w:r w:rsidR="00056C8D" w:rsidRPr="00056C8D">
        <w:t xml:space="preserve">, </w:t>
      </w:r>
      <w:r w:rsidR="00B33061" w:rsidRPr="00B33061">
        <w:t>ByLight Consulting</w:t>
      </w:r>
    </w:p>
    <w:p w14:paraId="52CAFEC5" w14:textId="77777777" w:rsidR="001011D3" w:rsidRDefault="001011D3" w:rsidP="002472AE">
      <w:pPr>
        <w:pStyle w:val="ListParagraph"/>
        <w:numPr>
          <w:ilvl w:val="0"/>
          <w:numId w:val="23"/>
        </w:numPr>
      </w:pPr>
      <w:r>
        <w:t>Plan Cmte Co-chair:</w:t>
      </w:r>
      <w:r>
        <w:tab/>
      </w:r>
      <w:r w:rsidR="00B3389D">
        <w:t>Steve Nichols,  GE Healthcare</w:t>
      </w:r>
    </w:p>
    <w:p w14:paraId="509CA568" w14:textId="77777777" w:rsidR="000B1357" w:rsidRDefault="001011D3" w:rsidP="002472AE">
      <w:pPr>
        <w:pStyle w:val="ListParagraph"/>
        <w:numPr>
          <w:ilvl w:val="0"/>
          <w:numId w:val="23"/>
        </w:numPr>
      </w:pPr>
      <w:r>
        <w:t>Tech Cmte Co-chair:</w:t>
      </w:r>
      <w:r>
        <w:tab/>
      </w:r>
      <w:r w:rsidR="00B3389D" w:rsidRPr="00B3389D">
        <w:t>Luke Duncan</w:t>
      </w:r>
      <w:r w:rsidR="00056C8D" w:rsidRPr="00056C8D">
        <w:t xml:space="preserve">, </w:t>
      </w:r>
      <w:r w:rsidR="001E2851">
        <w:t>PATH</w:t>
      </w:r>
    </w:p>
    <w:p w14:paraId="24825875" w14:textId="77777777" w:rsidR="001011D3" w:rsidRDefault="001011D3" w:rsidP="002472AE">
      <w:pPr>
        <w:pStyle w:val="ListParagraph"/>
        <w:numPr>
          <w:ilvl w:val="0"/>
          <w:numId w:val="23"/>
        </w:numPr>
      </w:pPr>
      <w:r>
        <w:t>Tech Cmte Co-chair:</w:t>
      </w:r>
      <w:r>
        <w:tab/>
      </w:r>
      <w:r w:rsidR="00B3389D">
        <w:t>O</w:t>
      </w:r>
      <w:r w:rsidR="00B3389D" w:rsidRPr="00B3389D">
        <w:t>liver</w:t>
      </w:r>
      <w:r w:rsidR="00B3389D">
        <w:t xml:space="preserve"> E</w:t>
      </w:r>
      <w:r w:rsidR="00B3389D" w:rsidRPr="00B3389D">
        <w:t>gger</w:t>
      </w:r>
      <w:r w:rsidR="00B3389D">
        <w:t xml:space="preserve">, </w:t>
      </w:r>
      <w:r w:rsidR="001E2851" w:rsidRPr="001E2851">
        <w:t>ahdis ag</w:t>
      </w:r>
    </w:p>
    <w:p w14:paraId="37883388" w14:textId="77777777" w:rsidR="00BD34B9" w:rsidRPr="002935A4" w:rsidRDefault="001011D3" w:rsidP="002935A4">
      <w:pPr>
        <w:pStyle w:val="SectionHeading"/>
      </w:pPr>
      <w:r>
        <w:t>Membership Roster</w:t>
      </w:r>
      <w:r w:rsidR="00BD34B9" w:rsidRPr="002935A4">
        <w:t>s:</w:t>
      </w:r>
    </w:p>
    <w:p w14:paraId="7F2DB6A1" w14:textId="2B4DF39C" w:rsidR="006655C1" w:rsidRDefault="00B33061" w:rsidP="00B33061">
      <w:pPr>
        <w:pStyle w:val="ListParagraph"/>
        <w:ind w:left="0"/>
      </w:pPr>
      <w:r w:rsidRPr="00B33061">
        <w:t xml:space="preserve">Planning and Technical Committee: </w:t>
      </w:r>
      <w:r w:rsidR="006655C1" w:rsidRPr="001011D3">
        <w:t xml:space="preserve"> </w:t>
      </w:r>
      <w:r w:rsidR="006655C1">
        <w:t xml:space="preserve"> </w:t>
      </w:r>
      <w:hyperlink r:id="rId6" w:history="1">
        <w:r w:rsidR="003A65AD" w:rsidRPr="006357D5">
          <w:rPr>
            <w:rStyle w:val="Hyperlink"/>
          </w:rPr>
          <w:t>https://docs.google.com/spreadsheets/d/1YcihcqpJERNeTDSzFK7yXtNfs2MTVQTlifW-hmhTAQI/edit?usp=sharing</w:t>
        </w:r>
      </w:hyperlink>
      <w:r w:rsidR="003A65AD">
        <w:t xml:space="preserve"> </w:t>
      </w:r>
    </w:p>
    <w:p w14:paraId="688772F9" w14:textId="2F52A95A" w:rsidR="00E870CE" w:rsidRDefault="00E870CE" w:rsidP="00B33061">
      <w:pPr>
        <w:pStyle w:val="ListParagraph"/>
        <w:ind w:left="0"/>
      </w:pPr>
    </w:p>
    <w:p w14:paraId="212553D3" w14:textId="77777777" w:rsidR="00E870CE" w:rsidRDefault="00E870CE" w:rsidP="00E870CE">
      <w:pPr>
        <w:pStyle w:val="ListParagraph"/>
        <w:ind w:left="0"/>
      </w:pPr>
      <w:r>
        <w:t>ITI Technical Google Group: 580 Members</w:t>
      </w:r>
    </w:p>
    <w:p w14:paraId="300D8A10" w14:textId="2A9B11A3" w:rsidR="00E870CE" w:rsidRDefault="00E870CE" w:rsidP="00E870CE">
      <w:pPr>
        <w:pStyle w:val="ListParagraph"/>
        <w:ind w:left="0"/>
      </w:pPr>
      <w:r>
        <w:t>ITI Planning Google Group: 231 Members</w:t>
      </w:r>
    </w:p>
    <w:p w14:paraId="1A005915" w14:textId="74A93362" w:rsidR="004E5D72" w:rsidRDefault="004E5D72" w:rsidP="00E870CE">
      <w:pPr>
        <w:pStyle w:val="ListParagraph"/>
        <w:ind w:left="0"/>
      </w:pPr>
      <w:r>
        <w:t xml:space="preserve">MHD </w:t>
      </w:r>
      <w:r w:rsidR="00A47290">
        <w:t>I</w:t>
      </w:r>
      <w:r>
        <w:t>mplementers Google Group: 161 members</w:t>
      </w:r>
    </w:p>
    <w:p w14:paraId="5C01D603" w14:textId="2F18C997" w:rsidR="009B1153" w:rsidRDefault="009B1153" w:rsidP="00E870CE">
      <w:pPr>
        <w:pStyle w:val="ListParagraph"/>
        <w:ind w:left="0"/>
      </w:pPr>
      <w:r w:rsidRPr="009B1153">
        <w:t>IHE XDS Implementors</w:t>
      </w:r>
      <w:r>
        <w:t xml:space="preserve"> Google Group:</w:t>
      </w:r>
      <w:r w:rsidR="00A47290">
        <w:t xml:space="preserve"> (unk)</w:t>
      </w:r>
    </w:p>
    <w:p w14:paraId="17C4309B" w14:textId="77777777" w:rsidR="007C77EA" w:rsidRDefault="0062654F" w:rsidP="002935A4">
      <w:pPr>
        <w:pStyle w:val="SectionHeading"/>
      </w:pPr>
      <w:r>
        <w:t>Activity</w:t>
      </w:r>
      <w:r w:rsidR="00BD34B9">
        <w:t xml:space="preserve">: </w:t>
      </w:r>
    </w:p>
    <w:p w14:paraId="5C89765C" w14:textId="679F6448" w:rsidR="007C77EA" w:rsidRDefault="00B33061" w:rsidP="002472AE">
      <w:pPr>
        <w:pStyle w:val="ListParagraph"/>
        <w:numPr>
          <w:ilvl w:val="0"/>
          <w:numId w:val="22"/>
        </w:numPr>
      </w:pPr>
      <w:r>
        <w:rPr>
          <w:rFonts w:cs="Calibri"/>
          <w:color w:val="000000"/>
        </w:rPr>
        <w:t xml:space="preserve">Domain Scope: The IT Infrastructure Domain defines interoperable infrastructure for the secure sharing  of healthcare information independent of clinical domain. Interoperable infrastructure is necessary to  support common IT functions for a variety of use </w:t>
      </w:r>
      <w:r w:rsidR="00811116">
        <w:rPr>
          <w:rFonts w:cs="Calibri"/>
          <w:color w:val="000000"/>
        </w:rPr>
        <w:t>cases but</w:t>
      </w:r>
      <w:r>
        <w:rPr>
          <w:rFonts w:cs="Calibri"/>
          <w:color w:val="000000"/>
        </w:rPr>
        <w:t xml:space="preserve"> is rarely visible to the end user. Components  supporting interoperable infrastructure may be embedded in </w:t>
      </w:r>
      <w:r w:rsidR="00811116">
        <w:rPr>
          <w:rFonts w:cs="Calibri"/>
          <w:color w:val="000000"/>
        </w:rPr>
        <w:t>applications but</w:t>
      </w:r>
      <w:r>
        <w:rPr>
          <w:rFonts w:cs="Calibri"/>
          <w:color w:val="000000"/>
        </w:rPr>
        <w:t xml:space="preserve"> are often deployed as a  shared resource within an organization or a regional or national health information exchange</w:t>
      </w:r>
      <w:r w:rsidR="003A65AD">
        <w:t>.</w:t>
      </w:r>
    </w:p>
    <w:p w14:paraId="208E8F46" w14:textId="77777777" w:rsidR="00B33061" w:rsidRPr="00B33061" w:rsidRDefault="00B33061" w:rsidP="002472AE">
      <w:pPr>
        <w:pStyle w:val="ListParagraph"/>
        <w:numPr>
          <w:ilvl w:val="0"/>
          <w:numId w:val="22"/>
        </w:numPr>
      </w:pPr>
      <w:r>
        <w:rPr>
          <w:rFonts w:cs="Calibri"/>
          <w:color w:val="000000"/>
        </w:rPr>
        <w:t xml:space="preserve">Current Cycle Timeline/Milestones: </w:t>
      </w:r>
      <w:hyperlink r:id="rId7" w:history="1">
        <w:r w:rsidRPr="0030619A">
          <w:rPr>
            <w:rStyle w:val="Hyperlink"/>
            <w:rFonts w:cs="Calibri"/>
          </w:rPr>
          <w:t>http://wiki.ihe.net/index.php?title=IT_Infrastructure</w:t>
        </w:r>
      </w:hyperlink>
    </w:p>
    <w:p w14:paraId="181B40D5" w14:textId="77777777" w:rsidR="00B33061" w:rsidRPr="00B33061" w:rsidRDefault="00B33061" w:rsidP="002472AE">
      <w:pPr>
        <w:pStyle w:val="ListParagraph"/>
        <w:numPr>
          <w:ilvl w:val="0"/>
          <w:numId w:val="22"/>
        </w:numPr>
      </w:pPr>
      <w:r w:rsidRPr="00B33061">
        <w:t xml:space="preserve">Background: IHE ITI was established by HIMSS &amp; RSNA in 2002 in order to address use cases that cross  multiple clinical domains and rely on a common IT Infrastructure.  </w:t>
      </w:r>
    </w:p>
    <w:p w14:paraId="6892DB08" w14:textId="77777777" w:rsidR="007C77EA" w:rsidRDefault="00C8021A" w:rsidP="002935A4">
      <w:pPr>
        <w:pStyle w:val="SectionHeading"/>
      </w:pPr>
      <w:r>
        <w:t>Most Significant</w:t>
      </w:r>
      <w:r w:rsidR="007C77EA">
        <w:t xml:space="preserve"> Profiles:</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894"/>
        <w:gridCol w:w="1075"/>
        <w:gridCol w:w="3724"/>
        <w:gridCol w:w="3573"/>
      </w:tblGrid>
      <w:tr w:rsidR="00AD6AC9" w:rsidRPr="006651A8" w14:paraId="6C27DDA5" w14:textId="77777777" w:rsidTr="00811AE9">
        <w:trPr>
          <w:cantSplit/>
          <w:tblHeader/>
        </w:trPr>
        <w:tc>
          <w:tcPr>
            <w:tcW w:w="1552" w:type="dxa"/>
            <w:vAlign w:val="center"/>
          </w:tcPr>
          <w:p w14:paraId="64E9AFD3" w14:textId="77777777" w:rsidR="00AD6AC9" w:rsidRPr="006651A8" w:rsidRDefault="00AD6AC9" w:rsidP="009E410E">
            <w:pPr>
              <w:spacing w:line="240" w:lineRule="auto"/>
              <w:jc w:val="center"/>
              <w:rPr>
                <w:rFonts w:cs="Calibri"/>
                <w:b/>
                <w:sz w:val="20"/>
                <w:szCs w:val="20"/>
              </w:rPr>
            </w:pPr>
            <w:r w:rsidRPr="006651A8">
              <w:rPr>
                <w:rFonts w:cs="Calibri"/>
                <w:b/>
                <w:sz w:val="20"/>
                <w:szCs w:val="20"/>
              </w:rPr>
              <w:lastRenderedPageBreak/>
              <w:t>Title</w:t>
            </w:r>
          </w:p>
        </w:tc>
        <w:tc>
          <w:tcPr>
            <w:tcW w:w="894" w:type="dxa"/>
            <w:tcMar>
              <w:left w:w="0" w:type="dxa"/>
              <w:right w:w="0" w:type="dxa"/>
            </w:tcMar>
            <w:vAlign w:val="center"/>
          </w:tcPr>
          <w:p w14:paraId="740B1D65" w14:textId="77777777" w:rsidR="00AD6AC9" w:rsidRPr="006651A8" w:rsidRDefault="00D94676" w:rsidP="00A22D70">
            <w:pPr>
              <w:spacing w:line="240" w:lineRule="auto"/>
              <w:jc w:val="center"/>
              <w:rPr>
                <w:rFonts w:cs="Calibri"/>
                <w:b/>
                <w:sz w:val="20"/>
                <w:szCs w:val="20"/>
              </w:rPr>
            </w:pPr>
            <w:r w:rsidRPr="006651A8">
              <w:rPr>
                <w:rFonts w:cs="Calibri"/>
                <w:b/>
                <w:sz w:val="20"/>
                <w:szCs w:val="20"/>
              </w:rPr>
              <w:t># vendor @Cthon</w:t>
            </w:r>
          </w:p>
        </w:tc>
        <w:tc>
          <w:tcPr>
            <w:tcW w:w="1075" w:type="dxa"/>
            <w:tcMar>
              <w:left w:w="0" w:type="dxa"/>
              <w:right w:w="0" w:type="dxa"/>
            </w:tcMar>
            <w:vAlign w:val="center"/>
          </w:tcPr>
          <w:p w14:paraId="6973B389" w14:textId="77777777" w:rsidR="00AD6AC9" w:rsidRPr="006651A8" w:rsidRDefault="00D94676" w:rsidP="00D94676">
            <w:pPr>
              <w:spacing w:line="240" w:lineRule="auto"/>
              <w:jc w:val="center"/>
              <w:rPr>
                <w:rFonts w:cs="Calibri"/>
                <w:b/>
                <w:sz w:val="20"/>
                <w:szCs w:val="20"/>
              </w:rPr>
            </w:pPr>
            <w:r w:rsidRPr="006651A8">
              <w:rPr>
                <w:rFonts w:cs="Calibri"/>
                <w:b/>
                <w:sz w:val="20"/>
                <w:szCs w:val="20"/>
              </w:rPr>
              <w:t># product @Registry</w:t>
            </w:r>
          </w:p>
        </w:tc>
        <w:tc>
          <w:tcPr>
            <w:tcW w:w="3724" w:type="dxa"/>
            <w:vAlign w:val="center"/>
          </w:tcPr>
          <w:p w14:paraId="16BB74C0" w14:textId="77777777" w:rsidR="00AD6AC9" w:rsidRPr="006651A8" w:rsidRDefault="00AD6AC9" w:rsidP="009E410E">
            <w:pPr>
              <w:spacing w:line="240" w:lineRule="auto"/>
              <w:jc w:val="center"/>
              <w:rPr>
                <w:rFonts w:cs="Calibri"/>
                <w:b/>
                <w:sz w:val="20"/>
                <w:szCs w:val="20"/>
              </w:rPr>
            </w:pPr>
            <w:r w:rsidRPr="006651A8">
              <w:rPr>
                <w:rFonts w:cs="Calibri"/>
                <w:b/>
                <w:sz w:val="20"/>
                <w:szCs w:val="20"/>
              </w:rPr>
              <w:t>Description</w:t>
            </w:r>
          </w:p>
        </w:tc>
        <w:tc>
          <w:tcPr>
            <w:tcW w:w="3573" w:type="dxa"/>
            <w:vAlign w:val="center"/>
          </w:tcPr>
          <w:p w14:paraId="307AA565" w14:textId="77777777" w:rsidR="00AD6AC9" w:rsidRPr="006651A8" w:rsidRDefault="00D94676" w:rsidP="009E410E">
            <w:pPr>
              <w:spacing w:line="240" w:lineRule="auto"/>
              <w:jc w:val="center"/>
              <w:rPr>
                <w:rFonts w:cs="Calibri"/>
                <w:b/>
                <w:sz w:val="20"/>
                <w:szCs w:val="20"/>
              </w:rPr>
            </w:pPr>
            <w:r w:rsidRPr="006651A8">
              <w:rPr>
                <w:rFonts w:cs="Calibri"/>
                <w:b/>
                <w:sz w:val="20"/>
                <w:szCs w:val="20"/>
              </w:rPr>
              <w:t xml:space="preserve">External </w:t>
            </w:r>
            <w:r w:rsidR="00747E5A" w:rsidRPr="006651A8">
              <w:rPr>
                <w:rFonts w:cs="Calibri"/>
                <w:b/>
                <w:sz w:val="20"/>
                <w:szCs w:val="20"/>
              </w:rPr>
              <w:t>Significance</w:t>
            </w:r>
          </w:p>
        </w:tc>
      </w:tr>
      <w:tr w:rsidR="00AD6AC9" w:rsidRPr="006651A8" w14:paraId="3EE4ACBB" w14:textId="77777777" w:rsidTr="00811AE9">
        <w:trPr>
          <w:cantSplit/>
        </w:trPr>
        <w:tc>
          <w:tcPr>
            <w:tcW w:w="1552" w:type="dxa"/>
          </w:tcPr>
          <w:p w14:paraId="506EE77F" w14:textId="77777777" w:rsidR="00AD6AC9" w:rsidRPr="006651A8" w:rsidRDefault="00970C87" w:rsidP="006655C1">
            <w:pPr>
              <w:spacing w:line="240" w:lineRule="auto"/>
              <w:rPr>
                <w:rFonts w:cs="Calibri"/>
                <w:sz w:val="20"/>
                <w:szCs w:val="20"/>
              </w:rPr>
            </w:pPr>
            <w:r w:rsidRPr="006651A8">
              <w:rPr>
                <w:rFonts w:cs="Calibri"/>
                <w:sz w:val="20"/>
                <w:szCs w:val="20"/>
              </w:rPr>
              <w:t>Audit Trail and Node Authentication (ATNA)</w:t>
            </w:r>
          </w:p>
        </w:tc>
        <w:tc>
          <w:tcPr>
            <w:tcW w:w="894" w:type="dxa"/>
          </w:tcPr>
          <w:p w14:paraId="49B3C3FC" w14:textId="77777777" w:rsidR="00D94676" w:rsidRPr="006651A8" w:rsidRDefault="007A7F8C" w:rsidP="00D94676">
            <w:pPr>
              <w:spacing w:line="240" w:lineRule="auto"/>
              <w:jc w:val="center"/>
              <w:rPr>
                <w:rFonts w:cs="Calibri"/>
                <w:sz w:val="20"/>
                <w:szCs w:val="20"/>
              </w:rPr>
            </w:pPr>
            <w:r w:rsidRPr="006651A8">
              <w:rPr>
                <w:rFonts w:cs="Calibri"/>
                <w:sz w:val="20"/>
                <w:szCs w:val="20"/>
              </w:rPr>
              <w:t>360</w:t>
            </w:r>
          </w:p>
        </w:tc>
        <w:tc>
          <w:tcPr>
            <w:tcW w:w="1075" w:type="dxa"/>
          </w:tcPr>
          <w:p w14:paraId="10727404" w14:textId="77777777" w:rsidR="00AD6AC9" w:rsidRPr="006651A8" w:rsidRDefault="00970C87" w:rsidP="009E410E">
            <w:pPr>
              <w:spacing w:line="240" w:lineRule="auto"/>
              <w:jc w:val="center"/>
              <w:rPr>
                <w:rFonts w:cs="Calibri"/>
                <w:sz w:val="20"/>
                <w:szCs w:val="20"/>
              </w:rPr>
            </w:pPr>
            <w:r w:rsidRPr="006651A8">
              <w:rPr>
                <w:rFonts w:cs="Calibri"/>
                <w:sz w:val="20"/>
                <w:szCs w:val="20"/>
              </w:rPr>
              <w:t>138</w:t>
            </w:r>
          </w:p>
        </w:tc>
        <w:tc>
          <w:tcPr>
            <w:tcW w:w="3724" w:type="dxa"/>
          </w:tcPr>
          <w:p w14:paraId="11D96C49" w14:textId="77777777" w:rsidR="00AD6AC9" w:rsidRPr="006651A8" w:rsidRDefault="00970C87" w:rsidP="009E410E">
            <w:pPr>
              <w:spacing w:line="240" w:lineRule="auto"/>
              <w:rPr>
                <w:rFonts w:cs="Calibri"/>
                <w:sz w:val="20"/>
                <w:szCs w:val="20"/>
              </w:rPr>
            </w:pPr>
            <w:r w:rsidRPr="006651A8">
              <w:rPr>
                <w:rFonts w:cs="Calibri"/>
                <w:sz w:val="20"/>
                <w:szCs w:val="20"/>
              </w:rPr>
              <w:t>Establishes security measures which, together with the Security Policy and Procedures, provide patient information confidentiality, data integrity and user accountability</w:t>
            </w:r>
          </w:p>
        </w:tc>
        <w:tc>
          <w:tcPr>
            <w:tcW w:w="3573" w:type="dxa"/>
          </w:tcPr>
          <w:p w14:paraId="5D1BF426" w14:textId="77777777" w:rsidR="002014AA" w:rsidRPr="006651A8" w:rsidRDefault="002014AA" w:rsidP="002014AA">
            <w:pPr>
              <w:spacing w:after="80" w:line="240" w:lineRule="auto"/>
              <w:rPr>
                <w:rFonts w:cs="Calibri"/>
                <w:sz w:val="20"/>
                <w:szCs w:val="20"/>
              </w:rPr>
            </w:pPr>
            <w:r w:rsidRPr="006651A8">
              <w:rPr>
                <w:rFonts w:cs="Calibri"/>
                <w:sz w:val="20"/>
                <w:szCs w:val="20"/>
              </w:rPr>
              <w:t>Endorsed by the European Commission</w:t>
            </w:r>
          </w:p>
          <w:p w14:paraId="14724886" w14:textId="77777777" w:rsidR="005E548B" w:rsidRPr="006651A8" w:rsidRDefault="005E548B" w:rsidP="005E548B">
            <w:pPr>
              <w:spacing w:line="240" w:lineRule="auto"/>
              <w:rPr>
                <w:rFonts w:cs="Calibri"/>
                <w:sz w:val="20"/>
                <w:szCs w:val="20"/>
              </w:rPr>
            </w:pPr>
            <w:r w:rsidRPr="006651A8">
              <w:rPr>
                <w:rFonts w:cs="Calibri"/>
                <w:sz w:val="20"/>
                <w:szCs w:val="20"/>
              </w:rPr>
              <w:t>1,300 results Google Scholar search terms “IHE XDS”</w:t>
            </w:r>
          </w:p>
          <w:p w14:paraId="7F54F3AC" w14:textId="77777777" w:rsidR="00B6030B" w:rsidRPr="006651A8" w:rsidRDefault="00B6030B" w:rsidP="002014AA">
            <w:pPr>
              <w:spacing w:after="80" w:line="240" w:lineRule="auto"/>
              <w:rPr>
                <w:rFonts w:cs="Calibri"/>
                <w:sz w:val="20"/>
                <w:szCs w:val="20"/>
              </w:rPr>
            </w:pPr>
            <w:r w:rsidRPr="006651A8">
              <w:rPr>
                <w:rFonts w:cs="Calibri"/>
                <w:sz w:val="20"/>
                <w:szCs w:val="20"/>
              </w:rPr>
              <w:t>Support / Alignment with</w:t>
            </w:r>
          </w:p>
          <w:p w14:paraId="79151A1F" w14:textId="77777777" w:rsidR="00B6030B" w:rsidRPr="006651A8" w:rsidRDefault="00B6030B" w:rsidP="002014AA">
            <w:pPr>
              <w:numPr>
                <w:ilvl w:val="0"/>
                <w:numId w:val="9"/>
              </w:numPr>
              <w:spacing w:after="80" w:line="240" w:lineRule="auto"/>
              <w:ind w:left="135" w:hanging="135"/>
              <w:rPr>
                <w:rFonts w:cs="Calibri"/>
                <w:sz w:val="20"/>
                <w:szCs w:val="20"/>
              </w:rPr>
            </w:pPr>
            <w:r w:rsidRPr="006651A8">
              <w:rPr>
                <w:rFonts w:cs="Calibri"/>
                <w:sz w:val="20"/>
                <w:szCs w:val="20"/>
              </w:rPr>
              <w:t>MDR 17.4, 23.4</w:t>
            </w:r>
          </w:p>
          <w:p w14:paraId="39981538" w14:textId="77777777" w:rsidR="00B6030B" w:rsidRPr="006651A8" w:rsidRDefault="00B6030B" w:rsidP="002014AA">
            <w:pPr>
              <w:numPr>
                <w:ilvl w:val="0"/>
                <w:numId w:val="9"/>
              </w:numPr>
              <w:spacing w:after="80" w:line="240" w:lineRule="auto"/>
              <w:ind w:left="135" w:hanging="135"/>
              <w:rPr>
                <w:rFonts w:cs="Calibri"/>
                <w:sz w:val="20"/>
                <w:szCs w:val="20"/>
              </w:rPr>
            </w:pPr>
            <w:r w:rsidRPr="006651A8">
              <w:rPr>
                <w:rFonts w:cs="Calibri"/>
                <w:sz w:val="20"/>
                <w:szCs w:val="20"/>
              </w:rPr>
              <w:t>NEMA Manufacturer Disclosure Statement for Medical Device Security MDS</w:t>
            </w:r>
            <w:r w:rsidRPr="006651A8">
              <w:rPr>
                <w:rFonts w:cs="Calibri"/>
                <w:sz w:val="20"/>
                <w:szCs w:val="20"/>
                <w:vertAlign w:val="superscript"/>
              </w:rPr>
              <w:t>2</w:t>
            </w:r>
          </w:p>
          <w:p w14:paraId="1A72C5DC" w14:textId="77777777" w:rsidR="00B6030B" w:rsidRPr="006651A8" w:rsidRDefault="00B6030B" w:rsidP="002014AA">
            <w:pPr>
              <w:numPr>
                <w:ilvl w:val="0"/>
                <w:numId w:val="9"/>
              </w:numPr>
              <w:spacing w:after="80" w:line="240" w:lineRule="auto"/>
              <w:ind w:left="135" w:hanging="135"/>
              <w:rPr>
                <w:rFonts w:cs="Calibri"/>
                <w:sz w:val="20"/>
                <w:szCs w:val="20"/>
              </w:rPr>
            </w:pPr>
            <w:r w:rsidRPr="006651A8">
              <w:rPr>
                <w:rFonts w:cs="Calibri"/>
                <w:sz w:val="20"/>
                <w:szCs w:val="20"/>
              </w:rPr>
              <w:t>DoD App Security STIGs</w:t>
            </w:r>
          </w:p>
          <w:p w14:paraId="401D4B75" w14:textId="6B2B4BF6" w:rsidR="00747E5A" w:rsidRPr="006651A8" w:rsidRDefault="00747E5A" w:rsidP="007A7F8C">
            <w:pPr>
              <w:rPr>
                <w:rFonts w:cs="Calibri"/>
                <w:color w:val="A6A6A6"/>
                <w:sz w:val="20"/>
                <w:szCs w:val="20"/>
              </w:rPr>
            </w:pPr>
          </w:p>
        </w:tc>
      </w:tr>
      <w:tr w:rsidR="00B6030B" w:rsidRPr="006651A8" w14:paraId="7746A1B0" w14:textId="77777777" w:rsidTr="00811AE9">
        <w:trPr>
          <w:cantSplit/>
        </w:trPr>
        <w:tc>
          <w:tcPr>
            <w:tcW w:w="1552" w:type="dxa"/>
          </w:tcPr>
          <w:p w14:paraId="65C36AFB" w14:textId="77777777" w:rsidR="00B6030B" w:rsidRPr="006651A8" w:rsidRDefault="006F5E42" w:rsidP="006655C1">
            <w:pPr>
              <w:spacing w:line="240" w:lineRule="auto"/>
              <w:rPr>
                <w:rFonts w:cs="Calibri"/>
                <w:sz w:val="20"/>
                <w:szCs w:val="20"/>
              </w:rPr>
            </w:pPr>
            <w:r w:rsidRPr="006651A8">
              <w:rPr>
                <w:rFonts w:cs="Calibri"/>
                <w:sz w:val="20"/>
                <w:szCs w:val="20"/>
              </w:rPr>
              <w:t>Cross-Enterprise Clinical Documents Share (XDS.b)</w:t>
            </w:r>
          </w:p>
        </w:tc>
        <w:tc>
          <w:tcPr>
            <w:tcW w:w="894" w:type="dxa"/>
          </w:tcPr>
          <w:p w14:paraId="14EC125A" w14:textId="77777777" w:rsidR="00B6030B" w:rsidRPr="006651A8" w:rsidRDefault="007A7F8C" w:rsidP="00D94676">
            <w:pPr>
              <w:spacing w:line="240" w:lineRule="auto"/>
              <w:jc w:val="center"/>
              <w:rPr>
                <w:rFonts w:cs="Calibri"/>
                <w:sz w:val="20"/>
                <w:szCs w:val="20"/>
              </w:rPr>
            </w:pPr>
            <w:r w:rsidRPr="006651A8">
              <w:rPr>
                <w:rFonts w:cs="Calibri"/>
                <w:sz w:val="20"/>
                <w:szCs w:val="20"/>
              </w:rPr>
              <w:t>295</w:t>
            </w:r>
          </w:p>
        </w:tc>
        <w:tc>
          <w:tcPr>
            <w:tcW w:w="1075" w:type="dxa"/>
          </w:tcPr>
          <w:p w14:paraId="3F88C124" w14:textId="77777777" w:rsidR="00B6030B" w:rsidRPr="006651A8" w:rsidRDefault="006F5E42" w:rsidP="009E410E">
            <w:pPr>
              <w:spacing w:line="240" w:lineRule="auto"/>
              <w:jc w:val="center"/>
              <w:rPr>
                <w:rFonts w:cs="Calibri"/>
                <w:sz w:val="20"/>
                <w:szCs w:val="20"/>
              </w:rPr>
            </w:pPr>
            <w:r w:rsidRPr="006651A8">
              <w:rPr>
                <w:rFonts w:cs="Calibri"/>
                <w:sz w:val="20"/>
                <w:szCs w:val="20"/>
              </w:rPr>
              <w:t>51</w:t>
            </w:r>
          </w:p>
        </w:tc>
        <w:tc>
          <w:tcPr>
            <w:tcW w:w="3724" w:type="dxa"/>
          </w:tcPr>
          <w:p w14:paraId="7C664FA0" w14:textId="77777777" w:rsidR="00B6030B" w:rsidRPr="006651A8" w:rsidRDefault="006F5E42" w:rsidP="009E410E">
            <w:pPr>
              <w:spacing w:line="240" w:lineRule="auto"/>
              <w:rPr>
                <w:rFonts w:cs="Calibri"/>
                <w:sz w:val="20"/>
                <w:szCs w:val="20"/>
              </w:rPr>
            </w:pPr>
            <w:r w:rsidRPr="006651A8">
              <w:rPr>
                <w:rFonts w:cs="Calibri"/>
                <w:sz w:val="20"/>
                <w:szCs w:val="20"/>
              </w:rPr>
              <w:t>Provides a standards-based specification for managing the sharing of documents between any healthcare enterprise</w:t>
            </w:r>
            <w:r w:rsidR="00B01B38" w:rsidRPr="006651A8">
              <w:rPr>
                <w:rFonts w:cs="Calibri"/>
                <w:sz w:val="20"/>
                <w:szCs w:val="20"/>
              </w:rPr>
              <w:t>.</w:t>
            </w:r>
          </w:p>
        </w:tc>
        <w:tc>
          <w:tcPr>
            <w:tcW w:w="3573" w:type="dxa"/>
          </w:tcPr>
          <w:p w14:paraId="7C09AD40" w14:textId="77777777" w:rsidR="002014AA" w:rsidRPr="006651A8" w:rsidRDefault="002014AA" w:rsidP="002014AA">
            <w:pPr>
              <w:numPr>
                <w:ilvl w:val="0"/>
                <w:numId w:val="9"/>
              </w:numPr>
              <w:spacing w:after="80" w:line="240" w:lineRule="auto"/>
              <w:ind w:left="135" w:hanging="135"/>
              <w:rPr>
                <w:rFonts w:cs="Calibri"/>
                <w:sz w:val="20"/>
                <w:szCs w:val="20"/>
              </w:rPr>
            </w:pPr>
            <w:r w:rsidRPr="006651A8">
              <w:rPr>
                <w:rFonts w:cs="Calibri"/>
                <w:sz w:val="20"/>
                <w:szCs w:val="20"/>
              </w:rPr>
              <w:t>Endorsed by the European Commission</w:t>
            </w:r>
          </w:p>
          <w:p w14:paraId="1A486178" w14:textId="77777777" w:rsidR="002014AA" w:rsidRPr="006651A8" w:rsidRDefault="002014AA" w:rsidP="002014AA">
            <w:pPr>
              <w:numPr>
                <w:ilvl w:val="0"/>
                <w:numId w:val="9"/>
              </w:numPr>
              <w:spacing w:after="80" w:line="240" w:lineRule="auto"/>
              <w:ind w:left="135" w:hanging="135"/>
              <w:rPr>
                <w:rFonts w:cs="Calibri"/>
                <w:sz w:val="20"/>
                <w:szCs w:val="20"/>
              </w:rPr>
            </w:pPr>
            <w:r w:rsidRPr="006651A8">
              <w:rPr>
                <w:rFonts w:cs="Calibri"/>
                <w:sz w:val="20"/>
                <w:szCs w:val="20"/>
              </w:rPr>
              <w:t>Active Implementors Group</w:t>
            </w:r>
          </w:p>
          <w:p w14:paraId="65CFFDC0" w14:textId="77777777" w:rsidR="00B6030B" w:rsidRPr="006651A8" w:rsidRDefault="005E548B" w:rsidP="00B6030B">
            <w:pPr>
              <w:numPr>
                <w:ilvl w:val="0"/>
                <w:numId w:val="9"/>
              </w:numPr>
              <w:spacing w:line="240" w:lineRule="auto"/>
              <w:ind w:left="135" w:hanging="135"/>
              <w:rPr>
                <w:rFonts w:cs="Calibri"/>
                <w:sz w:val="20"/>
                <w:szCs w:val="20"/>
              </w:rPr>
            </w:pPr>
            <w:r w:rsidRPr="006651A8">
              <w:rPr>
                <w:rFonts w:cs="Calibri"/>
                <w:sz w:val="20"/>
                <w:szCs w:val="20"/>
              </w:rPr>
              <w:t xml:space="preserve">2,360 results Google Scholar search terms “IHE XDS” (Enterprise and </w:t>
            </w:r>
            <w:r w:rsidR="009E1933" w:rsidRPr="006651A8">
              <w:rPr>
                <w:rFonts w:cs="Calibri"/>
                <w:sz w:val="20"/>
                <w:szCs w:val="20"/>
              </w:rPr>
              <w:t>r</w:t>
            </w:r>
            <w:r w:rsidRPr="006651A8">
              <w:rPr>
                <w:rFonts w:cs="Calibri"/>
                <w:sz w:val="20"/>
                <w:szCs w:val="20"/>
              </w:rPr>
              <w:t>egional document sharing)</w:t>
            </w:r>
          </w:p>
        </w:tc>
      </w:tr>
      <w:tr w:rsidR="00B01B38" w:rsidRPr="006651A8" w14:paraId="69EA7562" w14:textId="77777777" w:rsidTr="00811AE9">
        <w:trPr>
          <w:cantSplit/>
        </w:trPr>
        <w:tc>
          <w:tcPr>
            <w:tcW w:w="1552" w:type="dxa"/>
          </w:tcPr>
          <w:p w14:paraId="6BB5CF33" w14:textId="77777777" w:rsidR="00B01B38" w:rsidRPr="006651A8" w:rsidRDefault="00B01B38" w:rsidP="006655C1">
            <w:pPr>
              <w:spacing w:line="240" w:lineRule="auto"/>
              <w:rPr>
                <w:rFonts w:cs="Calibri"/>
                <w:sz w:val="20"/>
                <w:szCs w:val="20"/>
              </w:rPr>
            </w:pPr>
            <w:r w:rsidRPr="00B01B38">
              <w:rPr>
                <w:rFonts w:cs="Calibri"/>
                <w:sz w:val="20"/>
                <w:szCs w:val="20"/>
              </w:rPr>
              <w:t>Cross Community Access</w:t>
            </w:r>
            <w:r>
              <w:rPr>
                <w:rFonts w:cs="Calibri"/>
                <w:sz w:val="20"/>
                <w:szCs w:val="20"/>
              </w:rPr>
              <w:t xml:space="preserve"> (</w:t>
            </w:r>
            <w:r w:rsidRPr="006651A8">
              <w:rPr>
                <w:rFonts w:cs="Calibri"/>
                <w:sz w:val="20"/>
                <w:szCs w:val="20"/>
              </w:rPr>
              <w:t>XCA)</w:t>
            </w:r>
          </w:p>
        </w:tc>
        <w:tc>
          <w:tcPr>
            <w:tcW w:w="894" w:type="dxa"/>
          </w:tcPr>
          <w:p w14:paraId="38DAD7E1" w14:textId="77777777" w:rsidR="00B01B38" w:rsidRPr="006651A8" w:rsidRDefault="00CA69FE" w:rsidP="00D94676">
            <w:pPr>
              <w:spacing w:line="240" w:lineRule="auto"/>
              <w:jc w:val="center"/>
              <w:rPr>
                <w:rFonts w:cs="Calibri"/>
                <w:sz w:val="20"/>
                <w:szCs w:val="20"/>
              </w:rPr>
            </w:pPr>
            <w:r w:rsidRPr="006651A8">
              <w:rPr>
                <w:rFonts w:cs="Calibri"/>
                <w:sz w:val="20"/>
                <w:szCs w:val="20"/>
              </w:rPr>
              <w:t>99</w:t>
            </w:r>
          </w:p>
        </w:tc>
        <w:tc>
          <w:tcPr>
            <w:tcW w:w="1075" w:type="dxa"/>
          </w:tcPr>
          <w:p w14:paraId="3E98B26C" w14:textId="77777777" w:rsidR="00B01B38" w:rsidRPr="006651A8" w:rsidRDefault="00B01B38" w:rsidP="009E410E">
            <w:pPr>
              <w:spacing w:line="240" w:lineRule="auto"/>
              <w:jc w:val="center"/>
              <w:rPr>
                <w:rFonts w:cs="Calibri"/>
                <w:sz w:val="20"/>
                <w:szCs w:val="20"/>
              </w:rPr>
            </w:pPr>
            <w:r w:rsidRPr="006651A8">
              <w:rPr>
                <w:rFonts w:cs="Calibri"/>
                <w:sz w:val="20"/>
                <w:szCs w:val="20"/>
              </w:rPr>
              <w:t>7</w:t>
            </w:r>
          </w:p>
        </w:tc>
        <w:tc>
          <w:tcPr>
            <w:tcW w:w="3724" w:type="dxa"/>
          </w:tcPr>
          <w:p w14:paraId="0301B15B" w14:textId="77777777" w:rsidR="00B01B38" w:rsidRPr="006651A8" w:rsidRDefault="00B01B38" w:rsidP="009E410E">
            <w:pPr>
              <w:spacing w:line="240" w:lineRule="auto"/>
              <w:rPr>
                <w:rFonts w:cs="Calibri"/>
                <w:sz w:val="20"/>
                <w:szCs w:val="20"/>
              </w:rPr>
            </w:pPr>
            <w:r>
              <w:rPr>
                <w:rFonts w:cs="Calibri"/>
                <w:sz w:val="20"/>
                <w:szCs w:val="20"/>
              </w:rPr>
              <w:t xml:space="preserve">Provides </w:t>
            </w:r>
            <w:r w:rsidRPr="00B01B38">
              <w:rPr>
                <w:rFonts w:cs="Calibri"/>
                <w:sz w:val="20"/>
                <w:szCs w:val="20"/>
              </w:rPr>
              <w:t xml:space="preserve">query and retrieve patient relevant medical data held by other communities. </w:t>
            </w:r>
          </w:p>
        </w:tc>
        <w:tc>
          <w:tcPr>
            <w:tcW w:w="3573" w:type="dxa"/>
          </w:tcPr>
          <w:p w14:paraId="72FD948C" w14:textId="77777777" w:rsidR="00B01B38" w:rsidRPr="00D04F74" w:rsidRDefault="00B01B38" w:rsidP="00B01B38">
            <w:pPr>
              <w:spacing w:after="80" w:line="240" w:lineRule="auto"/>
              <w:rPr>
                <w:rFonts w:cs="Calibri"/>
                <w:sz w:val="20"/>
                <w:szCs w:val="20"/>
              </w:rPr>
            </w:pPr>
            <w:r w:rsidRPr="00D04F74">
              <w:rPr>
                <w:rFonts w:cs="Calibri"/>
                <w:sz w:val="20"/>
                <w:szCs w:val="20"/>
              </w:rPr>
              <w:t>Endorsed by the European Commission</w:t>
            </w:r>
          </w:p>
          <w:p w14:paraId="0538AA50" w14:textId="77777777" w:rsidR="00B01B38" w:rsidRPr="006651A8" w:rsidRDefault="00B01B38" w:rsidP="00B01B38">
            <w:pPr>
              <w:spacing w:after="80" w:line="240" w:lineRule="auto"/>
              <w:ind w:left="135"/>
              <w:rPr>
                <w:rFonts w:cs="Calibri"/>
                <w:sz w:val="20"/>
                <w:szCs w:val="20"/>
              </w:rPr>
            </w:pPr>
          </w:p>
        </w:tc>
      </w:tr>
      <w:tr w:rsidR="00811AE9" w:rsidRPr="006651A8" w14:paraId="55211D90" w14:textId="77777777" w:rsidTr="00811AE9">
        <w:trPr>
          <w:cantSplit/>
        </w:trPr>
        <w:tc>
          <w:tcPr>
            <w:tcW w:w="1552" w:type="dxa"/>
          </w:tcPr>
          <w:p w14:paraId="62A624E3" w14:textId="77777777" w:rsidR="00811AE9" w:rsidRPr="006651A8" w:rsidRDefault="00811AE9" w:rsidP="006655C1">
            <w:pPr>
              <w:spacing w:line="240" w:lineRule="auto"/>
              <w:rPr>
                <w:rFonts w:cs="Calibri"/>
                <w:sz w:val="20"/>
                <w:szCs w:val="20"/>
              </w:rPr>
            </w:pPr>
            <w:r w:rsidRPr="006651A8">
              <w:rPr>
                <w:rFonts w:cs="Calibri"/>
                <w:sz w:val="20"/>
                <w:szCs w:val="20"/>
              </w:rPr>
              <w:t>Patient Demographics Query (PDQ)</w:t>
            </w:r>
          </w:p>
        </w:tc>
        <w:tc>
          <w:tcPr>
            <w:tcW w:w="894" w:type="dxa"/>
          </w:tcPr>
          <w:p w14:paraId="1AE21513" w14:textId="77777777" w:rsidR="00811AE9" w:rsidRPr="006651A8" w:rsidRDefault="00CA69FE" w:rsidP="00D94676">
            <w:pPr>
              <w:spacing w:line="240" w:lineRule="auto"/>
              <w:jc w:val="center"/>
              <w:rPr>
                <w:rFonts w:cs="Calibri"/>
                <w:sz w:val="20"/>
                <w:szCs w:val="20"/>
              </w:rPr>
            </w:pPr>
            <w:r w:rsidRPr="006651A8">
              <w:rPr>
                <w:rFonts w:cs="Calibri"/>
                <w:sz w:val="20"/>
                <w:szCs w:val="20"/>
              </w:rPr>
              <w:t>213</w:t>
            </w:r>
          </w:p>
        </w:tc>
        <w:tc>
          <w:tcPr>
            <w:tcW w:w="1075" w:type="dxa"/>
          </w:tcPr>
          <w:p w14:paraId="6E4F3000" w14:textId="77777777" w:rsidR="00811AE9" w:rsidRPr="006651A8" w:rsidRDefault="00811AE9" w:rsidP="009E410E">
            <w:pPr>
              <w:spacing w:line="240" w:lineRule="auto"/>
              <w:jc w:val="center"/>
              <w:rPr>
                <w:rFonts w:cs="Calibri"/>
                <w:sz w:val="20"/>
                <w:szCs w:val="20"/>
              </w:rPr>
            </w:pPr>
            <w:r w:rsidRPr="006651A8">
              <w:rPr>
                <w:rFonts w:cs="Calibri"/>
                <w:sz w:val="20"/>
                <w:szCs w:val="20"/>
              </w:rPr>
              <w:t>9</w:t>
            </w:r>
          </w:p>
        </w:tc>
        <w:tc>
          <w:tcPr>
            <w:tcW w:w="3724" w:type="dxa"/>
            <w:vMerge w:val="restart"/>
          </w:tcPr>
          <w:p w14:paraId="6EF14F62" w14:textId="77777777" w:rsidR="00811AE9" w:rsidRPr="006651A8" w:rsidRDefault="00811AE9" w:rsidP="009E410E">
            <w:pPr>
              <w:spacing w:line="240" w:lineRule="auto"/>
              <w:rPr>
                <w:rFonts w:cs="Calibri"/>
                <w:sz w:val="20"/>
                <w:szCs w:val="20"/>
              </w:rPr>
            </w:pPr>
            <w:r w:rsidRPr="006651A8">
              <w:rPr>
                <w:rFonts w:cs="Calibri"/>
                <w:sz w:val="20"/>
                <w:szCs w:val="20"/>
              </w:rPr>
              <w:t>An application query to a central patient information server to retrieve a patient’s demographic and visit information</w:t>
            </w:r>
          </w:p>
        </w:tc>
        <w:tc>
          <w:tcPr>
            <w:tcW w:w="3573" w:type="dxa"/>
            <w:vMerge w:val="restart"/>
          </w:tcPr>
          <w:p w14:paraId="3A7F4548" w14:textId="77777777" w:rsidR="00D04F74" w:rsidRPr="00D04F74" w:rsidRDefault="00D04F74" w:rsidP="00D04F74">
            <w:pPr>
              <w:spacing w:after="80" w:line="240" w:lineRule="auto"/>
              <w:rPr>
                <w:rFonts w:cs="Calibri"/>
                <w:sz w:val="20"/>
                <w:szCs w:val="20"/>
              </w:rPr>
            </w:pPr>
            <w:r w:rsidRPr="00D04F74">
              <w:rPr>
                <w:rFonts w:cs="Calibri"/>
                <w:sz w:val="20"/>
                <w:szCs w:val="20"/>
              </w:rPr>
              <w:t>Endorsed by the European Commission</w:t>
            </w:r>
          </w:p>
          <w:p w14:paraId="3F91BD8A" w14:textId="77777777" w:rsidR="00811AE9" w:rsidRPr="006651A8" w:rsidRDefault="00811AE9" w:rsidP="009E1933">
            <w:pPr>
              <w:spacing w:line="240" w:lineRule="auto"/>
              <w:rPr>
                <w:rFonts w:cs="Calibri"/>
                <w:sz w:val="20"/>
                <w:szCs w:val="20"/>
              </w:rPr>
            </w:pPr>
            <w:r w:rsidRPr="006651A8">
              <w:rPr>
                <w:rFonts w:cs="Calibri"/>
                <w:sz w:val="20"/>
                <w:szCs w:val="20"/>
              </w:rPr>
              <w:t>Supports other profiles in enterprise and regional architectures by maintaining and reconciling the identity of a patient who may be identified in different ways by disparate systems</w:t>
            </w:r>
          </w:p>
        </w:tc>
      </w:tr>
      <w:tr w:rsidR="00811AE9" w:rsidRPr="006651A8" w14:paraId="51D258F6" w14:textId="77777777" w:rsidTr="00811AE9">
        <w:trPr>
          <w:cantSplit/>
        </w:trPr>
        <w:tc>
          <w:tcPr>
            <w:tcW w:w="1552" w:type="dxa"/>
          </w:tcPr>
          <w:p w14:paraId="7278139F" w14:textId="77777777" w:rsidR="00811AE9" w:rsidRPr="006651A8" w:rsidRDefault="00811AE9" w:rsidP="006655C1">
            <w:pPr>
              <w:spacing w:line="240" w:lineRule="auto"/>
              <w:rPr>
                <w:rFonts w:cs="Calibri"/>
                <w:sz w:val="20"/>
                <w:szCs w:val="20"/>
              </w:rPr>
            </w:pPr>
            <w:r w:rsidRPr="006651A8">
              <w:rPr>
                <w:rFonts w:cs="Calibri"/>
                <w:sz w:val="20"/>
                <w:szCs w:val="20"/>
              </w:rPr>
              <w:t>Patient Demographic Query HL7 V3 (PDQ V3)</w:t>
            </w:r>
          </w:p>
        </w:tc>
        <w:tc>
          <w:tcPr>
            <w:tcW w:w="894" w:type="dxa"/>
          </w:tcPr>
          <w:p w14:paraId="0395B3B3" w14:textId="77777777" w:rsidR="00811AE9" w:rsidRPr="006651A8" w:rsidRDefault="00CA69FE" w:rsidP="00D94676">
            <w:pPr>
              <w:spacing w:line="240" w:lineRule="auto"/>
              <w:jc w:val="center"/>
              <w:rPr>
                <w:rFonts w:cs="Calibri"/>
                <w:sz w:val="20"/>
                <w:szCs w:val="20"/>
              </w:rPr>
            </w:pPr>
            <w:r w:rsidRPr="006651A8">
              <w:rPr>
                <w:rFonts w:cs="Calibri"/>
                <w:sz w:val="20"/>
                <w:szCs w:val="20"/>
              </w:rPr>
              <w:t>134</w:t>
            </w:r>
          </w:p>
        </w:tc>
        <w:tc>
          <w:tcPr>
            <w:tcW w:w="1075" w:type="dxa"/>
          </w:tcPr>
          <w:p w14:paraId="211B9419" w14:textId="77777777" w:rsidR="00811AE9" w:rsidRPr="006651A8" w:rsidRDefault="00811AE9" w:rsidP="009E410E">
            <w:pPr>
              <w:spacing w:line="240" w:lineRule="auto"/>
              <w:jc w:val="center"/>
              <w:rPr>
                <w:rFonts w:cs="Calibri"/>
                <w:sz w:val="20"/>
                <w:szCs w:val="20"/>
              </w:rPr>
            </w:pPr>
            <w:r w:rsidRPr="006651A8">
              <w:rPr>
                <w:rFonts w:cs="Calibri"/>
                <w:sz w:val="20"/>
                <w:szCs w:val="20"/>
              </w:rPr>
              <w:t>8</w:t>
            </w:r>
          </w:p>
        </w:tc>
        <w:tc>
          <w:tcPr>
            <w:tcW w:w="3724" w:type="dxa"/>
            <w:vMerge/>
          </w:tcPr>
          <w:p w14:paraId="3A0D5428" w14:textId="77777777" w:rsidR="00811AE9" w:rsidRPr="006651A8" w:rsidRDefault="00811AE9" w:rsidP="009E410E">
            <w:pPr>
              <w:spacing w:line="240" w:lineRule="auto"/>
              <w:rPr>
                <w:rFonts w:cs="Calibri"/>
                <w:sz w:val="20"/>
                <w:szCs w:val="20"/>
              </w:rPr>
            </w:pPr>
          </w:p>
        </w:tc>
        <w:tc>
          <w:tcPr>
            <w:tcW w:w="3573" w:type="dxa"/>
            <w:vMerge/>
          </w:tcPr>
          <w:p w14:paraId="2C624A8A" w14:textId="77777777" w:rsidR="00811AE9" w:rsidRPr="006651A8" w:rsidRDefault="00811AE9" w:rsidP="009E1933">
            <w:pPr>
              <w:spacing w:line="240" w:lineRule="auto"/>
              <w:rPr>
                <w:rFonts w:cs="Calibri"/>
                <w:sz w:val="20"/>
                <w:szCs w:val="20"/>
              </w:rPr>
            </w:pPr>
          </w:p>
        </w:tc>
      </w:tr>
      <w:tr w:rsidR="00811AE9" w:rsidRPr="006651A8" w14:paraId="76704E7F" w14:textId="77777777" w:rsidTr="00811AE9">
        <w:trPr>
          <w:cantSplit/>
        </w:trPr>
        <w:tc>
          <w:tcPr>
            <w:tcW w:w="1552" w:type="dxa"/>
          </w:tcPr>
          <w:p w14:paraId="0DABC47D" w14:textId="77777777" w:rsidR="00811AE9" w:rsidRPr="006651A8" w:rsidRDefault="00811AE9" w:rsidP="006655C1">
            <w:pPr>
              <w:spacing w:line="240" w:lineRule="auto"/>
              <w:rPr>
                <w:rFonts w:cs="Calibri"/>
                <w:sz w:val="20"/>
                <w:szCs w:val="20"/>
              </w:rPr>
            </w:pPr>
            <w:r w:rsidRPr="006651A8">
              <w:rPr>
                <w:rFonts w:cs="Calibri"/>
                <w:sz w:val="20"/>
                <w:szCs w:val="20"/>
              </w:rPr>
              <w:t>Patient Demographics Query for Mobile (PDQm)</w:t>
            </w:r>
          </w:p>
        </w:tc>
        <w:tc>
          <w:tcPr>
            <w:tcW w:w="894" w:type="dxa"/>
          </w:tcPr>
          <w:p w14:paraId="119DB133" w14:textId="77777777" w:rsidR="00811AE9" w:rsidRPr="006651A8" w:rsidRDefault="00CA69FE" w:rsidP="00D94676">
            <w:pPr>
              <w:spacing w:line="240" w:lineRule="auto"/>
              <w:jc w:val="center"/>
              <w:rPr>
                <w:rFonts w:cs="Calibri"/>
                <w:sz w:val="20"/>
                <w:szCs w:val="20"/>
              </w:rPr>
            </w:pPr>
            <w:r w:rsidRPr="006651A8">
              <w:rPr>
                <w:rFonts w:cs="Calibri"/>
                <w:sz w:val="20"/>
                <w:szCs w:val="20"/>
              </w:rPr>
              <w:t>57</w:t>
            </w:r>
          </w:p>
        </w:tc>
        <w:tc>
          <w:tcPr>
            <w:tcW w:w="1075" w:type="dxa"/>
          </w:tcPr>
          <w:p w14:paraId="69A3B76F" w14:textId="77777777" w:rsidR="00811AE9" w:rsidRPr="006651A8" w:rsidRDefault="00811AE9" w:rsidP="009E410E">
            <w:pPr>
              <w:spacing w:line="240" w:lineRule="auto"/>
              <w:jc w:val="center"/>
              <w:rPr>
                <w:rFonts w:cs="Calibri"/>
                <w:sz w:val="20"/>
                <w:szCs w:val="20"/>
              </w:rPr>
            </w:pPr>
            <w:r w:rsidRPr="006651A8">
              <w:rPr>
                <w:rFonts w:cs="Calibri"/>
                <w:sz w:val="20"/>
                <w:szCs w:val="20"/>
              </w:rPr>
              <w:t>3</w:t>
            </w:r>
          </w:p>
        </w:tc>
        <w:tc>
          <w:tcPr>
            <w:tcW w:w="3724" w:type="dxa"/>
            <w:vMerge/>
          </w:tcPr>
          <w:p w14:paraId="48C10939" w14:textId="77777777" w:rsidR="00811AE9" w:rsidRPr="006651A8" w:rsidRDefault="00811AE9" w:rsidP="009E410E">
            <w:pPr>
              <w:spacing w:line="240" w:lineRule="auto"/>
              <w:rPr>
                <w:rFonts w:cs="Calibri"/>
                <w:sz w:val="20"/>
                <w:szCs w:val="20"/>
              </w:rPr>
            </w:pPr>
          </w:p>
        </w:tc>
        <w:tc>
          <w:tcPr>
            <w:tcW w:w="3573" w:type="dxa"/>
            <w:vMerge/>
          </w:tcPr>
          <w:p w14:paraId="308B98C3" w14:textId="77777777" w:rsidR="00811AE9" w:rsidRPr="006651A8" w:rsidRDefault="00811AE9" w:rsidP="009E1933">
            <w:pPr>
              <w:spacing w:line="240" w:lineRule="auto"/>
              <w:rPr>
                <w:rFonts w:cs="Calibri"/>
                <w:sz w:val="20"/>
                <w:szCs w:val="20"/>
              </w:rPr>
            </w:pPr>
          </w:p>
        </w:tc>
      </w:tr>
      <w:tr w:rsidR="00811AE9" w:rsidRPr="006651A8" w14:paraId="79A0D27B" w14:textId="77777777" w:rsidTr="00811AE9">
        <w:trPr>
          <w:cantSplit/>
        </w:trPr>
        <w:tc>
          <w:tcPr>
            <w:tcW w:w="1552" w:type="dxa"/>
          </w:tcPr>
          <w:p w14:paraId="4D806049" w14:textId="77777777" w:rsidR="00811AE9" w:rsidRPr="006651A8" w:rsidRDefault="00811AE9" w:rsidP="006655C1">
            <w:pPr>
              <w:spacing w:line="240" w:lineRule="auto"/>
              <w:rPr>
                <w:rFonts w:cs="Calibri"/>
                <w:sz w:val="20"/>
                <w:szCs w:val="20"/>
              </w:rPr>
            </w:pPr>
            <w:r w:rsidRPr="006651A8">
              <w:rPr>
                <w:rFonts w:cs="Calibri"/>
                <w:sz w:val="20"/>
                <w:szCs w:val="20"/>
              </w:rPr>
              <w:t>Patient Identifier Cross-referencing for MPI</w:t>
            </w:r>
            <w:r w:rsidR="00CA69FE" w:rsidRPr="006651A8">
              <w:rPr>
                <w:rFonts w:cs="Calibri"/>
                <w:sz w:val="20"/>
                <w:szCs w:val="20"/>
              </w:rPr>
              <w:t xml:space="preserve"> </w:t>
            </w:r>
            <w:r w:rsidRPr="006651A8">
              <w:rPr>
                <w:rFonts w:cs="Calibri"/>
                <w:sz w:val="20"/>
                <w:szCs w:val="20"/>
              </w:rPr>
              <w:t>(PIX)</w:t>
            </w:r>
          </w:p>
        </w:tc>
        <w:tc>
          <w:tcPr>
            <w:tcW w:w="894" w:type="dxa"/>
          </w:tcPr>
          <w:p w14:paraId="50FABDFD" w14:textId="77777777" w:rsidR="00811AE9" w:rsidRPr="006651A8" w:rsidRDefault="00CA69FE" w:rsidP="00D94676">
            <w:pPr>
              <w:spacing w:line="240" w:lineRule="auto"/>
              <w:jc w:val="center"/>
              <w:rPr>
                <w:rFonts w:cs="Calibri"/>
                <w:sz w:val="20"/>
                <w:szCs w:val="20"/>
              </w:rPr>
            </w:pPr>
            <w:r w:rsidRPr="006651A8">
              <w:rPr>
                <w:rFonts w:cs="Calibri"/>
                <w:sz w:val="20"/>
                <w:szCs w:val="20"/>
              </w:rPr>
              <w:t>185</w:t>
            </w:r>
          </w:p>
        </w:tc>
        <w:tc>
          <w:tcPr>
            <w:tcW w:w="1075" w:type="dxa"/>
          </w:tcPr>
          <w:p w14:paraId="3E577B36" w14:textId="77777777" w:rsidR="00811AE9" w:rsidRPr="006651A8" w:rsidRDefault="00811AE9" w:rsidP="009E410E">
            <w:pPr>
              <w:spacing w:line="240" w:lineRule="auto"/>
              <w:jc w:val="center"/>
              <w:rPr>
                <w:rFonts w:cs="Calibri"/>
                <w:sz w:val="20"/>
                <w:szCs w:val="20"/>
              </w:rPr>
            </w:pPr>
            <w:r w:rsidRPr="006651A8">
              <w:rPr>
                <w:rFonts w:cs="Calibri"/>
                <w:sz w:val="20"/>
                <w:szCs w:val="20"/>
              </w:rPr>
              <w:t>14</w:t>
            </w:r>
          </w:p>
        </w:tc>
        <w:tc>
          <w:tcPr>
            <w:tcW w:w="3724" w:type="dxa"/>
            <w:vMerge w:val="restart"/>
          </w:tcPr>
          <w:p w14:paraId="3D1E9A76" w14:textId="77777777" w:rsidR="00811AE9" w:rsidRPr="006651A8" w:rsidRDefault="00811AE9" w:rsidP="009E410E">
            <w:pPr>
              <w:spacing w:line="240" w:lineRule="auto"/>
              <w:rPr>
                <w:rFonts w:cs="Calibri"/>
                <w:sz w:val="20"/>
                <w:szCs w:val="20"/>
              </w:rPr>
            </w:pPr>
            <w:r w:rsidRPr="006651A8">
              <w:rPr>
                <w:rFonts w:cs="Calibri"/>
                <w:sz w:val="20"/>
                <w:szCs w:val="20"/>
              </w:rPr>
              <w:t>Supports the cross-referencing of patient identifiers from multiple Patient Identifier Domains</w:t>
            </w:r>
          </w:p>
        </w:tc>
        <w:tc>
          <w:tcPr>
            <w:tcW w:w="3573" w:type="dxa"/>
            <w:vMerge/>
          </w:tcPr>
          <w:p w14:paraId="5A188485" w14:textId="77777777" w:rsidR="00811AE9" w:rsidRPr="006651A8" w:rsidRDefault="00811AE9" w:rsidP="00B6030B">
            <w:pPr>
              <w:spacing w:line="240" w:lineRule="auto"/>
              <w:rPr>
                <w:rFonts w:cs="Calibri"/>
                <w:sz w:val="20"/>
                <w:szCs w:val="20"/>
              </w:rPr>
            </w:pPr>
          </w:p>
        </w:tc>
      </w:tr>
      <w:tr w:rsidR="00811AE9" w:rsidRPr="006651A8" w14:paraId="0C55962F" w14:textId="77777777" w:rsidTr="00811AE9">
        <w:trPr>
          <w:cantSplit/>
        </w:trPr>
        <w:tc>
          <w:tcPr>
            <w:tcW w:w="1552" w:type="dxa"/>
          </w:tcPr>
          <w:p w14:paraId="29B7B5AA" w14:textId="77777777" w:rsidR="00811AE9" w:rsidRPr="006651A8" w:rsidRDefault="00811AE9" w:rsidP="006655C1">
            <w:pPr>
              <w:spacing w:line="240" w:lineRule="auto"/>
              <w:rPr>
                <w:rFonts w:cs="Calibri"/>
                <w:sz w:val="20"/>
                <w:szCs w:val="20"/>
              </w:rPr>
            </w:pPr>
            <w:r w:rsidRPr="006651A8">
              <w:rPr>
                <w:rFonts w:cs="Calibri"/>
                <w:sz w:val="20"/>
                <w:szCs w:val="20"/>
              </w:rPr>
              <w:t>Patient Identifier Cross-Reference HL7 V3 (PIX V3)</w:t>
            </w:r>
          </w:p>
        </w:tc>
        <w:tc>
          <w:tcPr>
            <w:tcW w:w="894" w:type="dxa"/>
          </w:tcPr>
          <w:p w14:paraId="07C113B4" w14:textId="77777777" w:rsidR="00811AE9" w:rsidRPr="006651A8" w:rsidRDefault="00CA69FE" w:rsidP="00D94676">
            <w:pPr>
              <w:spacing w:line="240" w:lineRule="auto"/>
              <w:jc w:val="center"/>
              <w:rPr>
                <w:rFonts w:cs="Calibri"/>
                <w:sz w:val="20"/>
                <w:szCs w:val="20"/>
              </w:rPr>
            </w:pPr>
            <w:r w:rsidRPr="006651A8">
              <w:rPr>
                <w:rFonts w:cs="Calibri"/>
                <w:sz w:val="20"/>
                <w:szCs w:val="20"/>
              </w:rPr>
              <w:t>131</w:t>
            </w:r>
          </w:p>
        </w:tc>
        <w:tc>
          <w:tcPr>
            <w:tcW w:w="1075" w:type="dxa"/>
          </w:tcPr>
          <w:p w14:paraId="151D84CF" w14:textId="77777777" w:rsidR="00811AE9" w:rsidRPr="006651A8" w:rsidRDefault="00811AE9" w:rsidP="009E410E">
            <w:pPr>
              <w:spacing w:line="240" w:lineRule="auto"/>
              <w:jc w:val="center"/>
              <w:rPr>
                <w:rFonts w:cs="Calibri"/>
                <w:sz w:val="20"/>
                <w:szCs w:val="20"/>
              </w:rPr>
            </w:pPr>
            <w:r w:rsidRPr="006651A8">
              <w:rPr>
                <w:rFonts w:cs="Calibri"/>
                <w:sz w:val="20"/>
                <w:szCs w:val="20"/>
              </w:rPr>
              <w:t>9</w:t>
            </w:r>
          </w:p>
        </w:tc>
        <w:tc>
          <w:tcPr>
            <w:tcW w:w="3724" w:type="dxa"/>
            <w:vMerge/>
          </w:tcPr>
          <w:p w14:paraId="287CB751" w14:textId="77777777" w:rsidR="00811AE9" w:rsidRPr="006651A8" w:rsidRDefault="00811AE9" w:rsidP="009E410E">
            <w:pPr>
              <w:spacing w:line="240" w:lineRule="auto"/>
              <w:rPr>
                <w:rFonts w:cs="Calibri"/>
                <w:sz w:val="20"/>
                <w:szCs w:val="20"/>
              </w:rPr>
            </w:pPr>
          </w:p>
        </w:tc>
        <w:tc>
          <w:tcPr>
            <w:tcW w:w="3573" w:type="dxa"/>
            <w:vMerge/>
          </w:tcPr>
          <w:p w14:paraId="53916828" w14:textId="77777777" w:rsidR="00811AE9" w:rsidRPr="006651A8" w:rsidRDefault="00811AE9" w:rsidP="00B6030B">
            <w:pPr>
              <w:spacing w:line="240" w:lineRule="auto"/>
              <w:rPr>
                <w:rFonts w:cs="Calibri"/>
                <w:sz w:val="20"/>
                <w:szCs w:val="20"/>
              </w:rPr>
            </w:pPr>
          </w:p>
        </w:tc>
      </w:tr>
      <w:tr w:rsidR="00811AE9" w:rsidRPr="006651A8" w14:paraId="14D1CC85" w14:textId="77777777" w:rsidTr="00811AE9">
        <w:trPr>
          <w:cantSplit/>
        </w:trPr>
        <w:tc>
          <w:tcPr>
            <w:tcW w:w="1552" w:type="dxa"/>
          </w:tcPr>
          <w:p w14:paraId="4A6F3FC6" w14:textId="77777777" w:rsidR="00811AE9" w:rsidRPr="006651A8" w:rsidRDefault="00811AE9" w:rsidP="006655C1">
            <w:pPr>
              <w:spacing w:line="240" w:lineRule="auto"/>
              <w:rPr>
                <w:rFonts w:cs="Calibri"/>
                <w:sz w:val="20"/>
                <w:szCs w:val="20"/>
              </w:rPr>
            </w:pPr>
            <w:r w:rsidRPr="006651A8">
              <w:rPr>
                <w:rFonts w:cs="Calibri"/>
                <w:sz w:val="20"/>
                <w:szCs w:val="20"/>
              </w:rPr>
              <w:t>Patient Identifier Cross-reference for Mobile</w:t>
            </w:r>
            <w:r w:rsidR="00CA69FE" w:rsidRPr="006651A8">
              <w:rPr>
                <w:rFonts w:cs="Calibri"/>
                <w:sz w:val="20"/>
                <w:szCs w:val="20"/>
              </w:rPr>
              <w:t xml:space="preserve"> </w:t>
            </w:r>
            <w:r w:rsidRPr="006651A8">
              <w:rPr>
                <w:rFonts w:cs="Calibri"/>
                <w:sz w:val="20"/>
                <w:szCs w:val="20"/>
              </w:rPr>
              <w:t>(PIXm)</w:t>
            </w:r>
          </w:p>
        </w:tc>
        <w:tc>
          <w:tcPr>
            <w:tcW w:w="894" w:type="dxa"/>
          </w:tcPr>
          <w:p w14:paraId="28EE5956" w14:textId="77777777" w:rsidR="00811AE9" w:rsidRPr="006651A8" w:rsidRDefault="00CA69FE" w:rsidP="00D94676">
            <w:pPr>
              <w:spacing w:line="240" w:lineRule="auto"/>
              <w:jc w:val="center"/>
              <w:rPr>
                <w:rFonts w:cs="Calibri"/>
                <w:sz w:val="20"/>
                <w:szCs w:val="20"/>
              </w:rPr>
            </w:pPr>
            <w:r w:rsidRPr="006651A8">
              <w:rPr>
                <w:rFonts w:cs="Calibri"/>
                <w:sz w:val="20"/>
                <w:szCs w:val="20"/>
              </w:rPr>
              <w:t>41</w:t>
            </w:r>
          </w:p>
        </w:tc>
        <w:tc>
          <w:tcPr>
            <w:tcW w:w="1075" w:type="dxa"/>
          </w:tcPr>
          <w:p w14:paraId="5AE5F9E1" w14:textId="77777777" w:rsidR="00811AE9" w:rsidRPr="006651A8" w:rsidRDefault="00811AE9" w:rsidP="009E410E">
            <w:pPr>
              <w:spacing w:line="240" w:lineRule="auto"/>
              <w:jc w:val="center"/>
              <w:rPr>
                <w:rFonts w:cs="Calibri"/>
                <w:sz w:val="20"/>
                <w:szCs w:val="20"/>
              </w:rPr>
            </w:pPr>
            <w:r w:rsidRPr="006651A8">
              <w:rPr>
                <w:rFonts w:cs="Calibri"/>
                <w:sz w:val="20"/>
                <w:szCs w:val="20"/>
              </w:rPr>
              <w:t>3</w:t>
            </w:r>
          </w:p>
        </w:tc>
        <w:tc>
          <w:tcPr>
            <w:tcW w:w="3724" w:type="dxa"/>
            <w:vMerge/>
          </w:tcPr>
          <w:p w14:paraId="43B00B13" w14:textId="77777777" w:rsidR="00811AE9" w:rsidRPr="006651A8" w:rsidRDefault="00811AE9" w:rsidP="009E410E">
            <w:pPr>
              <w:spacing w:line="240" w:lineRule="auto"/>
              <w:rPr>
                <w:rFonts w:cs="Calibri"/>
                <w:sz w:val="20"/>
                <w:szCs w:val="20"/>
              </w:rPr>
            </w:pPr>
          </w:p>
        </w:tc>
        <w:tc>
          <w:tcPr>
            <w:tcW w:w="3573" w:type="dxa"/>
            <w:vMerge/>
          </w:tcPr>
          <w:p w14:paraId="53A5A5AD" w14:textId="77777777" w:rsidR="00811AE9" w:rsidRPr="006651A8" w:rsidRDefault="00811AE9" w:rsidP="00B6030B">
            <w:pPr>
              <w:spacing w:line="240" w:lineRule="auto"/>
              <w:rPr>
                <w:rFonts w:cs="Calibri"/>
                <w:sz w:val="20"/>
                <w:szCs w:val="20"/>
              </w:rPr>
            </w:pPr>
          </w:p>
        </w:tc>
      </w:tr>
    </w:tbl>
    <w:p w14:paraId="4F9FC8A8" w14:textId="4A007754" w:rsidR="009E410E" w:rsidRDefault="00D94676" w:rsidP="00B958CD">
      <w:pPr>
        <w:spacing w:line="240" w:lineRule="auto"/>
      </w:pPr>
      <w:r>
        <w:lastRenderedPageBreak/>
        <w:t># vendor @CThon</w:t>
      </w:r>
      <w:r w:rsidR="00B958CD">
        <w:t xml:space="preserve"> is a </w:t>
      </w:r>
      <w:r w:rsidR="00A22D70">
        <w:t xml:space="preserve">total count of successful vendors </w:t>
      </w:r>
      <w:r w:rsidR="00B958CD">
        <w:t>from Connectathon-results.</w:t>
      </w:r>
      <w:r>
        <w:t xml:space="preserve">ihe.net </w:t>
      </w:r>
      <w:r w:rsidR="00A22D70">
        <w:br/>
      </w:r>
      <w:r>
        <w:t># product @Registry</w:t>
      </w:r>
      <w:r w:rsidR="00B958CD">
        <w:t xml:space="preserve"> is a count of registered Statements from Product-registry.ihe.net</w:t>
      </w:r>
      <w:r w:rsidR="00FB5485">
        <w:t>.</w:t>
      </w:r>
    </w:p>
    <w:p w14:paraId="3FE1B3AA" w14:textId="77777777" w:rsidR="007C77EA" w:rsidRDefault="007C77EA" w:rsidP="002935A4">
      <w:pPr>
        <w:pStyle w:val="SectionHeading"/>
      </w:pPr>
      <w:r>
        <w:t xml:space="preserve">Significant Deployment Activity: </w:t>
      </w:r>
    </w:p>
    <w:p w14:paraId="50B66A68" w14:textId="40D2976B" w:rsidR="00A667C9" w:rsidRDefault="0075284C" w:rsidP="003A2A04">
      <w:pPr>
        <w:tabs>
          <w:tab w:val="left" w:pos="2234"/>
        </w:tabs>
      </w:pPr>
      <w:r>
        <w:t>Several regional document and image exchanges based on XD* and XC* profiles.</w:t>
      </w:r>
      <w:r w:rsidR="003A2A04">
        <w:tab/>
      </w:r>
    </w:p>
    <w:p w14:paraId="25A06951" w14:textId="77777777" w:rsidR="0075284C" w:rsidRDefault="003A2A04" w:rsidP="003A2A04">
      <w:pPr>
        <w:tabs>
          <w:tab w:val="left" w:pos="2234"/>
        </w:tabs>
      </w:pPr>
      <w:r>
        <w:t>See</w:t>
      </w:r>
    </w:p>
    <w:p w14:paraId="54E2C740" w14:textId="5EF98459" w:rsidR="003A2A04" w:rsidRDefault="004C422C" w:rsidP="002472AE">
      <w:pPr>
        <w:pStyle w:val="ListParagraph"/>
        <w:numPr>
          <w:ilvl w:val="0"/>
          <w:numId w:val="21"/>
        </w:numPr>
        <w:tabs>
          <w:tab w:val="left" w:pos="2234"/>
        </w:tabs>
      </w:pPr>
      <w:hyperlink r:id="rId8" w:history="1">
        <w:r w:rsidR="0050525F" w:rsidRPr="00526360">
          <w:rPr>
            <w:rStyle w:val="Hyperlink"/>
          </w:rPr>
          <w:t>https://bit.ly/maging_Taskf_Survey</w:t>
        </w:r>
      </w:hyperlink>
    </w:p>
    <w:p w14:paraId="0D2124FC" w14:textId="4B9498BC" w:rsidR="0075284C" w:rsidRPr="009C650C" w:rsidRDefault="004C422C" w:rsidP="002472AE">
      <w:pPr>
        <w:pStyle w:val="ListParagraph"/>
        <w:numPr>
          <w:ilvl w:val="0"/>
          <w:numId w:val="21"/>
        </w:numPr>
        <w:tabs>
          <w:tab w:val="left" w:pos="2234"/>
        </w:tabs>
      </w:pPr>
      <w:hyperlink r:id="rId9" w:history="1">
        <w:r w:rsidR="0075284C" w:rsidRPr="0030619A">
          <w:rPr>
            <w:rStyle w:val="Hyperlink"/>
          </w:rPr>
          <w:t>https://ec.europa.eu/health/sites/default/files/cross_border_care/docs/ev_20161024_co09_en.pdf</w:t>
        </w:r>
      </w:hyperlink>
    </w:p>
    <w:p w14:paraId="79E16A14" w14:textId="45A7FA7D" w:rsidR="00D633A1" w:rsidRDefault="009C650C" w:rsidP="002935A4">
      <w:pPr>
        <w:pStyle w:val="SectionHeading"/>
      </w:pPr>
      <w:r>
        <w:t xml:space="preserve">Connectathons, </w:t>
      </w:r>
      <w:r w:rsidR="007C77EA">
        <w:t xml:space="preserve">Demonstrations and Other Events: </w:t>
      </w:r>
    </w:p>
    <w:p w14:paraId="57AF7C5F" w14:textId="77777777" w:rsidR="00BE238D" w:rsidRDefault="00C736B4" w:rsidP="002472AE">
      <w:pPr>
        <w:pStyle w:val="ListParagraph"/>
        <w:numPr>
          <w:ilvl w:val="0"/>
          <w:numId w:val="20"/>
        </w:numPr>
      </w:pPr>
      <w:r>
        <w:t>The last 3 Connectathons were held online:  EU Nov 2020</w:t>
      </w:r>
      <w:r w:rsidR="00090409">
        <w:t xml:space="preserve"> (28)</w:t>
      </w:r>
      <w:r>
        <w:t>,</w:t>
      </w:r>
      <w:r w:rsidR="00C16D5D">
        <w:t xml:space="preserve"> NA Mar 2021</w:t>
      </w:r>
      <w:r w:rsidR="00090409">
        <w:t xml:space="preserve"> (23)</w:t>
      </w:r>
      <w:r w:rsidR="00C16D5D">
        <w:t>, EU June</w:t>
      </w:r>
      <w:r>
        <w:t xml:space="preserve"> 2021</w:t>
      </w:r>
      <w:r w:rsidR="00090409">
        <w:t xml:space="preserve"> (28)</w:t>
      </w:r>
      <w:r w:rsidR="00C16D5D">
        <w:t xml:space="preserve">.  </w:t>
      </w:r>
      <w:r w:rsidR="00090409">
        <w:t xml:space="preserve">  The number in parentheses indicates the number of ITI profiles tested at each event, which was only a slight drop from the prior face-to-face events (30 for EU 2019 and 32 for NA 2019).</w:t>
      </w:r>
    </w:p>
    <w:p w14:paraId="0DA99F0D" w14:textId="3F5AC545" w:rsidR="009C650C" w:rsidRDefault="00C16D5D" w:rsidP="002472AE">
      <w:pPr>
        <w:pStyle w:val="ListParagraph"/>
        <w:numPr>
          <w:ilvl w:val="0"/>
          <w:numId w:val="20"/>
        </w:numPr>
      </w:pPr>
      <w:r>
        <w:t xml:space="preserve">While system registration </w:t>
      </w:r>
      <w:r w:rsidR="00290AD7">
        <w:t>for IHE’s online Connectathons</w:t>
      </w:r>
      <w:r>
        <w:t xml:space="preserve"> were lower than face-to-face Connectathons</w:t>
      </w:r>
      <w:r w:rsidR="00090409">
        <w:t xml:space="preserve"> prior to 2020</w:t>
      </w:r>
      <w:r>
        <w:t>, IHE maintained the</w:t>
      </w:r>
      <w:r w:rsidR="00090409">
        <w:t xml:space="preserve"> </w:t>
      </w:r>
      <w:r>
        <w:t>high level of testing rigor</w:t>
      </w:r>
      <w:r w:rsidR="00090409">
        <w:t xml:space="preserve"> our participants have come to expect</w:t>
      </w:r>
      <w:r>
        <w:t>, using the same test definitions and tools</w:t>
      </w:r>
      <w:r w:rsidR="00090409">
        <w:t xml:space="preserve"> for the online Connectathons</w:t>
      </w:r>
      <w:r>
        <w:t xml:space="preserve"> as </w:t>
      </w:r>
      <w:r w:rsidR="00090409">
        <w:t xml:space="preserve">were </w:t>
      </w:r>
      <w:r>
        <w:t xml:space="preserve">deployed for </w:t>
      </w:r>
      <w:r w:rsidR="00090409">
        <w:t>prior face-to-face</w:t>
      </w:r>
      <w:r>
        <w:t xml:space="preserve"> Connectathon</w:t>
      </w:r>
      <w:r w:rsidR="00090409">
        <w:t>s</w:t>
      </w:r>
      <w:r>
        <w:t>, and with exceptional support from experienced Connectathon monitors</w:t>
      </w:r>
      <w:r w:rsidR="00090409">
        <w:t xml:space="preserve"> and IHE </w:t>
      </w:r>
    </w:p>
    <w:p w14:paraId="3F477BC8" w14:textId="184EC894" w:rsidR="00CB667B" w:rsidRDefault="004C422C" w:rsidP="002472AE">
      <w:pPr>
        <w:pStyle w:val="ListParagraph"/>
        <w:numPr>
          <w:ilvl w:val="0"/>
          <w:numId w:val="20"/>
        </w:numPr>
      </w:pPr>
      <w:hyperlink r:id="rId10" w:history="1">
        <w:r w:rsidR="00584B4A" w:rsidRPr="00584B4A">
          <w:rPr>
            <w:rStyle w:val="Hyperlink"/>
          </w:rPr>
          <w:t>Youtube videos</w:t>
        </w:r>
      </w:hyperlink>
      <w:r w:rsidR="00584B4A">
        <w:t xml:space="preserve"> to introduce / promote Trial Implementations and Whitepapers</w:t>
      </w:r>
      <w:r w:rsidR="007A7F8C">
        <w:t xml:space="preserve">: </w:t>
      </w:r>
      <w:r w:rsidR="007A7F8C" w:rsidRPr="007A7F8C">
        <w:t>SNIF, P</w:t>
      </w:r>
      <w:r w:rsidR="00C16D5D">
        <w:t>MI</w:t>
      </w:r>
      <w:r w:rsidR="007A7F8C" w:rsidRPr="007A7F8C">
        <w:t>R, Document Sharing on FHIR</w:t>
      </w:r>
    </w:p>
    <w:p w14:paraId="34647B21" w14:textId="77777777" w:rsidR="00584B4A" w:rsidRDefault="00584B4A" w:rsidP="002472AE">
      <w:pPr>
        <w:pStyle w:val="ListParagraph"/>
        <w:numPr>
          <w:ilvl w:val="0"/>
          <w:numId w:val="20"/>
        </w:numPr>
      </w:pPr>
      <w:r>
        <w:t>Outreach to solicit public comment through various forums</w:t>
      </w:r>
      <w:r w:rsidR="00EB4F9F">
        <w:t xml:space="preserve"> (SNIF Whitepaper)</w:t>
      </w:r>
    </w:p>
    <w:p w14:paraId="0DD461CE" w14:textId="5D49C2EA" w:rsidR="00EB4F9F" w:rsidRDefault="00EB4F9F" w:rsidP="00EB4F9F">
      <w:pPr>
        <w:pStyle w:val="ListParagraph"/>
        <w:numPr>
          <w:ilvl w:val="1"/>
          <w:numId w:val="5"/>
        </w:numPr>
        <w:spacing w:after="0" w:line="240" w:lineRule="auto"/>
        <w:contextualSpacing w:val="0"/>
        <w:rPr>
          <w:rFonts w:eastAsia="Times New Roman"/>
        </w:rPr>
      </w:pPr>
      <w:r>
        <w:rPr>
          <w:rFonts w:eastAsia="Times New Roman"/>
        </w:rPr>
        <w:t>Google groups, UK Imaging Informatics Group, chat.fhir.org, Aunt Minnie PACS forum</w:t>
      </w:r>
      <w:r w:rsidR="00E27A1A">
        <w:rPr>
          <w:rFonts w:eastAsia="Times New Roman"/>
        </w:rPr>
        <w:t xml:space="preserve"> (formerly Yahoo)</w:t>
      </w:r>
    </w:p>
    <w:p w14:paraId="71C76D63" w14:textId="2E182DE2" w:rsidR="00737A91" w:rsidRDefault="00737A91" w:rsidP="002472AE">
      <w:pPr>
        <w:pStyle w:val="ListParagraph"/>
        <w:numPr>
          <w:ilvl w:val="0"/>
          <w:numId w:val="18"/>
        </w:numPr>
        <w:spacing w:after="0" w:line="240" w:lineRule="auto"/>
        <w:contextualSpacing w:val="0"/>
        <w:rPr>
          <w:rFonts w:eastAsia="Times New Roman"/>
        </w:rPr>
      </w:pPr>
      <w:r>
        <w:rPr>
          <w:rFonts w:eastAsia="Times New Roman"/>
        </w:rPr>
        <w:t>FHIR IG publisher open forums</w:t>
      </w:r>
      <w:r w:rsidR="00584069">
        <w:rPr>
          <w:rFonts w:eastAsia="Times New Roman"/>
        </w:rPr>
        <w:t xml:space="preserve"> </w:t>
      </w:r>
      <w:r w:rsidR="00B853EE">
        <w:rPr>
          <w:rFonts w:eastAsia="Times New Roman"/>
        </w:rPr>
        <w:t>(how to, FAQs, etc..)</w:t>
      </w:r>
    </w:p>
    <w:p w14:paraId="27B8D3E2" w14:textId="77777777" w:rsidR="00EB4F9F" w:rsidRPr="00EB4F9F" w:rsidRDefault="00EB4F9F" w:rsidP="00163370">
      <w:pPr>
        <w:pStyle w:val="ListParagraph"/>
        <w:spacing w:after="0" w:line="240" w:lineRule="auto"/>
        <w:contextualSpacing w:val="0"/>
        <w:rPr>
          <w:rFonts w:eastAsia="Times New Roman"/>
        </w:rPr>
      </w:pPr>
    </w:p>
    <w:p w14:paraId="78A559D8" w14:textId="77777777" w:rsidR="007C77EA" w:rsidRDefault="007C77EA" w:rsidP="002935A4">
      <w:pPr>
        <w:pStyle w:val="SectionHeading"/>
      </w:pPr>
      <w:r>
        <w:t xml:space="preserve">New Profiles: </w:t>
      </w:r>
    </w:p>
    <w:p w14:paraId="7A749E03" w14:textId="77777777" w:rsidR="00B33061" w:rsidRPr="00B33061" w:rsidRDefault="00B33061" w:rsidP="002472AE">
      <w:pPr>
        <w:pStyle w:val="ListParagraph"/>
        <w:numPr>
          <w:ilvl w:val="0"/>
          <w:numId w:val="19"/>
        </w:numPr>
      </w:pPr>
      <w:r w:rsidRPr="00B33061">
        <w:t xml:space="preserve">See: </w:t>
      </w:r>
      <w:hyperlink r:id="rId11" w:history="1">
        <w:r w:rsidRPr="00B33061">
          <w:rPr>
            <w:rStyle w:val="Hyperlink"/>
            <w:u w:val="none"/>
          </w:rPr>
          <w:t>https://github.com/IHE/IT-Infrastructure/projects/2</w:t>
        </w:r>
      </w:hyperlink>
      <w:r w:rsidRPr="00B3306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0"/>
        <w:gridCol w:w="987"/>
        <w:gridCol w:w="1363"/>
      </w:tblGrid>
      <w:tr w:rsidR="007821BD" w:rsidRPr="006651A8" w14:paraId="72B11AC6" w14:textId="77777777" w:rsidTr="006651A8">
        <w:trPr>
          <w:cantSplit/>
          <w:trHeight w:val="288"/>
          <w:tblHeader/>
        </w:trPr>
        <w:tc>
          <w:tcPr>
            <w:tcW w:w="3833" w:type="pct"/>
            <w:shd w:val="clear" w:color="auto" w:fill="D9D9D9"/>
            <w:noWrap/>
            <w:vAlign w:val="bottom"/>
            <w:hideMark/>
          </w:tcPr>
          <w:p w14:paraId="66DEE4AE"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Trial Implementations</w:t>
            </w:r>
          </w:p>
        </w:tc>
        <w:tc>
          <w:tcPr>
            <w:tcW w:w="490" w:type="pct"/>
            <w:shd w:val="clear" w:color="auto" w:fill="D9D9D9"/>
            <w:noWrap/>
            <w:vAlign w:val="bottom"/>
            <w:hideMark/>
          </w:tcPr>
          <w:p w14:paraId="0FF7D057"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Status</w:t>
            </w:r>
          </w:p>
        </w:tc>
        <w:tc>
          <w:tcPr>
            <w:tcW w:w="677" w:type="pct"/>
            <w:shd w:val="clear" w:color="auto" w:fill="D9D9D9"/>
            <w:noWrap/>
            <w:vAlign w:val="bottom"/>
            <w:hideMark/>
          </w:tcPr>
          <w:p w14:paraId="31004703"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Date</w:t>
            </w:r>
          </w:p>
        </w:tc>
      </w:tr>
      <w:tr w:rsidR="002823A6" w:rsidRPr="006651A8" w14:paraId="44299207" w14:textId="77777777" w:rsidTr="002823A6">
        <w:trPr>
          <w:cantSplit/>
          <w:trHeight w:val="288"/>
        </w:trPr>
        <w:tc>
          <w:tcPr>
            <w:tcW w:w="3833" w:type="pct"/>
            <w:shd w:val="clear" w:color="auto" w:fill="auto"/>
            <w:noWrap/>
            <w:vAlign w:val="bottom"/>
            <w:hideMark/>
          </w:tcPr>
          <w:p w14:paraId="0F5D1239"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Cross-Community Document Reliable Interchange (XCDR)</w:t>
            </w:r>
          </w:p>
        </w:tc>
        <w:tc>
          <w:tcPr>
            <w:tcW w:w="490" w:type="pct"/>
            <w:shd w:val="clear" w:color="auto" w:fill="auto"/>
            <w:noWrap/>
            <w:vAlign w:val="bottom"/>
            <w:hideMark/>
          </w:tcPr>
          <w:p w14:paraId="0090C497"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4CD28AF4"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8/6/2021</w:t>
            </w:r>
          </w:p>
        </w:tc>
      </w:tr>
      <w:tr w:rsidR="002823A6" w:rsidRPr="006651A8" w14:paraId="35BFAC72" w14:textId="77777777" w:rsidTr="002823A6">
        <w:trPr>
          <w:cantSplit/>
          <w:trHeight w:val="288"/>
        </w:trPr>
        <w:tc>
          <w:tcPr>
            <w:tcW w:w="3833" w:type="pct"/>
            <w:shd w:val="clear" w:color="auto" w:fill="auto"/>
            <w:noWrap/>
            <w:vAlign w:val="bottom"/>
            <w:hideMark/>
          </w:tcPr>
          <w:p w14:paraId="09D3DE41"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Add RESTful ATNA (Query and Feed)</w:t>
            </w:r>
          </w:p>
        </w:tc>
        <w:tc>
          <w:tcPr>
            <w:tcW w:w="490" w:type="pct"/>
            <w:shd w:val="clear" w:color="auto" w:fill="auto"/>
            <w:noWrap/>
            <w:vAlign w:val="bottom"/>
            <w:hideMark/>
          </w:tcPr>
          <w:p w14:paraId="20021093"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0A428A48"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7DAFAC20" w14:textId="77777777" w:rsidTr="002823A6">
        <w:trPr>
          <w:cantSplit/>
          <w:trHeight w:val="288"/>
        </w:trPr>
        <w:tc>
          <w:tcPr>
            <w:tcW w:w="3833" w:type="pct"/>
            <w:shd w:val="clear" w:color="auto" w:fill="auto"/>
            <w:noWrap/>
            <w:vAlign w:val="bottom"/>
            <w:hideMark/>
          </w:tcPr>
          <w:p w14:paraId="15476569"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Advanced Patient Privacy Consents (APPC)</w:t>
            </w:r>
          </w:p>
        </w:tc>
        <w:tc>
          <w:tcPr>
            <w:tcW w:w="490" w:type="pct"/>
            <w:shd w:val="clear" w:color="auto" w:fill="auto"/>
            <w:noWrap/>
            <w:vAlign w:val="bottom"/>
            <w:hideMark/>
          </w:tcPr>
          <w:p w14:paraId="6F0A385F"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76217C6F"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45D1EA33" w14:textId="77777777" w:rsidTr="002823A6">
        <w:trPr>
          <w:cantSplit/>
          <w:trHeight w:val="288"/>
        </w:trPr>
        <w:tc>
          <w:tcPr>
            <w:tcW w:w="3833" w:type="pct"/>
            <w:shd w:val="clear" w:color="auto" w:fill="auto"/>
            <w:noWrap/>
            <w:vAlign w:val="bottom"/>
            <w:hideMark/>
          </w:tcPr>
          <w:p w14:paraId="576B46ED"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Cross-Community Patient Discovery (XCPD) Health Data Locator and Revoke Option</w:t>
            </w:r>
          </w:p>
        </w:tc>
        <w:tc>
          <w:tcPr>
            <w:tcW w:w="490" w:type="pct"/>
            <w:shd w:val="clear" w:color="auto" w:fill="auto"/>
            <w:noWrap/>
            <w:vAlign w:val="bottom"/>
            <w:hideMark/>
          </w:tcPr>
          <w:p w14:paraId="498CE350"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3CF95F83"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754022DF" w14:textId="77777777" w:rsidTr="002823A6">
        <w:trPr>
          <w:cantSplit/>
          <w:trHeight w:val="288"/>
        </w:trPr>
        <w:tc>
          <w:tcPr>
            <w:tcW w:w="3833" w:type="pct"/>
            <w:shd w:val="clear" w:color="auto" w:fill="auto"/>
            <w:noWrap/>
            <w:vAlign w:val="bottom"/>
            <w:hideMark/>
          </w:tcPr>
          <w:p w14:paraId="2112768E"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Mobile Care Services Discovery (mCSD)</w:t>
            </w:r>
          </w:p>
        </w:tc>
        <w:tc>
          <w:tcPr>
            <w:tcW w:w="490" w:type="pct"/>
            <w:shd w:val="clear" w:color="auto" w:fill="auto"/>
            <w:noWrap/>
            <w:vAlign w:val="bottom"/>
            <w:hideMark/>
          </w:tcPr>
          <w:p w14:paraId="5C5AD8C3"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243A8D01"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1A0C3A31" w14:textId="77777777" w:rsidTr="002823A6">
        <w:trPr>
          <w:cantSplit/>
          <w:trHeight w:val="288"/>
        </w:trPr>
        <w:tc>
          <w:tcPr>
            <w:tcW w:w="3833" w:type="pct"/>
            <w:shd w:val="clear" w:color="auto" w:fill="auto"/>
            <w:noWrap/>
            <w:vAlign w:val="bottom"/>
            <w:hideMark/>
          </w:tcPr>
          <w:p w14:paraId="3886B81A"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Remove Metadata and Documents (RMD)</w:t>
            </w:r>
          </w:p>
        </w:tc>
        <w:tc>
          <w:tcPr>
            <w:tcW w:w="490" w:type="pct"/>
            <w:shd w:val="clear" w:color="auto" w:fill="auto"/>
            <w:noWrap/>
            <w:vAlign w:val="bottom"/>
            <w:hideMark/>
          </w:tcPr>
          <w:p w14:paraId="23519749"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0C259D32"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2EA31E60" w14:textId="77777777" w:rsidTr="002823A6">
        <w:trPr>
          <w:cantSplit/>
          <w:trHeight w:val="288"/>
        </w:trPr>
        <w:tc>
          <w:tcPr>
            <w:tcW w:w="3833" w:type="pct"/>
            <w:shd w:val="clear" w:color="auto" w:fill="auto"/>
            <w:noWrap/>
            <w:vAlign w:val="bottom"/>
            <w:hideMark/>
          </w:tcPr>
          <w:p w14:paraId="62213806"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Restricted Metadata Update (RMU)</w:t>
            </w:r>
          </w:p>
        </w:tc>
        <w:tc>
          <w:tcPr>
            <w:tcW w:w="490" w:type="pct"/>
            <w:shd w:val="clear" w:color="auto" w:fill="auto"/>
            <w:noWrap/>
            <w:vAlign w:val="bottom"/>
            <w:hideMark/>
          </w:tcPr>
          <w:p w14:paraId="2F6F304C"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579C9F96"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4E0CA2ED" w14:textId="77777777" w:rsidTr="002823A6">
        <w:trPr>
          <w:cantSplit/>
          <w:trHeight w:val="288"/>
        </w:trPr>
        <w:tc>
          <w:tcPr>
            <w:tcW w:w="3833" w:type="pct"/>
            <w:shd w:val="clear" w:color="auto" w:fill="auto"/>
            <w:noWrap/>
            <w:vAlign w:val="bottom"/>
            <w:hideMark/>
          </w:tcPr>
          <w:p w14:paraId="42D11D65"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Secure Retrieve (SeR)</w:t>
            </w:r>
          </w:p>
        </w:tc>
        <w:tc>
          <w:tcPr>
            <w:tcW w:w="490" w:type="pct"/>
            <w:shd w:val="clear" w:color="auto" w:fill="auto"/>
            <w:noWrap/>
            <w:vAlign w:val="bottom"/>
            <w:hideMark/>
          </w:tcPr>
          <w:p w14:paraId="6B618155"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16AB8B53"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4537389D" w14:textId="77777777" w:rsidTr="002823A6">
        <w:trPr>
          <w:cantSplit/>
          <w:trHeight w:val="288"/>
        </w:trPr>
        <w:tc>
          <w:tcPr>
            <w:tcW w:w="3833" w:type="pct"/>
            <w:shd w:val="clear" w:color="auto" w:fill="auto"/>
            <w:noWrap/>
            <w:vAlign w:val="bottom"/>
            <w:hideMark/>
          </w:tcPr>
          <w:p w14:paraId="55D34BA4"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XDS Metadata Update</w:t>
            </w:r>
          </w:p>
        </w:tc>
        <w:tc>
          <w:tcPr>
            <w:tcW w:w="490" w:type="pct"/>
            <w:shd w:val="clear" w:color="auto" w:fill="auto"/>
            <w:noWrap/>
            <w:vAlign w:val="bottom"/>
            <w:hideMark/>
          </w:tcPr>
          <w:p w14:paraId="2609C1D9"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5F5E718E"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7/2/2021</w:t>
            </w:r>
          </w:p>
        </w:tc>
      </w:tr>
      <w:tr w:rsidR="002823A6" w:rsidRPr="006651A8" w14:paraId="15904664" w14:textId="77777777" w:rsidTr="002823A6">
        <w:trPr>
          <w:cantSplit/>
          <w:trHeight w:val="288"/>
        </w:trPr>
        <w:tc>
          <w:tcPr>
            <w:tcW w:w="3833" w:type="pct"/>
            <w:shd w:val="clear" w:color="auto" w:fill="auto"/>
            <w:noWrap/>
            <w:vAlign w:val="bottom"/>
            <w:hideMark/>
          </w:tcPr>
          <w:p w14:paraId="1739F116"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Mobile Access to Health Documents (MHD)</w:t>
            </w:r>
          </w:p>
        </w:tc>
        <w:tc>
          <w:tcPr>
            <w:tcW w:w="490" w:type="pct"/>
            <w:shd w:val="clear" w:color="auto" w:fill="auto"/>
            <w:noWrap/>
            <w:vAlign w:val="bottom"/>
            <w:hideMark/>
          </w:tcPr>
          <w:p w14:paraId="24E2861A"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213F5443"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6/4/2021</w:t>
            </w:r>
          </w:p>
        </w:tc>
      </w:tr>
      <w:tr w:rsidR="002823A6" w:rsidRPr="006651A8" w14:paraId="148872D7" w14:textId="77777777" w:rsidTr="002823A6">
        <w:trPr>
          <w:cantSplit/>
          <w:trHeight w:val="288"/>
        </w:trPr>
        <w:tc>
          <w:tcPr>
            <w:tcW w:w="3833" w:type="pct"/>
            <w:shd w:val="clear" w:color="auto" w:fill="auto"/>
            <w:noWrap/>
            <w:vAlign w:val="bottom"/>
            <w:hideMark/>
          </w:tcPr>
          <w:p w14:paraId="5AE918B5"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Internet User Authorization (IUA)</w:t>
            </w:r>
          </w:p>
        </w:tc>
        <w:tc>
          <w:tcPr>
            <w:tcW w:w="490" w:type="pct"/>
            <w:shd w:val="clear" w:color="auto" w:fill="auto"/>
            <w:noWrap/>
            <w:vAlign w:val="bottom"/>
            <w:hideMark/>
          </w:tcPr>
          <w:p w14:paraId="3B65C24D"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49DBE90D"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3/19/2021</w:t>
            </w:r>
          </w:p>
        </w:tc>
      </w:tr>
      <w:tr w:rsidR="002823A6" w:rsidRPr="006651A8" w14:paraId="34184289" w14:textId="77777777" w:rsidTr="002823A6">
        <w:trPr>
          <w:cantSplit/>
          <w:trHeight w:val="288"/>
        </w:trPr>
        <w:tc>
          <w:tcPr>
            <w:tcW w:w="3833" w:type="pct"/>
            <w:shd w:val="clear" w:color="auto" w:fill="auto"/>
            <w:noWrap/>
            <w:vAlign w:val="bottom"/>
            <w:hideMark/>
          </w:tcPr>
          <w:p w14:paraId="51AA50C9"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Patient Master Identity Registry (PMIR)</w:t>
            </w:r>
          </w:p>
        </w:tc>
        <w:tc>
          <w:tcPr>
            <w:tcW w:w="490" w:type="pct"/>
            <w:shd w:val="clear" w:color="auto" w:fill="auto"/>
            <w:noWrap/>
            <w:vAlign w:val="bottom"/>
            <w:hideMark/>
          </w:tcPr>
          <w:p w14:paraId="0DEA0F15"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675146DC"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12/11/2020</w:t>
            </w:r>
          </w:p>
        </w:tc>
      </w:tr>
      <w:tr w:rsidR="002823A6" w:rsidRPr="006651A8" w14:paraId="00E6F2A1" w14:textId="77777777" w:rsidTr="002823A6">
        <w:trPr>
          <w:cantSplit/>
          <w:trHeight w:val="288"/>
        </w:trPr>
        <w:tc>
          <w:tcPr>
            <w:tcW w:w="3833" w:type="pct"/>
            <w:shd w:val="clear" w:color="auto" w:fill="auto"/>
            <w:noWrap/>
            <w:vAlign w:val="bottom"/>
            <w:hideMark/>
          </w:tcPr>
          <w:p w14:paraId="21BD48BB"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Healthcare Provider Directory (HPD)</w:t>
            </w:r>
          </w:p>
        </w:tc>
        <w:tc>
          <w:tcPr>
            <w:tcW w:w="490" w:type="pct"/>
            <w:shd w:val="clear" w:color="auto" w:fill="auto"/>
            <w:noWrap/>
            <w:vAlign w:val="bottom"/>
            <w:hideMark/>
          </w:tcPr>
          <w:p w14:paraId="759BE1EE"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783769E8"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8/28/2020</w:t>
            </w:r>
          </w:p>
        </w:tc>
      </w:tr>
      <w:tr w:rsidR="002823A6" w:rsidRPr="006651A8" w14:paraId="7FF4905D" w14:textId="77777777" w:rsidTr="002823A6">
        <w:trPr>
          <w:cantSplit/>
          <w:trHeight w:val="288"/>
        </w:trPr>
        <w:tc>
          <w:tcPr>
            <w:tcW w:w="3833" w:type="pct"/>
            <w:shd w:val="clear" w:color="auto" w:fill="auto"/>
            <w:noWrap/>
            <w:vAlign w:val="bottom"/>
            <w:hideMark/>
          </w:tcPr>
          <w:p w14:paraId="36F6BC04"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Sharing Valuesets, Codes, and Maps (SVCM)</w:t>
            </w:r>
          </w:p>
        </w:tc>
        <w:tc>
          <w:tcPr>
            <w:tcW w:w="490" w:type="pct"/>
            <w:shd w:val="clear" w:color="auto" w:fill="auto"/>
            <w:noWrap/>
            <w:vAlign w:val="bottom"/>
            <w:hideMark/>
          </w:tcPr>
          <w:p w14:paraId="3297C1C4"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02F1591E"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6/4/2020</w:t>
            </w:r>
          </w:p>
        </w:tc>
      </w:tr>
      <w:tr w:rsidR="002823A6" w:rsidRPr="006651A8" w14:paraId="5D8ACEAD" w14:textId="77777777" w:rsidTr="002823A6">
        <w:trPr>
          <w:cantSplit/>
          <w:trHeight w:val="288"/>
        </w:trPr>
        <w:tc>
          <w:tcPr>
            <w:tcW w:w="3833" w:type="pct"/>
            <w:shd w:val="clear" w:color="auto" w:fill="auto"/>
            <w:noWrap/>
            <w:vAlign w:val="bottom"/>
            <w:hideMark/>
          </w:tcPr>
          <w:p w14:paraId="64533007"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Mobile Health Document Sharing (MHDS)</w:t>
            </w:r>
          </w:p>
        </w:tc>
        <w:tc>
          <w:tcPr>
            <w:tcW w:w="490" w:type="pct"/>
            <w:shd w:val="clear" w:color="auto" w:fill="auto"/>
            <w:noWrap/>
            <w:vAlign w:val="bottom"/>
            <w:hideMark/>
          </w:tcPr>
          <w:p w14:paraId="66667134"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Publish</w:t>
            </w:r>
          </w:p>
        </w:tc>
        <w:tc>
          <w:tcPr>
            <w:tcW w:w="677" w:type="pct"/>
            <w:shd w:val="clear" w:color="auto" w:fill="auto"/>
            <w:noWrap/>
            <w:vAlign w:val="bottom"/>
            <w:hideMark/>
          </w:tcPr>
          <w:p w14:paraId="0311D0FB"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5/29/2020</w:t>
            </w:r>
          </w:p>
        </w:tc>
      </w:tr>
      <w:tr w:rsidR="007821BD" w:rsidRPr="006651A8" w14:paraId="2860CB8C" w14:textId="77777777" w:rsidTr="006651A8">
        <w:trPr>
          <w:cantSplit/>
          <w:trHeight w:val="288"/>
        </w:trPr>
        <w:tc>
          <w:tcPr>
            <w:tcW w:w="3833" w:type="pct"/>
            <w:shd w:val="clear" w:color="auto" w:fill="D9D9D9"/>
            <w:noWrap/>
            <w:vAlign w:val="bottom"/>
            <w:hideMark/>
          </w:tcPr>
          <w:p w14:paraId="3127A41C"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White Papers</w:t>
            </w:r>
          </w:p>
        </w:tc>
        <w:tc>
          <w:tcPr>
            <w:tcW w:w="490" w:type="pct"/>
            <w:shd w:val="clear" w:color="auto" w:fill="D9D9D9"/>
            <w:noWrap/>
            <w:vAlign w:val="bottom"/>
            <w:hideMark/>
          </w:tcPr>
          <w:p w14:paraId="58CF87CF"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Status</w:t>
            </w:r>
          </w:p>
        </w:tc>
        <w:tc>
          <w:tcPr>
            <w:tcW w:w="677" w:type="pct"/>
            <w:shd w:val="clear" w:color="auto" w:fill="D9D9D9"/>
            <w:noWrap/>
            <w:vAlign w:val="bottom"/>
            <w:hideMark/>
          </w:tcPr>
          <w:p w14:paraId="2C99EE89" w14:textId="77777777" w:rsidR="00A753D7" w:rsidRPr="006651A8" w:rsidRDefault="00A753D7" w:rsidP="00A753D7">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Date</w:t>
            </w:r>
          </w:p>
        </w:tc>
      </w:tr>
      <w:tr w:rsidR="002823A6" w:rsidRPr="006651A8" w14:paraId="447CA6A6" w14:textId="77777777" w:rsidTr="002823A6">
        <w:trPr>
          <w:cantSplit/>
          <w:trHeight w:val="288"/>
        </w:trPr>
        <w:tc>
          <w:tcPr>
            <w:tcW w:w="3833" w:type="pct"/>
            <w:shd w:val="clear" w:color="auto" w:fill="auto"/>
            <w:noWrap/>
            <w:vAlign w:val="bottom"/>
            <w:hideMark/>
          </w:tcPr>
          <w:p w14:paraId="246D822B"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Survey of Network Interfaces Form</w:t>
            </w:r>
          </w:p>
        </w:tc>
        <w:tc>
          <w:tcPr>
            <w:tcW w:w="490" w:type="pct"/>
            <w:shd w:val="clear" w:color="auto" w:fill="auto"/>
            <w:noWrap/>
            <w:vAlign w:val="bottom"/>
            <w:hideMark/>
          </w:tcPr>
          <w:p w14:paraId="182769F7"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Publish</w:t>
            </w:r>
          </w:p>
        </w:tc>
        <w:tc>
          <w:tcPr>
            <w:tcW w:w="677" w:type="pct"/>
            <w:shd w:val="clear" w:color="auto" w:fill="auto"/>
            <w:noWrap/>
            <w:vAlign w:val="bottom"/>
            <w:hideMark/>
          </w:tcPr>
          <w:p w14:paraId="3B18E101"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5/29/2020</w:t>
            </w:r>
          </w:p>
        </w:tc>
      </w:tr>
      <w:tr w:rsidR="002823A6" w:rsidRPr="006651A8" w14:paraId="0FAD7816" w14:textId="77777777" w:rsidTr="002823A6">
        <w:trPr>
          <w:cantSplit/>
          <w:trHeight w:val="288"/>
        </w:trPr>
        <w:tc>
          <w:tcPr>
            <w:tcW w:w="3833" w:type="pct"/>
            <w:shd w:val="clear" w:color="auto" w:fill="auto"/>
            <w:noWrap/>
            <w:vAlign w:val="bottom"/>
            <w:hideMark/>
          </w:tcPr>
          <w:p w14:paraId="7D120C7C"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lastRenderedPageBreak/>
              <w:t>Enabling Document Sharing Health Information Exchange Using IHE Profile</w:t>
            </w:r>
          </w:p>
        </w:tc>
        <w:tc>
          <w:tcPr>
            <w:tcW w:w="490" w:type="pct"/>
            <w:shd w:val="clear" w:color="auto" w:fill="auto"/>
            <w:noWrap/>
            <w:vAlign w:val="bottom"/>
            <w:hideMark/>
          </w:tcPr>
          <w:p w14:paraId="3875FD9D" w14:textId="77777777" w:rsidR="00A753D7" w:rsidRPr="006651A8" w:rsidRDefault="00A753D7" w:rsidP="00A753D7">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hideMark/>
          </w:tcPr>
          <w:p w14:paraId="218F4096" w14:textId="77777777" w:rsidR="00A753D7" w:rsidRPr="006651A8" w:rsidRDefault="00A753D7" w:rsidP="00A753D7">
            <w:pPr>
              <w:spacing w:after="0" w:line="240" w:lineRule="auto"/>
              <w:jc w:val="right"/>
              <w:rPr>
                <w:rFonts w:eastAsia="Times New Roman" w:cs="Calibri"/>
                <w:color w:val="000000"/>
                <w:sz w:val="20"/>
                <w:szCs w:val="20"/>
              </w:rPr>
            </w:pPr>
            <w:r w:rsidRPr="006651A8">
              <w:rPr>
                <w:rFonts w:eastAsia="Times New Roman" w:cs="Calibri"/>
                <w:color w:val="000000"/>
                <w:sz w:val="20"/>
                <w:szCs w:val="20"/>
              </w:rPr>
              <w:t>3/19/2021</w:t>
            </w:r>
          </w:p>
        </w:tc>
      </w:tr>
      <w:tr w:rsidR="007821BD" w:rsidRPr="006651A8" w14:paraId="2DFB70FB" w14:textId="77777777" w:rsidTr="006651A8">
        <w:trPr>
          <w:cantSplit/>
          <w:trHeight w:val="288"/>
        </w:trPr>
        <w:tc>
          <w:tcPr>
            <w:tcW w:w="3833" w:type="pct"/>
            <w:shd w:val="clear" w:color="auto" w:fill="D9D9D9"/>
            <w:noWrap/>
            <w:vAlign w:val="bottom"/>
          </w:tcPr>
          <w:p w14:paraId="0CE4A34F" w14:textId="77777777" w:rsidR="007821BD" w:rsidRPr="006651A8" w:rsidRDefault="007821BD" w:rsidP="007821BD">
            <w:pPr>
              <w:spacing w:after="0" w:line="240" w:lineRule="auto"/>
              <w:rPr>
                <w:rFonts w:eastAsia="Times New Roman" w:cs="Calibri"/>
                <w:b/>
                <w:bCs/>
                <w:color w:val="000000"/>
                <w:sz w:val="20"/>
                <w:szCs w:val="20"/>
              </w:rPr>
            </w:pPr>
            <w:r w:rsidRPr="006651A8">
              <w:rPr>
                <w:rFonts w:eastAsia="Times New Roman" w:cs="Calibri"/>
                <w:b/>
                <w:bCs/>
                <w:color w:val="000000"/>
                <w:sz w:val="20"/>
                <w:szCs w:val="20"/>
              </w:rPr>
              <w:t>Public Comment</w:t>
            </w:r>
          </w:p>
        </w:tc>
        <w:tc>
          <w:tcPr>
            <w:tcW w:w="490" w:type="pct"/>
            <w:shd w:val="clear" w:color="auto" w:fill="D9D9D9"/>
            <w:noWrap/>
            <w:vAlign w:val="bottom"/>
          </w:tcPr>
          <w:p w14:paraId="3A59D3D5"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b/>
                <w:bCs/>
                <w:color w:val="000000"/>
                <w:sz w:val="20"/>
                <w:szCs w:val="20"/>
              </w:rPr>
              <w:t>Status</w:t>
            </w:r>
          </w:p>
        </w:tc>
        <w:tc>
          <w:tcPr>
            <w:tcW w:w="677" w:type="pct"/>
            <w:shd w:val="clear" w:color="auto" w:fill="D9D9D9"/>
            <w:noWrap/>
            <w:vAlign w:val="bottom"/>
          </w:tcPr>
          <w:p w14:paraId="23206CD2"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b/>
                <w:bCs/>
                <w:color w:val="000000"/>
                <w:sz w:val="20"/>
                <w:szCs w:val="20"/>
              </w:rPr>
              <w:t>Date</w:t>
            </w:r>
          </w:p>
        </w:tc>
      </w:tr>
      <w:tr w:rsidR="007821BD" w:rsidRPr="006651A8" w14:paraId="3B1B5C1A" w14:textId="77777777" w:rsidTr="002823A6">
        <w:trPr>
          <w:cantSplit/>
          <w:trHeight w:val="288"/>
        </w:trPr>
        <w:tc>
          <w:tcPr>
            <w:tcW w:w="3833" w:type="pct"/>
            <w:shd w:val="clear" w:color="auto" w:fill="auto"/>
            <w:noWrap/>
            <w:vAlign w:val="bottom"/>
          </w:tcPr>
          <w:p w14:paraId="222A2BF8"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color w:val="000000"/>
                <w:sz w:val="20"/>
                <w:szCs w:val="20"/>
              </w:rPr>
              <w:t>mCSD Whitepaper</w:t>
            </w:r>
          </w:p>
        </w:tc>
        <w:tc>
          <w:tcPr>
            <w:tcW w:w="490" w:type="pct"/>
            <w:shd w:val="clear" w:color="auto" w:fill="auto"/>
            <w:noWrap/>
          </w:tcPr>
          <w:p w14:paraId="46E59A51" w14:textId="77777777" w:rsidR="007821BD" w:rsidRPr="006651A8" w:rsidRDefault="007821BD" w:rsidP="007821BD">
            <w:pPr>
              <w:spacing w:after="0" w:line="240" w:lineRule="auto"/>
              <w:rPr>
                <w:rFonts w:eastAsia="Times New Roman" w:cs="Calibri"/>
                <w:color w:val="000000"/>
                <w:sz w:val="20"/>
                <w:szCs w:val="20"/>
              </w:rPr>
            </w:pPr>
            <w:r w:rsidRPr="007821BD">
              <w:rPr>
                <w:rFonts w:eastAsia="Times New Roman" w:cs="Calibri"/>
                <w:color w:val="000000"/>
                <w:sz w:val="20"/>
                <w:szCs w:val="20"/>
              </w:rPr>
              <w:t>Publish</w:t>
            </w:r>
          </w:p>
        </w:tc>
        <w:tc>
          <w:tcPr>
            <w:tcW w:w="677" w:type="pct"/>
            <w:shd w:val="clear" w:color="auto" w:fill="auto"/>
            <w:noWrap/>
            <w:vAlign w:val="bottom"/>
          </w:tcPr>
          <w:p w14:paraId="715DEB5E" w14:textId="77777777" w:rsidR="007821BD" w:rsidRPr="006651A8" w:rsidRDefault="007821BD" w:rsidP="007821BD">
            <w:pPr>
              <w:spacing w:after="0" w:line="240" w:lineRule="auto"/>
              <w:jc w:val="right"/>
              <w:rPr>
                <w:rFonts w:eastAsia="Times New Roman" w:cs="Calibri"/>
                <w:color w:val="000000"/>
                <w:sz w:val="20"/>
                <w:szCs w:val="20"/>
              </w:rPr>
            </w:pPr>
            <w:r w:rsidRPr="006651A8">
              <w:rPr>
                <w:rFonts w:eastAsia="Times New Roman" w:cs="Calibri"/>
                <w:color w:val="000000"/>
                <w:sz w:val="20"/>
                <w:szCs w:val="20"/>
              </w:rPr>
              <w:t>8/06/2021</w:t>
            </w:r>
          </w:p>
        </w:tc>
      </w:tr>
      <w:tr w:rsidR="007821BD" w:rsidRPr="006651A8" w14:paraId="0313703B" w14:textId="77777777" w:rsidTr="002823A6">
        <w:trPr>
          <w:cantSplit/>
          <w:trHeight w:val="288"/>
        </w:trPr>
        <w:tc>
          <w:tcPr>
            <w:tcW w:w="3833" w:type="pct"/>
            <w:shd w:val="clear" w:color="auto" w:fill="auto"/>
            <w:noWrap/>
            <w:vAlign w:val="bottom"/>
          </w:tcPr>
          <w:p w14:paraId="23A91B1A"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color w:val="000000"/>
                <w:sz w:val="20"/>
                <w:szCs w:val="20"/>
              </w:rPr>
              <w:t>Patient Demographics Query for Mobile (PDQm)</w:t>
            </w:r>
          </w:p>
        </w:tc>
        <w:tc>
          <w:tcPr>
            <w:tcW w:w="490" w:type="pct"/>
            <w:shd w:val="clear" w:color="auto" w:fill="auto"/>
            <w:noWrap/>
            <w:vAlign w:val="bottom"/>
          </w:tcPr>
          <w:p w14:paraId="29817D21"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tcPr>
          <w:p w14:paraId="67AA15CE" w14:textId="77777777" w:rsidR="007821BD" w:rsidRPr="006651A8" w:rsidRDefault="007821BD" w:rsidP="007821BD">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7/30/2021</w:t>
            </w:r>
          </w:p>
        </w:tc>
      </w:tr>
      <w:tr w:rsidR="007821BD" w:rsidRPr="006651A8" w14:paraId="7EE4D24C" w14:textId="77777777" w:rsidTr="002823A6">
        <w:trPr>
          <w:cantSplit/>
          <w:trHeight w:val="288"/>
        </w:trPr>
        <w:tc>
          <w:tcPr>
            <w:tcW w:w="3833" w:type="pct"/>
            <w:shd w:val="clear" w:color="auto" w:fill="auto"/>
            <w:noWrap/>
            <w:vAlign w:val="bottom"/>
          </w:tcPr>
          <w:p w14:paraId="1BC54C98"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color w:val="000000"/>
                <w:sz w:val="20"/>
                <w:szCs w:val="20"/>
              </w:rPr>
              <w:t>Patient Identifier Cross-reference for Mobile (PIXm)</w:t>
            </w:r>
          </w:p>
        </w:tc>
        <w:tc>
          <w:tcPr>
            <w:tcW w:w="490" w:type="pct"/>
            <w:shd w:val="clear" w:color="auto" w:fill="auto"/>
            <w:noWrap/>
            <w:vAlign w:val="bottom"/>
          </w:tcPr>
          <w:p w14:paraId="7B182FCB" w14:textId="77777777" w:rsidR="007821BD" w:rsidRPr="006651A8" w:rsidRDefault="007821BD" w:rsidP="007821BD">
            <w:pPr>
              <w:spacing w:after="0" w:line="240" w:lineRule="auto"/>
              <w:rPr>
                <w:rFonts w:eastAsia="Times New Roman" w:cs="Calibri"/>
                <w:color w:val="000000"/>
                <w:sz w:val="20"/>
                <w:szCs w:val="20"/>
              </w:rPr>
            </w:pPr>
            <w:r w:rsidRPr="006651A8">
              <w:rPr>
                <w:rFonts w:eastAsia="Times New Roman" w:cs="Calibri"/>
                <w:color w:val="000000"/>
                <w:sz w:val="20"/>
                <w:szCs w:val="20"/>
              </w:rPr>
              <w:t>Revised</w:t>
            </w:r>
          </w:p>
        </w:tc>
        <w:tc>
          <w:tcPr>
            <w:tcW w:w="677" w:type="pct"/>
            <w:shd w:val="clear" w:color="auto" w:fill="auto"/>
            <w:noWrap/>
            <w:vAlign w:val="bottom"/>
          </w:tcPr>
          <w:p w14:paraId="69EE8803" w14:textId="77777777" w:rsidR="007821BD" w:rsidRPr="006651A8" w:rsidRDefault="007821BD" w:rsidP="007821BD">
            <w:pPr>
              <w:spacing w:after="0" w:line="240" w:lineRule="auto"/>
              <w:jc w:val="right"/>
              <w:rPr>
                <w:rFonts w:eastAsia="Times New Roman" w:cs="Calibri"/>
                <w:color w:val="000000"/>
                <w:sz w:val="20"/>
                <w:szCs w:val="20"/>
              </w:rPr>
            </w:pPr>
            <w:r w:rsidRPr="006651A8">
              <w:rPr>
                <w:rFonts w:eastAsia="Times New Roman" w:cs="Calibri"/>
                <w:color w:val="000000"/>
                <w:sz w:val="20"/>
                <w:szCs w:val="20"/>
              </w:rPr>
              <w:t>7/30/2021</w:t>
            </w:r>
          </w:p>
        </w:tc>
      </w:tr>
    </w:tbl>
    <w:p w14:paraId="2B64AD70" w14:textId="77777777" w:rsidR="002823A6" w:rsidRDefault="002823A6" w:rsidP="002823A6">
      <w:pPr>
        <w:pStyle w:val="SectionHeading"/>
        <w:spacing w:after="0"/>
        <w:rPr>
          <w:rFonts w:eastAsia="Times New Roman" w:cs="Calibri"/>
          <w:color w:val="000000"/>
          <w:sz w:val="20"/>
          <w:szCs w:val="20"/>
          <w:u w:val="none"/>
        </w:rPr>
      </w:pPr>
    </w:p>
    <w:p w14:paraId="505E7708" w14:textId="229BD4E0" w:rsidR="00A753D7" w:rsidRPr="002823A6" w:rsidRDefault="002823A6" w:rsidP="002823A6">
      <w:pPr>
        <w:pStyle w:val="SectionHeading"/>
        <w:spacing w:after="0"/>
        <w:rPr>
          <w:rFonts w:eastAsia="Times New Roman" w:cs="Calibri"/>
          <w:color w:val="000000"/>
          <w:u w:val="none"/>
        </w:rPr>
      </w:pPr>
      <w:r w:rsidRPr="002823A6">
        <w:rPr>
          <w:rFonts w:eastAsia="Times New Roman" w:cs="Calibri"/>
          <w:color w:val="000000"/>
          <w:u w:val="none"/>
        </w:rPr>
        <w:t>FHIR Implementation Guides</w:t>
      </w:r>
      <w:r w:rsidR="00737A91">
        <w:rPr>
          <w:rFonts w:eastAsia="Times New Roman" w:cs="Calibri"/>
          <w:color w:val="000000"/>
          <w:u w:val="none"/>
        </w:rPr>
        <w:t xml:space="preserve"> </w:t>
      </w:r>
      <w:r w:rsidR="00737A91" w:rsidRPr="007129FF">
        <w:rPr>
          <w:b w:val="0"/>
          <w:bCs/>
          <w:u w:val="none"/>
        </w:rPr>
        <w:t>(</w:t>
      </w:r>
      <w:r w:rsidR="00737A91" w:rsidRPr="007129FF">
        <w:rPr>
          <w:rStyle w:val="Hyperlink"/>
          <w:b w:val="0"/>
          <w:bCs/>
          <w:u w:val="none"/>
        </w:rPr>
        <w:t>http://www.fhir.org/guides/registry/</w:t>
      </w:r>
      <w:r w:rsidR="00737A91" w:rsidRPr="007129FF">
        <w:rPr>
          <w:b w:val="0"/>
          <w:bCs/>
          <w:u w:val="none"/>
        </w:rPr>
        <w:t>)</w:t>
      </w:r>
    </w:p>
    <w:p w14:paraId="53094379" w14:textId="77777777" w:rsidR="002823A6" w:rsidRPr="002823A6" w:rsidRDefault="002823A6" w:rsidP="002823A6">
      <w:pPr>
        <w:pStyle w:val="SectionHeading"/>
        <w:numPr>
          <w:ilvl w:val="0"/>
          <w:numId w:val="12"/>
        </w:numPr>
        <w:spacing w:after="0"/>
        <w:rPr>
          <w:b w:val="0"/>
          <w:bCs/>
          <w:u w:val="none"/>
        </w:rPr>
      </w:pPr>
      <w:r w:rsidRPr="002823A6">
        <w:rPr>
          <w:b w:val="0"/>
          <w:bCs/>
          <w:u w:val="none"/>
        </w:rPr>
        <w:t>MHD</w:t>
      </w:r>
    </w:p>
    <w:p w14:paraId="256E636F" w14:textId="77777777" w:rsidR="002823A6" w:rsidRPr="002823A6" w:rsidRDefault="002823A6" w:rsidP="002823A6">
      <w:pPr>
        <w:pStyle w:val="SectionHeading"/>
        <w:numPr>
          <w:ilvl w:val="0"/>
          <w:numId w:val="12"/>
        </w:numPr>
        <w:spacing w:after="0"/>
        <w:rPr>
          <w:b w:val="0"/>
          <w:bCs/>
          <w:u w:val="none"/>
        </w:rPr>
      </w:pPr>
      <w:r w:rsidRPr="002823A6">
        <w:rPr>
          <w:b w:val="0"/>
          <w:bCs/>
          <w:u w:val="none"/>
        </w:rPr>
        <w:t>PIXm</w:t>
      </w:r>
    </w:p>
    <w:p w14:paraId="16E95113" w14:textId="77777777" w:rsidR="002823A6" w:rsidRPr="002823A6" w:rsidRDefault="002823A6" w:rsidP="002823A6">
      <w:pPr>
        <w:pStyle w:val="SectionHeading"/>
        <w:numPr>
          <w:ilvl w:val="0"/>
          <w:numId w:val="12"/>
        </w:numPr>
        <w:spacing w:after="0"/>
        <w:rPr>
          <w:b w:val="0"/>
          <w:bCs/>
          <w:u w:val="none"/>
        </w:rPr>
      </w:pPr>
      <w:r w:rsidRPr="002823A6">
        <w:rPr>
          <w:b w:val="0"/>
          <w:bCs/>
          <w:u w:val="none"/>
        </w:rPr>
        <w:t>PDQm</w:t>
      </w:r>
    </w:p>
    <w:p w14:paraId="2F43A5FD" w14:textId="77777777" w:rsidR="00C25976" w:rsidRDefault="002823A6" w:rsidP="002935A4">
      <w:pPr>
        <w:pStyle w:val="SectionHeading"/>
        <w:rPr>
          <w:rFonts w:eastAsia="Times New Roman" w:cs="Calibri"/>
          <w:color w:val="000000"/>
          <w:u w:val="none"/>
        </w:rPr>
      </w:pPr>
      <w:r w:rsidRPr="002823A6">
        <w:rPr>
          <w:rFonts w:eastAsia="Times New Roman" w:cs="Calibri"/>
          <w:color w:val="000000"/>
          <w:u w:val="none"/>
        </w:rPr>
        <w:t>Publication of Final Text Volumes to HTML</w:t>
      </w:r>
    </w:p>
    <w:p w14:paraId="6C55C699" w14:textId="5D3FE775" w:rsidR="002823A6" w:rsidRPr="009F2A6E" w:rsidRDefault="00C25976" w:rsidP="002C1B43">
      <w:pPr>
        <w:pStyle w:val="SectionHeading"/>
        <w:numPr>
          <w:ilvl w:val="0"/>
          <w:numId w:val="15"/>
        </w:numPr>
        <w:rPr>
          <w:rStyle w:val="Hyperlink"/>
          <w:rFonts w:eastAsia="Times New Roman" w:cs="Calibri"/>
          <w:b w:val="0"/>
          <w:bCs/>
          <w:color w:val="000000"/>
          <w:u w:val="none"/>
        </w:rPr>
      </w:pPr>
      <w:r w:rsidRPr="009F2A6E">
        <w:rPr>
          <w:rFonts w:eastAsia="Times New Roman" w:cs="Calibri"/>
          <w:b w:val="0"/>
          <w:bCs/>
          <w:color w:val="000000"/>
          <w:u w:val="none"/>
        </w:rPr>
        <w:t>Publication site:</w:t>
      </w:r>
      <w:r>
        <w:rPr>
          <w:rStyle w:val="Hyperlink"/>
          <w:b w:val="0"/>
          <w:bCs/>
          <w:u w:val="none"/>
        </w:rPr>
        <w:t xml:space="preserve"> </w:t>
      </w:r>
      <w:hyperlink r:id="rId12" w:history="1">
        <w:r w:rsidR="009F2A6E" w:rsidRPr="00526360">
          <w:rPr>
            <w:rStyle w:val="Hyperlink"/>
            <w:b w:val="0"/>
            <w:bCs/>
          </w:rPr>
          <w:t>https://profiles.ihe.net/</w:t>
        </w:r>
      </w:hyperlink>
    </w:p>
    <w:p w14:paraId="549FD8F2" w14:textId="1422DCDA" w:rsidR="009F2A6E" w:rsidRPr="00BE531C" w:rsidRDefault="009F2A6E" w:rsidP="002C1B43">
      <w:pPr>
        <w:pStyle w:val="SectionHeading"/>
        <w:numPr>
          <w:ilvl w:val="0"/>
          <w:numId w:val="15"/>
        </w:numPr>
        <w:rPr>
          <w:rStyle w:val="Hyperlink"/>
          <w:rFonts w:eastAsia="Times New Roman" w:cs="Calibri"/>
          <w:b w:val="0"/>
          <w:bCs/>
          <w:color w:val="000000"/>
          <w:u w:val="none"/>
        </w:rPr>
      </w:pPr>
      <w:r>
        <w:rPr>
          <w:rFonts w:eastAsia="Times New Roman" w:cs="Calibri"/>
          <w:b w:val="0"/>
          <w:bCs/>
          <w:color w:val="000000"/>
          <w:u w:val="none"/>
        </w:rPr>
        <w:t>S</w:t>
      </w:r>
      <w:r w:rsidRPr="009F2A6E">
        <w:rPr>
          <w:rFonts w:eastAsia="Times New Roman" w:cs="Calibri"/>
          <w:b w:val="0"/>
          <w:bCs/>
          <w:color w:val="000000"/>
          <w:u w:val="none"/>
        </w:rPr>
        <w:t>taging / archive</w:t>
      </w:r>
      <w:r>
        <w:rPr>
          <w:rFonts w:eastAsia="Times New Roman" w:cs="Calibri"/>
          <w:b w:val="0"/>
          <w:bCs/>
          <w:color w:val="000000"/>
          <w:u w:val="none"/>
        </w:rPr>
        <w:t>:</w:t>
      </w:r>
      <w:r w:rsidRPr="009F2A6E">
        <w:rPr>
          <w:rFonts w:eastAsia="Times New Roman" w:cs="Calibri"/>
          <w:b w:val="0"/>
          <w:bCs/>
          <w:color w:val="000000"/>
          <w:u w:val="none"/>
        </w:rPr>
        <w:t xml:space="preserve"> </w:t>
      </w:r>
      <w:r w:rsidRPr="009F2A6E">
        <w:rPr>
          <w:rStyle w:val="Hyperlink"/>
          <w:b w:val="0"/>
          <w:bCs/>
        </w:rPr>
        <w:t>https://github.com/IHE/publications</w:t>
      </w:r>
    </w:p>
    <w:p w14:paraId="31B0BF2A" w14:textId="77777777" w:rsidR="008D627B" w:rsidRDefault="008D627B" w:rsidP="002935A4">
      <w:pPr>
        <w:pStyle w:val="SectionHeading"/>
      </w:pPr>
      <w:r>
        <w:t>Trends</w:t>
      </w:r>
      <w:r w:rsidR="002624CC">
        <w:t>:</w:t>
      </w:r>
    </w:p>
    <w:p w14:paraId="1CB4C012" w14:textId="485DF707" w:rsidR="00FB5485" w:rsidRDefault="00FB5485" w:rsidP="002C1B43">
      <w:pPr>
        <w:pStyle w:val="ListParagraph"/>
        <w:numPr>
          <w:ilvl w:val="0"/>
          <w:numId w:val="16"/>
        </w:numPr>
      </w:pPr>
      <w:r>
        <w:t xml:space="preserve">Each year, we see more </w:t>
      </w:r>
      <w:r w:rsidR="002318DC">
        <w:t xml:space="preserve">Connectathon </w:t>
      </w:r>
      <w:r>
        <w:t>participants supporting ITI’s profiles based on HL7 FHIR, with PDQm, PIXm, and MHD being the most popular.  In 2021, we were pleased to see the first testing of our newer FHIR based profiles, PMIR, SVCM, and mXDE.</w:t>
      </w:r>
    </w:p>
    <w:p w14:paraId="250D3183" w14:textId="41BC7EB3" w:rsidR="0075284C" w:rsidRPr="009C0D6A" w:rsidRDefault="002318DC" w:rsidP="002C1B43">
      <w:pPr>
        <w:pStyle w:val="ListParagraph"/>
        <w:numPr>
          <w:ilvl w:val="0"/>
          <w:numId w:val="16"/>
        </w:numPr>
      </w:pPr>
      <w:r>
        <w:t xml:space="preserve">Connectathon participants </w:t>
      </w:r>
      <w:r w:rsidR="00FB5485">
        <w:t xml:space="preserve">continue to want to test the ATNA, </w:t>
      </w:r>
      <w:r w:rsidR="00FB5485" w:rsidRPr="000218F7">
        <w:rPr>
          <w:rFonts w:eastAsia="Times New Roman" w:cs="Calibri"/>
          <w:color w:val="000000"/>
        </w:rPr>
        <w:t>XC* and XD*</w:t>
      </w:r>
      <w:r w:rsidR="00FB5485">
        <w:rPr>
          <w:rFonts w:eastAsia="Times New Roman" w:cs="Calibri"/>
          <w:color w:val="000000"/>
        </w:rPr>
        <w:t xml:space="preserve"> </w:t>
      </w:r>
      <w:r w:rsidR="00FB5485" w:rsidRPr="000218F7">
        <w:rPr>
          <w:rFonts w:eastAsia="Times New Roman" w:cs="Calibri"/>
          <w:color w:val="000000"/>
        </w:rPr>
        <w:t>profiles</w:t>
      </w:r>
      <w:r w:rsidR="00FB5485">
        <w:rPr>
          <w:rFonts w:eastAsia="Times New Roman" w:cs="Calibri"/>
          <w:color w:val="000000"/>
        </w:rPr>
        <w:t xml:space="preserve"> and related profiles like, BPPC, XUA, and more</w:t>
      </w:r>
      <w:r w:rsidR="00FB5485" w:rsidRPr="00BE238D">
        <w:rPr>
          <w:rFonts w:eastAsia="Times New Roman" w:cs="Calibri"/>
          <w:color w:val="000000"/>
        </w:rPr>
        <w:t xml:space="preserve">.  </w:t>
      </w:r>
      <w:r w:rsidR="00FB5485">
        <w:rPr>
          <w:rFonts w:eastAsia="Times New Roman" w:cs="Calibri"/>
          <w:color w:val="000000"/>
        </w:rPr>
        <w:t>M</w:t>
      </w:r>
      <w:r w:rsidR="00FB5485" w:rsidRPr="00BE238D">
        <w:rPr>
          <w:rFonts w:eastAsia="Times New Roman" w:cs="Calibri"/>
          <w:color w:val="000000"/>
        </w:rPr>
        <w:t>ost participants are now doing supportive testing</w:t>
      </w:r>
      <w:r w:rsidR="00FB5485">
        <w:rPr>
          <w:rFonts w:eastAsia="Times New Roman" w:cs="Calibri"/>
          <w:color w:val="000000"/>
        </w:rPr>
        <w:t xml:space="preserve"> of these profiles, yet</w:t>
      </w:r>
      <w:r w:rsidR="00FB5485" w:rsidRPr="00BE238D">
        <w:rPr>
          <w:rFonts w:eastAsia="Times New Roman" w:cs="Calibri"/>
          <w:color w:val="000000"/>
        </w:rPr>
        <w:t xml:space="preserve"> </w:t>
      </w:r>
      <w:r w:rsidR="00FB5485">
        <w:rPr>
          <w:rFonts w:eastAsia="Times New Roman" w:cs="Calibri"/>
          <w:color w:val="000000"/>
        </w:rPr>
        <w:t xml:space="preserve">we </w:t>
      </w:r>
      <w:r w:rsidR="00FB5485" w:rsidRPr="00BE238D">
        <w:rPr>
          <w:rFonts w:eastAsia="Times New Roman" w:cs="Calibri"/>
          <w:color w:val="000000"/>
        </w:rPr>
        <w:t>still have new part</w:t>
      </w:r>
      <w:r w:rsidR="00FB5485">
        <w:rPr>
          <w:rFonts w:eastAsia="Times New Roman" w:cs="Calibri"/>
          <w:color w:val="000000"/>
        </w:rPr>
        <w:t>i</w:t>
      </w:r>
      <w:r w:rsidR="00FB5485" w:rsidRPr="00BE238D">
        <w:rPr>
          <w:rFonts w:eastAsia="Times New Roman" w:cs="Calibri"/>
          <w:color w:val="000000"/>
        </w:rPr>
        <w:t>cipants testing the</w:t>
      </w:r>
      <w:r w:rsidR="00FB5485">
        <w:rPr>
          <w:rFonts w:eastAsia="Times New Roman" w:cs="Calibri"/>
          <w:color w:val="000000"/>
        </w:rPr>
        <w:t>m</w:t>
      </w:r>
      <w:r w:rsidR="00FB5485" w:rsidRPr="00BE238D">
        <w:rPr>
          <w:rFonts w:eastAsia="Times New Roman" w:cs="Calibri"/>
          <w:color w:val="000000"/>
        </w:rPr>
        <w:t xml:space="preserve"> each year.</w:t>
      </w:r>
    </w:p>
    <w:p w14:paraId="7D49AB5F" w14:textId="74D8FCC2" w:rsidR="009C0D6A" w:rsidRPr="00FB5485" w:rsidRDefault="00D93F63" w:rsidP="009C0D6A">
      <w:pPr>
        <w:ind w:left="360"/>
      </w:pPr>
      <w:r>
        <w:rPr>
          <w:noProof/>
        </w:rPr>
        <w:drawing>
          <wp:inline distT="0" distB="0" distL="0" distR="0" wp14:anchorId="4365A4E6" wp14:editId="755ABEDB">
            <wp:extent cx="6400800" cy="3094330"/>
            <wp:effectExtent l="0" t="0" r="0" b="11430"/>
            <wp:docPr id="1" name="Chart 1">
              <a:extLst xmlns:a="http://schemas.openxmlformats.org/drawingml/2006/main">
                <a:ext uri="{FF2B5EF4-FFF2-40B4-BE49-F238E27FC236}">
                  <a16:creationId xmlns:a16="http://schemas.microsoft.com/office/drawing/2014/main" id="{3D9C504B-AEAF-489D-9B1F-0C55764F2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AB93C7" w14:textId="16B1673B" w:rsidR="00644501" w:rsidRPr="00AA5D33" w:rsidRDefault="00644501" w:rsidP="00AA5D33">
      <w:pPr>
        <w:pStyle w:val="SectionHeading"/>
        <w:ind w:left="360"/>
        <w:rPr>
          <w:b w:val="0"/>
          <w:bCs/>
          <w:u w:val="none"/>
        </w:rPr>
      </w:pPr>
      <w:r w:rsidRPr="00AA5D33">
        <w:rPr>
          <w:b w:val="0"/>
          <w:bCs/>
          <w:u w:val="none"/>
        </w:rPr>
        <w:t xml:space="preserve">*Last datapoint from Japan </w:t>
      </w:r>
      <w:r w:rsidR="00AA5D33" w:rsidRPr="00AA5D33">
        <w:rPr>
          <w:b w:val="0"/>
          <w:bCs/>
          <w:u w:val="none"/>
        </w:rPr>
        <w:t>2019</w:t>
      </w:r>
    </w:p>
    <w:p w14:paraId="46DC6054" w14:textId="06756B8C" w:rsidR="00D633A1" w:rsidRDefault="007C77EA" w:rsidP="002935A4">
      <w:pPr>
        <w:pStyle w:val="SectionHeading"/>
      </w:pPr>
      <w:r>
        <w:t xml:space="preserve">Summary of Future Plans: </w:t>
      </w:r>
    </w:p>
    <w:p w14:paraId="0F684AF7" w14:textId="77777777" w:rsidR="00B33061" w:rsidRPr="00B33061" w:rsidRDefault="00B33061" w:rsidP="00915DD8">
      <w:pPr>
        <w:pStyle w:val="ListParagraph"/>
        <w:numPr>
          <w:ilvl w:val="0"/>
          <w:numId w:val="17"/>
        </w:numPr>
      </w:pPr>
      <w:r w:rsidRPr="00B33061">
        <w:t xml:space="preserve">See: </w:t>
      </w:r>
      <w:hyperlink r:id="rId14" w:history="1">
        <w:r w:rsidRPr="00B33061">
          <w:rPr>
            <w:rStyle w:val="Hyperlink"/>
            <w:u w:val="none"/>
          </w:rPr>
          <w:t>https://github.com/IHE/IT-Infrastructure/projects/2</w:t>
        </w:r>
      </w:hyperlink>
      <w:r w:rsidRPr="00B33061">
        <w:t xml:space="preserve"> </w:t>
      </w:r>
    </w:p>
    <w:p w14:paraId="1075F36D" w14:textId="2129701F" w:rsidR="00D7790E" w:rsidRDefault="0075284C" w:rsidP="00915DD8">
      <w:pPr>
        <w:pStyle w:val="ListParagraph"/>
        <w:numPr>
          <w:ilvl w:val="0"/>
          <w:numId w:val="17"/>
        </w:numPr>
      </w:pPr>
      <w:r>
        <w:t>ONC</w:t>
      </w:r>
      <w:r w:rsidR="00FB5485">
        <w:t xml:space="preserve"> </w:t>
      </w:r>
    </w:p>
    <w:p w14:paraId="39B3D92B" w14:textId="77777777" w:rsidR="0075284C" w:rsidRPr="0075284C" w:rsidRDefault="0075284C" w:rsidP="0075284C">
      <w:pPr>
        <w:pStyle w:val="SectionHeading"/>
        <w:numPr>
          <w:ilvl w:val="1"/>
          <w:numId w:val="6"/>
        </w:numPr>
        <w:rPr>
          <w:b w:val="0"/>
          <w:u w:val="none"/>
        </w:rPr>
      </w:pPr>
      <w:r>
        <w:rPr>
          <w:b w:val="0"/>
          <w:u w:val="none"/>
        </w:rPr>
        <w:lastRenderedPageBreak/>
        <w:t>J. M</w:t>
      </w:r>
      <w:r w:rsidRPr="0075284C">
        <w:rPr>
          <w:b w:val="0"/>
          <w:u w:val="none"/>
        </w:rPr>
        <w:t>oehrke and IHE-USA</w:t>
      </w:r>
      <w:r>
        <w:rPr>
          <w:b w:val="0"/>
          <w:u w:val="none"/>
        </w:rPr>
        <w:t xml:space="preserve"> </w:t>
      </w:r>
      <w:r w:rsidRPr="0075284C">
        <w:rPr>
          <w:b w:val="0"/>
          <w:u w:val="none"/>
        </w:rPr>
        <w:t>are working with ONC to continue to use the Document Sharing as an existing and functional network. This parallel with the other efforts to use FHIR.</w:t>
      </w:r>
    </w:p>
    <w:p w14:paraId="439F0796" w14:textId="7D1776FE" w:rsidR="0075284C" w:rsidRPr="0075284C" w:rsidRDefault="0075284C" w:rsidP="0075284C">
      <w:pPr>
        <w:pStyle w:val="SectionHeading"/>
        <w:numPr>
          <w:ilvl w:val="1"/>
          <w:numId w:val="6"/>
        </w:numPr>
        <w:rPr>
          <w:b w:val="0"/>
          <w:u w:val="none"/>
        </w:rPr>
      </w:pPr>
      <w:r w:rsidRPr="0075284C">
        <w:rPr>
          <w:b w:val="0"/>
          <w:u w:val="none"/>
        </w:rPr>
        <w:t xml:space="preserve">ONC will be promoting </w:t>
      </w:r>
      <w:r w:rsidR="00FB5485">
        <w:rPr>
          <w:b w:val="0"/>
          <w:u w:val="none"/>
        </w:rPr>
        <w:t xml:space="preserve">the </w:t>
      </w:r>
      <w:r w:rsidRPr="0075284C">
        <w:rPr>
          <w:b w:val="0"/>
          <w:u w:val="none"/>
        </w:rPr>
        <w:t>HIE-Whitepaper.</w:t>
      </w:r>
    </w:p>
    <w:p w14:paraId="0388FF39" w14:textId="7EC08234" w:rsidR="0075284C" w:rsidRPr="00FB5485" w:rsidRDefault="0075284C" w:rsidP="00FB5485">
      <w:pPr>
        <w:pStyle w:val="SectionHeading"/>
        <w:numPr>
          <w:ilvl w:val="1"/>
          <w:numId w:val="6"/>
        </w:numPr>
        <w:rPr>
          <w:b w:val="0"/>
          <w:u w:val="none"/>
        </w:rPr>
      </w:pPr>
      <w:r>
        <w:rPr>
          <w:b w:val="0"/>
          <w:u w:val="none"/>
        </w:rPr>
        <w:t xml:space="preserve">ONC </w:t>
      </w:r>
      <w:r w:rsidRPr="0075284C">
        <w:rPr>
          <w:b w:val="0"/>
          <w:u w:val="none"/>
        </w:rPr>
        <w:t xml:space="preserve">also </w:t>
      </w:r>
      <w:r>
        <w:rPr>
          <w:b w:val="0"/>
          <w:u w:val="none"/>
        </w:rPr>
        <w:t>has interest in</w:t>
      </w:r>
      <w:r w:rsidRPr="0075284C">
        <w:rPr>
          <w:b w:val="0"/>
          <w:u w:val="none"/>
        </w:rPr>
        <w:t xml:space="preserve"> the MHDS family, the conversion to IG publisher, the conversion to HTML publication of the TF.</w:t>
      </w:r>
    </w:p>
    <w:sectPr w:rsidR="0075284C" w:rsidRPr="00FB5485" w:rsidSect="001F4D49">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6C6"/>
    <w:multiLevelType w:val="hybridMultilevel"/>
    <w:tmpl w:val="972028BE"/>
    <w:lvl w:ilvl="0" w:tplc="B9DE009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A2A34"/>
    <w:multiLevelType w:val="hybridMultilevel"/>
    <w:tmpl w:val="8168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73EAD"/>
    <w:multiLevelType w:val="hybridMultilevel"/>
    <w:tmpl w:val="430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15AA"/>
    <w:multiLevelType w:val="hybridMultilevel"/>
    <w:tmpl w:val="B93015B0"/>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879CB"/>
    <w:multiLevelType w:val="hybridMultilevel"/>
    <w:tmpl w:val="7810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9457C"/>
    <w:multiLevelType w:val="hybridMultilevel"/>
    <w:tmpl w:val="D31673FA"/>
    <w:lvl w:ilvl="0" w:tplc="B9DE009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31EB3"/>
    <w:multiLevelType w:val="hybridMultilevel"/>
    <w:tmpl w:val="D9320F34"/>
    <w:lvl w:ilvl="0" w:tplc="B9DE009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D0D60"/>
    <w:multiLevelType w:val="hybridMultilevel"/>
    <w:tmpl w:val="B516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47E4B"/>
    <w:multiLevelType w:val="hybridMultilevel"/>
    <w:tmpl w:val="B120BFE0"/>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47938"/>
    <w:multiLevelType w:val="hybridMultilevel"/>
    <w:tmpl w:val="5A3AD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B6961"/>
    <w:multiLevelType w:val="hybridMultilevel"/>
    <w:tmpl w:val="E49E24B6"/>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00ED7"/>
    <w:multiLevelType w:val="hybridMultilevel"/>
    <w:tmpl w:val="233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6348C"/>
    <w:multiLevelType w:val="hybridMultilevel"/>
    <w:tmpl w:val="579EBC0A"/>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265D1"/>
    <w:multiLevelType w:val="hybridMultilevel"/>
    <w:tmpl w:val="A036B226"/>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10A3F"/>
    <w:multiLevelType w:val="hybridMultilevel"/>
    <w:tmpl w:val="B88AF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F4AF1"/>
    <w:multiLevelType w:val="hybridMultilevel"/>
    <w:tmpl w:val="75D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3513F"/>
    <w:multiLevelType w:val="hybridMultilevel"/>
    <w:tmpl w:val="6EE85654"/>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304AC"/>
    <w:multiLevelType w:val="hybridMultilevel"/>
    <w:tmpl w:val="FA841C10"/>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9476A"/>
    <w:multiLevelType w:val="hybridMultilevel"/>
    <w:tmpl w:val="043A6FF6"/>
    <w:lvl w:ilvl="0" w:tplc="B9DE00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48EB"/>
    <w:multiLevelType w:val="hybridMultilevel"/>
    <w:tmpl w:val="3F841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BE55C4F"/>
    <w:multiLevelType w:val="hybridMultilevel"/>
    <w:tmpl w:val="FE4A15EA"/>
    <w:lvl w:ilvl="0" w:tplc="B9DE009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26C2E"/>
    <w:multiLevelType w:val="hybridMultilevel"/>
    <w:tmpl w:val="E2A8D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5103E"/>
    <w:multiLevelType w:val="hybridMultilevel"/>
    <w:tmpl w:val="A286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22"/>
  </w:num>
  <w:num w:numId="5">
    <w:abstractNumId w:val="21"/>
  </w:num>
  <w:num w:numId="6">
    <w:abstractNumId w:val="9"/>
  </w:num>
  <w:num w:numId="7">
    <w:abstractNumId w:val="11"/>
  </w:num>
  <w:num w:numId="8">
    <w:abstractNumId w:val="2"/>
  </w:num>
  <w:num w:numId="9">
    <w:abstractNumId w:val="8"/>
  </w:num>
  <w:num w:numId="10">
    <w:abstractNumId w:val="18"/>
  </w:num>
  <w:num w:numId="11">
    <w:abstractNumId w:val="19"/>
  </w:num>
  <w:num w:numId="12">
    <w:abstractNumId w:val="17"/>
  </w:num>
  <w:num w:numId="13">
    <w:abstractNumId w:val="1"/>
  </w:num>
  <w:num w:numId="14">
    <w:abstractNumId w:val="4"/>
  </w:num>
  <w:num w:numId="15">
    <w:abstractNumId w:val="16"/>
  </w:num>
  <w:num w:numId="16">
    <w:abstractNumId w:val="13"/>
  </w:num>
  <w:num w:numId="17">
    <w:abstractNumId w:val="6"/>
  </w:num>
  <w:num w:numId="18">
    <w:abstractNumId w:val="0"/>
  </w:num>
  <w:num w:numId="19">
    <w:abstractNumId w:val="10"/>
  </w:num>
  <w:num w:numId="20">
    <w:abstractNumId w:val="5"/>
  </w:num>
  <w:num w:numId="21">
    <w:abstractNumId w:val="3"/>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B9"/>
    <w:rsid w:val="000027A1"/>
    <w:rsid w:val="000218F7"/>
    <w:rsid w:val="000259D5"/>
    <w:rsid w:val="00056252"/>
    <w:rsid w:val="00056C8D"/>
    <w:rsid w:val="00067EE9"/>
    <w:rsid w:val="00081842"/>
    <w:rsid w:val="00090409"/>
    <w:rsid w:val="000B1357"/>
    <w:rsid w:val="001011D3"/>
    <w:rsid w:val="001218C6"/>
    <w:rsid w:val="00163370"/>
    <w:rsid w:val="001677CF"/>
    <w:rsid w:val="001C55C9"/>
    <w:rsid w:val="001E2851"/>
    <w:rsid w:val="001F4D49"/>
    <w:rsid w:val="002014AA"/>
    <w:rsid w:val="002035F9"/>
    <w:rsid w:val="00225EB1"/>
    <w:rsid w:val="002318DC"/>
    <w:rsid w:val="00234D68"/>
    <w:rsid w:val="002472AE"/>
    <w:rsid w:val="002624CC"/>
    <w:rsid w:val="002823A6"/>
    <w:rsid w:val="00290AD7"/>
    <w:rsid w:val="002935A4"/>
    <w:rsid w:val="002A1EFE"/>
    <w:rsid w:val="002C1B43"/>
    <w:rsid w:val="002D682B"/>
    <w:rsid w:val="00315228"/>
    <w:rsid w:val="003204EF"/>
    <w:rsid w:val="00341509"/>
    <w:rsid w:val="003A2A04"/>
    <w:rsid w:val="003A65AD"/>
    <w:rsid w:val="003D45A1"/>
    <w:rsid w:val="00402465"/>
    <w:rsid w:val="00403870"/>
    <w:rsid w:val="00424B42"/>
    <w:rsid w:val="00436FB2"/>
    <w:rsid w:val="00457566"/>
    <w:rsid w:val="00464BF1"/>
    <w:rsid w:val="004C422C"/>
    <w:rsid w:val="004E5D72"/>
    <w:rsid w:val="0050525F"/>
    <w:rsid w:val="005729CA"/>
    <w:rsid w:val="00584069"/>
    <w:rsid w:val="00584B4A"/>
    <w:rsid w:val="005E548B"/>
    <w:rsid w:val="0062654F"/>
    <w:rsid w:val="00644501"/>
    <w:rsid w:val="00650DD0"/>
    <w:rsid w:val="006651A8"/>
    <w:rsid w:val="006655C1"/>
    <w:rsid w:val="006B538E"/>
    <w:rsid w:val="006D5AE2"/>
    <w:rsid w:val="006F5E42"/>
    <w:rsid w:val="007129FF"/>
    <w:rsid w:val="00737A91"/>
    <w:rsid w:val="00747E5A"/>
    <w:rsid w:val="0075284C"/>
    <w:rsid w:val="007821BD"/>
    <w:rsid w:val="007861FC"/>
    <w:rsid w:val="007A1205"/>
    <w:rsid w:val="007A7F8C"/>
    <w:rsid w:val="007C77EA"/>
    <w:rsid w:val="007D4A4A"/>
    <w:rsid w:val="00811116"/>
    <w:rsid w:val="00811AE9"/>
    <w:rsid w:val="00825B89"/>
    <w:rsid w:val="008434F1"/>
    <w:rsid w:val="00893356"/>
    <w:rsid w:val="008A12EC"/>
    <w:rsid w:val="008B0978"/>
    <w:rsid w:val="008D627B"/>
    <w:rsid w:val="00915DD8"/>
    <w:rsid w:val="009431D0"/>
    <w:rsid w:val="00970C87"/>
    <w:rsid w:val="009826E1"/>
    <w:rsid w:val="00995C5A"/>
    <w:rsid w:val="009B1153"/>
    <w:rsid w:val="009C0D6A"/>
    <w:rsid w:val="009C650C"/>
    <w:rsid w:val="009E1933"/>
    <w:rsid w:val="009E410E"/>
    <w:rsid w:val="009F2A6E"/>
    <w:rsid w:val="00A039E3"/>
    <w:rsid w:val="00A111CD"/>
    <w:rsid w:val="00A22D70"/>
    <w:rsid w:val="00A25C6C"/>
    <w:rsid w:val="00A26A96"/>
    <w:rsid w:val="00A46D00"/>
    <w:rsid w:val="00A47290"/>
    <w:rsid w:val="00A47887"/>
    <w:rsid w:val="00A667C9"/>
    <w:rsid w:val="00A753D7"/>
    <w:rsid w:val="00A95C95"/>
    <w:rsid w:val="00AA5D33"/>
    <w:rsid w:val="00AD5E7D"/>
    <w:rsid w:val="00AD6AC9"/>
    <w:rsid w:val="00B01B38"/>
    <w:rsid w:val="00B21CA0"/>
    <w:rsid w:val="00B33061"/>
    <w:rsid w:val="00B3389D"/>
    <w:rsid w:val="00B37C3D"/>
    <w:rsid w:val="00B44FB4"/>
    <w:rsid w:val="00B6030B"/>
    <w:rsid w:val="00B853EE"/>
    <w:rsid w:val="00B9406A"/>
    <w:rsid w:val="00B958CD"/>
    <w:rsid w:val="00BD34B9"/>
    <w:rsid w:val="00BE238D"/>
    <w:rsid w:val="00BE531C"/>
    <w:rsid w:val="00C13203"/>
    <w:rsid w:val="00C16D5D"/>
    <w:rsid w:val="00C25976"/>
    <w:rsid w:val="00C53029"/>
    <w:rsid w:val="00C72FD9"/>
    <w:rsid w:val="00C736B4"/>
    <w:rsid w:val="00C8021A"/>
    <w:rsid w:val="00C92D9D"/>
    <w:rsid w:val="00CA69FE"/>
    <w:rsid w:val="00CB5B35"/>
    <w:rsid w:val="00CB667B"/>
    <w:rsid w:val="00CE60E8"/>
    <w:rsid w:val="00D04F74"/>
    <w:rsid w:val="00D33150"/>
    <w:rsid w:val="00D633A1"/>
    <w:rsid w:val="00D7790E"/>
    <w:rsid w:val="00D93F63"/>
    <w:rsid w:val="00D94676"/>
    <w:rsid w:val="00DA20AA"/>
    <w:rsid w:val="00DD3183"/>
    <w:rsid w:val="00E04404"/>
    <w:rsid w:val="00E17915"/>
    <w:rsid w:val="00E27A1A"/>
    <w:rsid w:val="00E870CE"/>
    <w:rsid w:val="00EB0531"/>
    <w:rsid w:val="00EB4F9F"/>
    <w:rsid w:val="00F161E7"/>
    <w:rsid w:val="00FB15F8"/>
    <w:rsid w:val="00FB5485"/>
    <w:rsid w:val="00FF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C7E0"/>
  <w15:chartTrackingRefBased/>
  <w15:docId w15:val="{D0F4E391-4906-46F3-B550-4DE184D3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38"/>
    <w:pPr>
      <w:spacing w:after="200" w:line="276" w:lineRule="auto"/>
    </w:pPr>
    <w:rPr>
      <w:sz w:val="22"/>
      <w:szCs w:val="22"/>
    </w:rPr>
  </w:style>
  <w:style w:type="paragraph" w:styleId="Heading1">
    <w:name w:val="heading 1"/>
    <w:basedOn w:val="Normal"/>
    <w:next w:val="Normal"/>
    <w:link w:val="Heading1Char"/>
    <w:uiPriority w:val="9"/>
    <w:qFormat/>
    <w:rsid w:val="00BD34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34B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BD34B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BD34B9"/>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BD34B9"/>
    <w:pPr>
      <w:ind w:left="720"/>
      <w:contextualSpacing/>
    </w:pPr>
  </w:style>
  <w:style w:type="paragraph" w:customStyle="1" w:styleId="SectionHeading">
    <w:name w:val="Section Heading"/>
    <w:basedOn w:val="Normal"/>
    <w:link w:val="SectionHeadingChar"/>
    <w:qFormat/>
    <w:rsid w:val="001677CF"/>
    <w:pPr>
      <w:spacing w:after="80"/>
    </w:pPr>
    <w:rPr>
      <w:b/>
      <w:u w:val="single"/>
    </w:rPr>
  </w:style>
  <w:style w:type="character" w:styleId="Hyperlink">
    <w:name w:val="Hyperlink"/>
    <w:uiPriority w:val="99"/>
    <w:unhideWhenUsed/>
    <w:rsid w:val="00FB15F8"/>
    <w:rPr>
      <w:color w:val="0000FF"/>
      <w:u w:val="single"/>
    </w:rPr>
  </w:style>
  <w:style w:type="character" w:customStyle="1" w:styleId="SectionHeadingChar">
    <w:name w:val="Section Heading Char"/>
    <w:link w:val="SectionHeading"/>
    <w:rsid w:val="001677CF"/>
    <w:rPr>
      <w:b/>
      <w:sz w:val="22"/>
      <w:szCs w:val="22"/>
      <w:u w:val="single"/>
    </w:rPr>
  </w:style>
  <w:style w:type="table" w:styleId="TableGrid">
    <w:name w:val="Table Grid"/>
    <w:basedOn w:val="TableNormal"/>
    <w:uiPriority w:val="59"/>
    <w:rsid w:val="00AD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72FD9"/>
    <w:rPr>
      <w:sz w:val="16"/>
      <w:szCs w:val="16"/>
    </w:rPr>
  </w:style>
  <w:style w:type="paragraph" w:styleId="CommentText">
    <w:name w:val="annotation text"/>
    <w:basedOn w:val="Normal"/>
    <w:semiHidden/>
    <w:rsid w:val="00C72FD9"/>
    <w:rPr>
      <w:sz w:val="20"/>
      <w:szCs w:val="20"/>
    </w:rPr>
  </w:style>
  <w:style w:type="paragraph" w:styleId="CommentSubject">
    <w:name w:val="annotation subject"/>
    <w:basedOn w:val="CommentText"/>
    <w:next w:val="CommentText"/>
    <w:semiHidden/>
    <w:rsid w:val="00C72FD9"/>
    <w:rPr>
      <w:b/>
      <w:bCs/>
    </w:rPr>
  </w:style>
  <w:style w:type="paragraph" w:styleId="BalloonText">
    <w:name w:val="Balloon Text"/>
    <w:basedOn w:val="Normal"/>
    <w:semiHidden/>
    <w:rsid w:val="00C72FD9"/>
    <w:rPr>
      <w:rFonts w:ascii="Tahoma" w:hAnsi="Tahoma" w:cs="Tahoma"/>
      <w:sz w:val="16"/>
      <w:szCs w:val="16"/>
    </w:rPr>
  </w:style>
  <w:style w:type="paragraph" w:styleId="NormalWeb">
    <w:name w:val="Normal (Web)"/>
    <w:basedOn w:val="Normal"/>
    <w:uiPriority w:val="99"/>
    <w:unhideWhenUsed/>
    <w:rsid w:val="00A667C9"/>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uiPriority w:val="99"/>
    <w:semiHidden/>
    <w:unhideWhenUsed/>
    <w:rsid w:val="003A65AD"/>
    <w:rPr>
      <w:color w:val="605E5C"/>
      <w:shd w:val="clear" w:color="auto" w:fill="E1DFDD"/>
    </w:rPr>
  </w:style>
  <w:style w:type="paragraph" w:styleId="Revision">
    <w:name w:val="Revision"/>
    <w:hidden/>
    <w:uiPriority w:val="99"/>
    <w:semiHidden/>
    <w:rsid w:val="00C736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43855">
      <w:bodyDiv w:val="1"/>
      <w:marLeft w:val="90"/>
      <w:marRight w:val="90"/>
      <w:marTop w:val="90"/>
      <w:marBottom w:val="90"/>
      <w:divBdr>
        <w:top w:val="none" w:sz="0" w:space="0" w:color="auto"/>
        <w:left w:val="none" w:sz="0" w:space="0" w:color="auto"/>
        <w:bottom w:val="none" w:sz="0" w:space="0" w:color="auto"/>
        <w:right w:val="none" w:sz="0" w:space="0" w:color="auto"/>
      </w:divBdr>
    </w:div>
    <w:div w:id="310594800">
      <w:bodyDiv w:val="1"/>
      <w:marLeft w:val="0"/>
      <w:marRight w:val="0"/>
      <w:marTop w:val="0"/>
      <w:marBottom w:val="0"/>
      <w:divBdr>
        <w:top w:val="none" w:sz="0" w:space="0" w:color="auto"/>
        <w:left w:val="none" w:sz="0" w:space="0" w:color="auto"/>
        <w:bottom w:val="none" w:sz="0" w:space="0" w:color="auto"/>
        <w:right w:val="none" w:sz="0" w:space="0" w:color="auto"/>
      </w:divBdr>
    </w:div>
    <w:div w:id="607127666">
      <w:bodyDiv w:val="1"/>
      <w:marLeft w:val="0"/>
      <w:marRight w:val="0"/>
      <w:marTop w:val="0"/>
      <w:marBottom w:val="0"/>
      <w:divBdr>
        <w:top w:val="none" w:sz="0" w:space="0" w:color="auto"/>
        <w:left w:val="none" w:sz="0" w:space="0" w:color="auto"/>
        <w:bottom w:val="none" w:sz="0" w:space="0" w:color="auto"/>
        <w:right w:val="none" w:sz="0" w:space="0" w:color="auto"/>
      </w:divBdr>
    </w:div>
    <w:div w:id="614798122">
      <w:bodyDiv w:val="1"/>
      <w:marLeft w:val="0"/>
      <w:marRight w:val="0"/>
      <w:marTop w:val="0"/>
      <w:marBottom w:val="0"/>
      <w:divBdr>
        <w:top w:val="none" w:sz="0" w:space="0" w:color="auto"/>
        <w:left w:val="none" w:sz="0" w:space="0" w:color="auto"/>
        <w:bottom w:val="none" w:sz="0" w:space="0" w:color="auto"/>
        <w:right w:val="none" w:sz="0" w:space="0" w:color="auto"/>
      </w:divBdr>
    </w:div>
    <w:div w:id="955332426">
      <w:bodyDiv w:val="1"/>
      <w:marLeft w:val="0"/>
      <w:marRight w:val="0"/>
      <w:marTop w:val="0"/>
      <w:marBottom w:val="0"/>
      <w:divBdr>
        <w:top w:val="none" w:sz="0" w:space="0" w:color="auto"/>
        <w:left w:val="none" w:sz="0" w:space="0" w:color="auto"/>
        <w:bottom w:val="none" w:sz="0" w:space="0" w:color="auto"/>
        <w:right w:val="none" w:sz="0" w:space="0" w:color="auto"/>
      </w:divBdr>
    </w:div>
    <w:div w:id="1157959901">
      <w:bodyDiv w:val="1"/>
      <w:marLeft w:val="0"/>
      <w:marRight w:val="0"/>
      <w:marTop w:val="0"/>
      <w:marBottom w:val="0"/>
      <w:divBdr>
        <w:top w:val="none" w:sz="0" w:space="0" w:color="auto"/>
        <w:left w:val="none" w:sz="0" w:space="0" w:color="auto"/>
        <w:bottom w:val="none" w:sz="0" w:space="0" w:color="auto"/>
        <w:right w:val="none" w:sz="0" w:space="0" w:color="auto"/>
      </w:divBdr>
    </w:div>
    <w:div w:id="1369648304">
      <w:bodyDiv w:val="1"/>
      <w:marLeft w:val="90"/>
      <w:marRight w:val="90"/>
      <w:marTop w:val="90"/>
      <w:marBottom w:val="90"/>
      <w:divBdr>
        <w:top w:val="none" w:sz="0" w:space="0" w:color="auto"/>
        <w:left w:val="none" w:sz="0" w:space="0" w:color="auto"/>
        <w:bottom w:val="none" w:sz="0" w:space="0" w:color="auto"/>
        <w:right w:val="none" w:sz="0" w:space="0" w:color="auto"/>
      </w:divBdr>
    </w:div>
    <w:div w:id="1581139462">
      <w:bodyDiv w:val="1"/>
      <w:marLeft w:val="90"/>
      <w:marRight w:val="90"/>
      <w:marTop w:val="90"/>
      <w:marBottom w:val="90"/>
      <w:divBdr>
        <w:top w:val="none" w:sz="0" w:space="0" w:color="auto"/>
        <w:left w:val="none" w:sz="0" w:space="0" w:color="auto"/>
        <w:bottom w:val="none" w:sz="0" w:space="0" w:color="auto"/>
        <w:right w:val="none" w:sz="0" w:space="0" w:color="auto"/>
      </w:divBdr>
    </w:div>
    <w:div w:id="1793591368">
      <w:bodyDiv w:val="1"/>
      <w:marLeft w:val="0"/>
      <w:marRight w:val="0"/>
      <w:marTop w:val="0"/>
      <w:marBottom w:val="0"/>
      <w:divBdr>
        <w:top w:val="none" w:sz="0" w:space="0" w:color="auto"/>
        <w:left w:val="none" w:sz="0" w:space="0" w:color="auto"/>
        <w:bottom w:val="none" w:sz="0" w:space="0" w:color="auto"/>
        <w:right w:val="none" w:sz="0" w:space="0" w:color="auto"/>
      </w:divBdr>
      <w:divsChild>
        <w:div w:id="762189214">
          <w:marLeft w:val="0"/>
          <w:marRight w:val="0"/>
          <w:marTop w:val="0"/>
          <w:marBottom w:val="0"/>
          <w:divBdr>
            <w:top w:val="none" w:sz="0" w:space="0" w:color="auto"/>
            <w:left w:val="none" w:sz="0" w:space="0" w:color="auto"/>
            <w:bottom w:val="none" w:sz="0" w:space="0" w:color="auto"/>
            <w:right w:val="none" w:sz="0" w:space="0" w:color="auto"/>
          </w:divBdr>
        </w:div>
      </w:divsChild>
    </w:div>
    <w:div w:id="1811558912">
      <w:bodyDiv w:val="1"/>
      <w:marLeft w:val="0"/>
      <w:marRight w:val="0"/>
      <w:marTop w:val="0"/>
      <w:marBottom w:val="0"/>
      <w:divBdr>
        <w:top w:val="none" w:sz="0" w:space="0" w:color="auto"/>
        <w:left w:val="none" w:sz="0" w:space="0" w:color="auto"/>
        <w:bottom w:val="none" w:sz="0" w:space="0" w:color="auto"/>
        <w:right w:val="none" w:sz="0" w:space="0" w:color="auto"/>
      </w:divBdr>
      <w:divsChild>
        <w:div w:id="1092354561">
          <w:marLeft w:val="0"/>
          <w:marRight w:val="0"/>
          <w:marTop w:val="0"/>
          <w:marBottom w:val="0"/>
          <w:divBdr>
            <w:top w:val="none" w:sz="0" w:space="0" w:color="auto"/>
            <w:left w:val="none" w:sz="0" w:space="0" w:color="auto"/>
            <w:bottom w:val="none" w:sz="0" w:space="0" w:color="auto"/>
            <w:right w:val="none" w:sz="0" w:space="0" w:color="auto"/>
          </w:divBdr>
          <w:divsChild>
            <w:div w:id="1440875485">
              <w:marLeft w:val="-2928"/>
              <w:marRight w:val="0"/>
              <w:marTop w:val="0"/>
              <w:marBottom w:val="144"/>
              <w:divBdr>
                <w:top w:val="none" w:sz="0" w:space="0" w:color="auto"/>
                <w:left w:val="none" w:sz="0" w:space="0" w:color="auto"/>
                <w:bottom w:val="none" w:sz="0" w:space="0" w:color="auto"/>
                <w:right w:val="none" w:sz="0" w:space="0" w:color="auto"/>
              </w:divBdr>
              <w:divsChild>
                <w:div w:id="1481387854">
                  <w:marLeft w:val="2928"/>
                  <w:marRight w:val="0"/>
                  <w:marTop w:val="720"/>
                  <w:marBottom w:val="0"/>
                  <w:divBdr>
                    <w:top w:val="single" w:sz="6" w:space="0" w:color="AAAAAA"/>
                    <w:left w:val="single" w:sz="6" w:space="0" w:color="AAAAAA"/>
                    <w:bottom w:val="single" w:sz="6" w:space="0" w:color="AAAAAA"/>
                    <w:right w:val="none" w:sz="0" w:space="0" w:color="auto"/>
                  </w:divBdr>
                  <w:divsChild>
                    <w:div w:id="9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77383">
      <w:bodyDiv w:val="1"/>
      <w:marLeft w:val="0"/>
      <w:marRight w:val="0"/>
      <w:marTop w:val="0"/>
      <w:marBottom w:val="0"/>
      <w:divBdr>
        <w:top w:val="none" w:sz="0" w:space="0" w:color="auto"/>
        <w:left w:val="none" w:sz="0" w:space="0" w:color="auto"/>
        <w:bottom w:val="none" w:sz="0" w:space="0" w:color="auto"/>
        <w:right w:val="none" w:sz="0" w:space="0" w:color="auto"/>
      </w:divBdr>
    </w:div>
    <w:div w:id="1940720881">
      <w:bodyDiv w:val="1"/>
      <w:marLeft w:val="0"/>
      <w:marRight w:val="0"/>
      <w:marTop w:val="0"/>
      <w:marBottom w:val="0"/>
      <w:divBdr>
        <w:top w:val="none" w:sz="0" w:space="0" w:color="auto"/>
        <w:left w:val="none" w:sz="0" w:space="0" w:color="auto"/>
        <w:bottom w:val="none" w:sz="0" w:space="0" w:color="auto"/>
        <w:right w:val="none" w:sz="0" w:space="0" w:color="auto"/>
      </w:divBdr>
      <w:divsChild>
        <w:div w:id="963388381">
          <w:marLeft w:val="0"/>
          <w:marRight w:val="0"/>
          <w:marTop w:val="0"/>
          <w:marBottom w:val="0"/>
          <w:divBdr>
            <w:top w:val="none" w:sz="0" w:space="0" w:color="auto"/>
            <w:left w:val="none" w:sz="0" w:space="0" w:color="auto"/>
            <w:bottom w:val="none" w:sz="0" w:space="0" w:color="auto"/>
            <w:right w:val="none" w:sz="0" w:space="0" w:color="auto"/>
          </w:divBdr>
        </w:div>
      </w:divsChild>
    </w:div>
    <w:div w:id="1984848328">
      <w:bodyDiv w:val="1"/>
      <w:marLeft w:val="0"/>
      <w:marRight w:val="0"/>
      <w:marTop w:val="0"/>
      <w:marBottom w:val="0"/>
      <w:divBdr>
        <w:top w:val="none" w:sz="0" w:space="0" w:color="auto"/>
        <w:left w:val="none" w:sz="0" w:space="0" w:color="auto"/>
        <w:bottom w:val="none" w:sz="0" w:space="0" w:color="auto"/>
        <w:right w:val="none" w:sz="0" w:space="0" w:color="auto"/>
      </w:divBdr>
    </w:div>
    <w:div w:id="207874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maging_Taskf_Survey"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iki.ihe.net/index.php?title=IT_Infrastructure" TargetMode="External"/><Relationship Id="rId12" Type="http://schemas.openxmlformats.org/officeDocument/2006/relationships/hyperlink" Target="https://profiles.ih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YcihcqpJERNeTDSzFK7yXtNfs2MTVQTlifW-hmhTAQI/edit?usp=sharing" TargetMode="External"/><Relationship Id="rId11" Type="http://schemas.openxmlformats.org/officeDocument/2006/relationships/hyperlink" Target="https://github.com/IHE/IT-Infrastructure/projects/2" TargetMode="External"/><Relationship Id="rId5" Type="http://schemas.openxmlformats.org/officeDocument/2006/relationships/hyperlink" Target="mailto:Sarah.Bell@himss.org" TargetMode="External"/><Relationship Id="rId15" Type="http://schemas.openxmlformats.org/officeDocument/2006/relationships/fontTable" Target="fontTable.xml"/><Relationship Id="rId10" Type="http://schemas.openxmlformats.org/officeDocument/2006/relationships/hyperlink" Target="https://www.youtube.com/playlist?list=PLqKdd_74t4IL86rg1DhfsPq1LVS3jF4QK" TargetMode="External"/><Relationship Id="rId4" Type="http://schemas.openxmlformats.org/officeDocument/2006/relationships/webSettings" Target="webSettings.xml"/><Relationship Id="rId9" Type="http://schemas.openxmlformats.org/officeDocument/2006/relationships/hyperlink" Target="https://ec.europa.eu/health/sites/default/files/cross_border_care/docs/ev_20161024_co09_en.pdf" TargetMode="External"/><Relationship Id="rId14" Type="http://schemas.openxmlformats.org/officeDocument/2006/relationships/hyperlink" Target="https://github.com/IHE/IT-Infrastructure/projects/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Successful vendors from Connectathon-results.ihe.net  (NA, EU, JP*)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ATNA</c:v>
                </c:pt>
              </c:strCache>
            </c:strRef>
          </c:tx>
          <c:spPr>
            <a:ln w="28575" cap="rnd">
              <a:solidFill>
                <a:schemeClr val="accent1"/>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Sheet1!$B$2:$G$2</c:f>
              <c:numCache>
                <c:formatCode>General</c:formatCode>
                <c:ptCount val="6"/>
                <c:pt idx="0">
                  <c:v>86</c:v>
                </c:pt>
                <c:pt idx="1">
                  <c:v>80</c:v>
                </c:pt>
                <c:pt idx="2">
                  <c:v>79</c:v>
                </c:pt>
                <c:pt idx="3">
                  <c:v>74</c:v>
                </c:pt>
                <c:pt idx="4">
                  <c:v>41</c:v>
                </c:pt>
                <c:pt idx="5">
                  <c:v>29</c:v>
                </c:pt>
              </c:numCache>
            </c:numRef>
          </c:val>
          <c:smooth val="0"/>
          <c:extLst>
            <c:ext xmlns:c16="http://schemas.microsoft.com/office/drawing/2014/chart" uri="{C3380CC4-5D6E-409C-BE32-E72D297353CC}">
              <c16:uniqueId val="{00000000-483F-4EB0-A24B-3B7495CB0DED}"/>
            </c:ext>
          </c:extLst>
        </c:ser>
        <c:ser>
          <c:idx val="1"/>
          <c:order val="1"/>
          <c:tx>
            <c:strRef>
              <c:f>Sheet1!$A$3</c:f>
              <c:strCache>
                <c:ptCount val="1"/>
                <c:pt idx="0">
                  <c:v>XDS.b</c:v>
                </c:pt>
              </c:strCache>
            </c:strRef>
          </c:tx>
          <c:spPr>
            <a:ln w="28575" cap="rnd">
              <a:solidFill>
                <a:schemeClr val="accent2"/>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Sheet1!$B$3:$G$3</c:f>
              <c:numCache>
                <c:formatCode>General</c:formatCode>
                <c:ptCount val="6"/>
                <c:pt idx="0">
                  <c:v>75</c:v>
                </c:pt>
                <c:pt idx="1">
                  <c:v>77</c:v>
                </c:pt>
                <c:pt idx="2">
                  <c:v>60</c:v>
                </c:pt>
                <c:pt idx="3">
                  <c:v>51</c:v>
                </c:pt>
                <c:pt idx="4">
                  <c:v>28</c:v>
                </c:pt>
                <c:pt idx="5">
                  <c:v>23</c:v>
                </c:pt>
              </c:numCache>
            </c:numRef>
          </c:val>
          <c:smooth val="0"/>
          <c:extLst>
            <c:ext xmlns:c16="http://schemas.microsoft.com/office/drawing/2014/chart" uri="{C3380CC4-5D6E-409C-BE32-E72D297353CC}">
              <c16:uniqueId val="{00000001-483F-4EB0-A24B-3B7495CB0DED}"/>
            </c:ext>
          </c:extLst>
        </c:ser>
        <c:ser>
          <c:idx val="2"/>
          <c:order val="2"/>
          <c:tx>
            <c:strRef>
              <c:f>Sheet1!$A$4</c:f>
              <c:strCache>
                <c:ptCount val="1"/>
                <c:pt idx="0">
                  <c:v>PDQ</c:v>
                </c:pt>
              </c:strCache>
            </c:strRef>
          </c:tx>
          <c:spPr>
            <a:ln w="28575" cap="rnd">
              <a:solidFill>
                <a:schemeClr val="accent3"/>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Sheet1!$B$4:$G$4</c:f>
              <c:numCache>
                <c:formatCode>General</c:formatCode>
                <c:ptCount val="6"/>
                <c:pt idx="0">
                  <c:v>50</c:v>
                </c:pt>
                <c:pt idx="1">
                  <c:v>39</c:v>
                </c:pt>
                <c:pt idx="2">
                  <c:v>38</c:v>
                </c:pt>
                <c:pt idx="3">
                  <c:v>29</c:v>
                </c:pt>
                <c:pt idx="4">
                  <c:v>18</c:v>
                </c:pt>
                <c:pt idx="5">
                  <c:v>12</c:v>
                </c:pt>
              </c:numCache>
            </c:numRef>
          </c:val>
          <c:smooth val="0"/>
          <c:extLst>
            <c:ext xmlns:c16="http://schemas.microsoft.com/office/drawing/2014/chart" uri="{C3380CC4-5D6E-409C-BE32-E72D297353CC}">
              <c16:uniqueId val="{00000002-483F-4EB0-A24B-3B7495CB0DED}"/>
            </c:ext>
          </c:extLst>
        </c:ser>
        <c:ser>
          <c:idx val="3"/>
          <c:order val="3"/>
          <c:tx>
            <c:strRef>
              <c:f>Sheet1!$A$5</c:f>
              <c:strCache>
                <c:ptCount val="1"/>
                <c:pt idx="0">
                  <c:v>PIX</c:v>
                </c:pt>
              </c:strCache>
            </c:strRef>
          </c:tx>
          <c:spPr>
            <a:ln w="28575" cap="rnd">
              <a:solidFill>
                <a:schemeClr val="accent4"/>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Sheet1!$B$5:$G$5</c:f>
              <c:numCache>
                <c:formatCode>General</c:formatCode>
                <c:ptCount val="6"/>
                <c:pt idx="0">
                  <c:v>44</c:v>
                </c:pt>
                <c:pt idx="1">
                  <c:v>34</c:v>
                </c:pt>
                <c:pt idx="2">
                  <c:v>28</c:v>
                </c:pt>
                <c:pt idx="3">
                  <c:v>26</c:v>
                </c:pt>
                <c:pt idx="4">
                  <c:v>17</c:v>
                </c:pt>
                <c:pt idx="5">
                  <c:v>11</c:v>
                </c:pt>
              </c:numCache>
            </c:numRef>
          </c:val>
          <c:smooth val="0"/>
          <c:extLst>
            <c:ext xmlns:c16="http://schemas.microsoft.com/office/drawing/2014/chart" uri="{C3380CC4-5D6E-409C-BE32-E72D297353CC}">
              <c16:uniqueId val="{00000003-483F-4EB0-A24B-3B7495CB0DED}"/>
            </c:ext>
          </c:extLst>
        </c:ser>
        <c:ser>
          <c:idx val="4"/>
          <c:order val="4"/>
          <c:tx>
            <c:strRef>
              <c:f>Sheet1!$A$6</c:f>
              <c:strCache>
                <c:ptCount val="1"/>
                <c:pt idx="0">
                  <c:v>PIX V3</c:v>
                </c:pt>
              </c:strCache>
            </c:strRef>
          </c:tx>
          <c:spPr>
            <a:ln w="28575" cap="rnd">
              <a:solidFill>
                <a:schemeClr val="accent5"/>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Sheet1!$B$6:$G$6</c:f>
              <c:numCache>
                <c:formatCode>General</c:formatCode>
                <c:ptCount val="6"/>
                <c:pt idx="0">
                  <c:v>31</c:v>
                </c:pt>
                <c:pt idx="1">
                  <c:v>35</c:v>
                </c:pt>
                <c:pt idx="2">
                  <c:v>35</c:v>
                </c:pt>
                <c:pt idx="3">
                  <c:v>25</c:v>
                </c:pt>
                <c:pt idx="4">
                  <c:v>16</c:v>
                </c:pt>
                <c:pt idx="5">
                  <c:v>13</c:v>
                </c:pt>
              </c:numCache>
            </c:numRef>
          </c:val>
          <c:smooth val="0"/>
          <c:extLst>
            <c:ext xmlns:c16="http://schemas.microsoft.com/office/drawing/2014/chart" uri="{C3380CC4-5D6E-409C-BE32-E72D297353CC}">
              <c16:uniqueId val="{00000004-483F-4EB0-A24B-3B7495CB0DED}"/>
            </c:ext>
          </c:extLst>
        </c:ser>
        <c:ser>
          <c:idx val="5"/>
          <c:order val="5"/>
          <c:tx>
            <c:strRef>
              <c:f>Sheet1!$A$7</c:f>
              <c:strCache>
                <c:ptCount val="1"/>
                <c:pt idx="0">
                  <c:v>PDQ V3</c:v>
                </c:pt>
              </c:strCache>
            </c:strRef>
          </c:tx>
          <c:spPr>
            <a:ln w="28575" cap="rnd">
              <a:solidFill>
                <a:schemeClr val="accent6"/>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Sheet1!$B$7:$G$7</c:f>
              <c:numCache>
                <c:formatCode>General</c:formatCode>
                <c:ptCount val="6"/>
                <c:pt idx="0">
                  <c:v>32</c:v>
                </c:pt>
                <c:pt idx="1">
                  <c:v>36</c:v>
                </c:pt>
                <c:pt idx="2">
                  <c:v>34</c:v>
                </c:pt>
                <c:pt idx="3">
                  <c:v>22</c:v>
                </c:pt>
                <c:pt idx="4">
                  <c:v>17</c:v>
                </c:pt>
                <c:pt idx="5">
                  <c:v>12</c:v>
                </c:pt>
              </c:numCache>
            </c:numRef>
          </c:val>
          <c:smooth val="0"/>
          <c:extLst>
            <c:ext xmlns:c16="http://schemas.microsoft.com/office/drawing/2014/chart" uri="{C3380CC4-5D6E-409C-BE32-E72D297353CC}">
              <c16:uniqueId val="{00000005-483F-4EB0-A24B-3B7495CB0DED}"/>
            </c:ext>
          </c:extLst>
        </c:ser>
        <c:ser>
          <c:idx val="6"/>
          <c:order val="6"/>
          <c:tx>
            <c:strRef>
              <c:f>Sheet1!$A$8</c:f>
              <c:strCache>
                <c:ptCount val="1"/>
                <c:pt idx="0">
                  <c:v>XCA</c:v>
                </c:pt>
              </c:strCache>
            </c:strRef>
          </c:tx>
          <c:spPr>
            <a:ln w="28575" cap="rnd">
              <a:solidFill>
                <a:schemeClr val="accent1">
                  <a:lumMod val="60000"/>
                </a:schemeClr>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Sheet1!$B$8:$G$8</c:f>
              <c:numCache>
                <c:formatCode>General</c:formatCode>
                <c:ptCount val="6"/>
                <c:pt idx="0">
                  <c:v>30</c:v>
                </c:pt>
                <c:pt idx="1">
                  <c:v>33</c:v>
                </c:pt>
                <c:pt idx="2">
                  <c:v>34</c:v>
                </c:pt>
                <c:pt idx="3">
                  <c:v>22</c:v>
                </c:pt>
                <c:pt idx="4">
                  <c:v>14</c:v>
                </c:pt>
                <c:pt idx="5">
                  <c:v>9</c:v>
                </c:pt>
              </c:numCache>
            </c:numRef>
          </c:val>
          <c:smooth val="0"/>
          <c:extLst>
            <c:ext xmlns:c16="http://schemas.microsoft.com/office/drawing/2014/chart" uri="{C3380CC4-5D6E-409C-BE32-E72D297353CC}">
              <c16:uniqueId val="{00000006-483F-4EB0-A24B-3B7495CB0DED}"/>
            </c:ext>
          </c:extLst>
        </c:ser>
        <c:ser>
          <c:idx val="7"/>
          <c:order val="7"/>
          <c:tx>
            <c:strRef>
              <c:f>Sheet1!$A$9</c:f>
              <c:strCache>
                <c:ptCount val="1"/>
                <c:pt idx="0">
                  <c:v>PDQm</c:v>
                </c:pt>
              </c:strCache>
            </c:strRef>
          </c:tx>
          <c:spPr>
            <a:ln w="28575" cap="rnd">
              <a:solidFill>
                <a:schemeClr val="accent2">
                  <a:lumMod val="60000"/>
                </a:schemeClr>
              </a:solidFill>
              <a:round/>
            </a:ln>
            <a:effectLst/>
          </c:spPr>
          <c:marker>
            <c:symbol val="none"/>
          </c:marker>
          <c:cat>
            <c:numRef>
              <c:f>Sheet1!$B$1:$G$1</c:f>
              <c:numCache>
                <c:formatCode>General</c:formatCode>
                <c:ptCount val="6"/>
                <c:pt idx="0">
                  <c:v>2016</c:v>
                </c:pt>
                <c:pt idx="1">
                  <c:v>2017</c:v>
                </c:pt>
                <c:pt idx="2">
                  <c:v>2018</c:v>
                </c:pt>
                <c:pt idx="3">
                  <c:v>2019</c:v>
                </c:pt>
                <c:pt idx="4">
                  <c:v>2020</c:v>
                </c:pt>
                <c:pt idx="5">
                  <c:v>2021</c:v>
                </c:pt>
              </c:numCache>
            </c:numRef>
          </c:cat>
          <c:val>
            <c:numRef>
              <c:f>Sheet1!$B$9:$G$9</c:f>
              <c:numCache>
                <c:formatCode>General</c:formatCode>
                <c:ptCount val="6"/>
                <c:pt idx="0">
                  <c:v>20</c:v>
                </c:pt>
                <c:pt idx="1">
                  <c:v>27</c:v>
                </c:pt>
                <c:pt idx="2">
                  <c:v>22</c:v>
                </c:pt>
                <c:pt idx="3">
                  <c:v>30</c:v>
                </c:pt>
                <c:pt idx="4">
                  <c:v>14</c:v>
                </c:pt>
                <c:pt idx="5">
                  <c:v>13</c:v>
                </c:pt>
              </c:numCache>
            </c:numRef>
          </c:val>
          <c:smooth val="0"/>
          <c:extLst>
            <c:ext xmlns:c16="http://schemas.microsoft.com/office/drawing/2014/chart" uri="{C3380CC4-5D6E-409C-BE32-E72D297353CC}">
              <c16:uniqueId val="{00000007-483F-4EB0-A24B-3B7495CB0DED}"/>
            </c:ext>
          </c:extLst>
        </c:ser>
        <c:dLbls>
          <c:showLegendKey val="0"/>
          <c:showVal val="0"/>
          <c:showCatName val="0"/>
          <c:showSerName val="0"/>
          <c:showPercent val="0"/>
          <c:showBubbleSize val="0"/>
        </c:dLbls>
        <c:smooth val="0"/>
        <c:axId val="888126624"/>
        <c:axId val="888124656"/>
      </c:lineChart>
      <c:catAx>
        <c:axId val="88812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124656"/>
        <c:crosses val="autoZero"/>
        <c:auto val="1"/>
        <c:lblAlgn val="ctr"/>
        <c:lblOffset val="100"/>
        <c:noMultiLvlLbl val="0"/>
      </c:catAx>
      <c:valAx>
        <c:axId val="88812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12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Board Report: IHE &lt;DomainName&gt; Domain</vt:lpstr>
    </vt:vector>
  </TitlesOfParts>
  <Company>RSNA</Company>
  <LinksUpToDate>false</LinksUpToDate>
  <CharactersWithSpaces>7971</CharactersWithSpaces>
  <SharedDoc>false</SharedDoc>
  <HLinks>
    <vt:vector size="48" baseType="variant">
      <vt:variant>
        <vt:i4>8060981</vt:i4>
      </vt:variant>
      <vt:variant>
        <vt:i4>15</vt:i4>
      </vt:variant>
      <vt:variant>
        <vt:i4>0</vt:i4>
      </vt:variant>
      <vt:variant>
        <vt:i4>5</vt:i4>
      </vt:variant>
      <vt:variant>
        <vt:lpwstr>https://github.com/IHE/IT-Infrastructure/projects/2</vt:lpwstr>
      </vt:variant>
      <vt:variant>
        <vt:lpwstr/>
      </vt:variant>
      <vt:variant>
        <vt:i4>8060981</vt:i4>
      </vt:variant>
      <vt:variant>
        <vt:i4>12</vt:i4>
      </vt:variant>
      <vt:variant>
        <vt:i4>0</vt:i4>
      </vt:variant>
      <vt:variant>
        <vt:i4>5</vt:i4>
      </vt:variant>
      <vt:variant>
        <vt:lpwstr>https://github.com/IHE/IT-Infrastructure/projects/2</vt:lpwstr>
      </vt:variant>
      <vt:variant>
        <vt:lpwstr/>
      </vt:variant>
      <vt:variant>
        <vt:i4>458856</vt:i4>
      </vt:variant>
      <vt:variant>
        <vt:i4>9</vt:i4>
      </vt:variant>
      <vt:variant>
        <vt:i4>0</vt:i4>
      </vt:variant>
      <vt:variant>
        <vt:i4>5</vt:i4>
      </vt:variant>
      <vt:variant>
        <vt:lpwstr>https://www.youtube.com/playlist?list=PLqKdd_74t4IL86rg1DhfsPq1LVS3jF4QK</vt:lpwstr>
      </vt:variant>
      <vt:variant>
        <vt:lpwstr/>
      </vt:variant>
      <vt:variant>
        <vt:i4>4325426</vt:i4>
      </vt:variant>
      <vt:variant>
        <vt:i4>6</vt:i4>
      </vt:variant>
      <vt:variant>
        <vt:i4>0</vt:i4>
      </vt:variant>
      <vt:variant>
        <vt:i4>5</vt:i4>
      </vt:variant>
      <vt:variant>
        <vt:lpwstr>http://wiki.ihe.net/index.php?title=IT_Infrastructure</vt:lpwstr>
      </vt:variant>
      <vt:variant>
        <vt:lpwstr/>
      </vt:variant>
      <vt:variant>
        <vt:i4>1704003</vt:i4>
      </vt:variant>
      <vt:variant>
        <vt:i4>3</vt:i4>
      </vt:variant>
      <vt:variant>
        <vt:i4>0</vt:i4>
      </vt:variant>
      <vt:variant>
        <vt:i4>5</vt:i4>
      </vt:variant>
      <vt:variant>
        <vt:lpwstr>https://docs.google.com/spreadsheets/d/1YcihcqpJERNeTDSzFK7yXtNfs2MTVQTlifW-hmhTAQI/edit?usp=sharing</vt:lpwstr>
      </vt:variant>
      <vt:variant>
        <vt:lpwstr/>
      </vt:variant>
      <vt:variant>
        <vt:i4>196724</vt:i4>
      </vt:variant>
      <vt:variant>
        <vt:i4>0</vt:i4>
      </vt:variant>
      <vt:variant>
        <vt:i4>0</vt:i4>
      </vt:variant>
      <vt:variant>
        <vt:i4>5</vt:i4>
      </vt:variant>
      <vt:variant>
        <vt:lpwstr>mailto:Sarah.Bell@himss.org</vt:lpwstr>
      </vt:variant>
      <vt:variant>
        <vt:lpwstr/>
      </vt:variant>
      <vt:variant>
        <vt:i4>3866751</vt:i4>
      </vt:variant>
      <vt:variant>
        <vt:i4>3</vt:i4>
      </vt:variant>
      <vt:variant>
        <vt:i4>0</vt:i4>
      </vt:variant>
      <vt:variant>
        <vt:i4>5</vt:i4>
      </vt:variant>
      <vt:variant>
        <vt:lpwstr>https://bit.ly/maging_Taskf_Survey</vt:lpwstr>
      </vt:variant>
      <vt:variant>
        <vt:lpwstr/>
      </vt:variant>
      <vt:variant>
        <vt:i4>1179772</vt:i4>
      </vt:variant>
      <vt:variant>
        <vt:i4>0</vt:i4>
      </vt:variant>
      <vt:variant>
        <vt:i4>0</vt:i4>
      </vt:variant>
      <vt:variant>
        <vt:i4>5</vt:i4>
      </vt:variant>
      <vt:variant>
        <vt:lpwstr>https://ec.europa.eu/health/sites/default/files/cross_border_care/docs/ev_20161024_co09_en.pdf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Report: IHE &lt;DomainName&gt; Domain</dc:title>
  <dc:subject/>
  <dc:creator>Karen Witting</dc:creator>
  <cp:keywords/>
  <cp:lastModifiedBy>Nichols, Steven (GE Healthcare)</cp:lastModifiedBy>
  <cp:revision>34</cp:revision>
  <cp:lastPrinted>2021-09-28T15:08:00Z</cp:lastPrinted>
  <dcterms:created xsi:type="dcterms:W3CDTF">2021-09-25T21:07:00Z</dcterms:created>
  <dcterms:modified xsi:type="dcterms:W3CDTF">2021-10-14T13:55:00Z</dcterms:modified>
</cp:coreProperties>
</file>