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379D" w:rsidRDefault="00F3379D">
      <w:pPr>
        <w:pStyle w:val="Title"/>
      </w:pPr>
    </w:p>
    <w:p w14:paraId="00000002" w14:textId="77777777" w:rsidR="00F3379D" w:rsidRDefault="00FB39E8">
      <w:pPr>
        <w:pStyle w:val="Title"/>
        <w:rPr>
          <w:rFonts w:ascii="Calibri" w:eastAsia="Calibri" w:hAnsi="Calibri" w:cs="Calibri"/>
        </w:rPr>
      </w:pPr>
      <w:r>
        <w:rPr>
          <w:rFonts w:ascii="Calibri" w:eastAsia="Calibri" w:hAnsi="Calibri" w:cs="Calibri"/>
        </w:rPr>
        <w:t>IHE Work Item Proposal (Short)</w:t>
      </w:r>
    </w:p>
    <w:p w14:paraId="00000003" w14:textId="77777777" w:rsidR="00F3379D" w:rsidRDefault="00F3379D">
      <w:pPr>
        <w:pStyle w:val="Title"/>
        <w:rPr>
          <w:rFonts w:ascii="Calibri" w:eastAsia="Calibri" w:hAnsi="Calibri" w:cs="Calibri"/>
          <w:sz w:val="10"/>
          <w:szCs w:val="10"/>
        </w:rPr>
      </w:pPr>
    </w:p>
    <w:p w14:paraId="00000004" w14:textId="77777777" w:rsidR="00F3379D" w:rsidRDefault="00FB39E8">
      <w:pPr>
        <w:pStyle w:val="Heading1"/>
        <w:numPr>
          <w:ilvl w:val="0"/>
          <w:numId w:val="1"/>
        </w:numPr>
        <w:rPr>
          <w:rFonts w:ascii="Calibri" w:eastAsia="Calibri" w:hAnsi="Calibri" w:cs="Calibri"/>
          <w:sz w:val="24"/>
          <w:szCs w:val="24"/>
        </w:rPr>
      </w:pPr>
      <w:r>
        <w:rPr>
          <w:rFonts w:ascii="Calibri" w:eastAsia="Calibri" w:hAnsi="Calibri" w:cs="Calibri"/>
        </w:rPr>
        <w:t xml:space="preserve">Proposed Work Item: </w:t>
      </w:r>
      <w:r>
        <w:rPr>
          <w:rFonts w:ascii="Calibri" w:eastAsia="Calibri" w:hAnsi="Calibri" w:cs="Calibri"/>
          <w:sz w:val="24"/>
          <w:szCs w:val="24"/>
        </w:rPr>
        <w:t>&lt;initial working name for profile&gt;</w:t>
      </w:r>
    </w:p>
    <w:p w14:paraId="00000005" w14:textId="65D80601" w:rsidR="00F3379D" w:rsidRDefault="00FB39E8">
      <w:pPr>
        <w:ind w:left="360"/>
        <w:rPr>
          <w:rFonts w:ascii="Calibri" w:eastAsia="Calibri" w:hAnsi="Calibri" w:cs="Calibri"/>
        </w:rPr>
      </w:pPr>
      <w:r>
        <w:rPr>
          <w:rFonts w:ascii="Calibri" w:eastAsia="Calibri" w:hAnsi="Calibri" w:cs="Calibri"/>
        </w:rPr>
        <w:t xml:space="preserve">Proposal Editor: </w:t>
      </w:r>
      <w:proofErr w:type="spellStart"/>
      <w:r>
        <w:rPr>
          <w:rFonts w:ascii="Calibri" w:eastAsia="Calibri" w:hAnsi="Calibri" w:cs="Calibri"/>
        </w:rPr>
        <w:t>Soyean</w:t>
      </w:r>
      <w:proofErr w:type="spellEnd"/>
      <w:r>
        <w:rPr>
          <w:rFonts w:ascii="Calibri" w:eastAsia="Calibri" w:hAnsi="Calibri" w:cs="Calibri"/>
        </w:rPr>
        <w:t xml:space="preserve"> Kim, CIDGOH, </w:t>
      </w:r>
      <w:proofErr w:type="spellStart"/>
      <w:r>
        <w:rPr>
          <w:rFonts w:ascii="Calibri" w:eastAsia="Calibri" w:hAnsi="Calibri" w:cs="Calibri"/>
        </w:rPr>
        <w:t>K</w:t>
      </w:r>
      <w:r w:rsidR="00680BCA">
        <w:rPr>
          <w:rFonts w:ascii="Calibri" w:hAnsi="Calibri" w:cs="Calibri" w:hint="eastAsia"/>
        </w:rPr>
        <w:t>yoohyung</w:t>
      </w:r>
      <w:proofErr w:type="spellEnd"/>
      <w:r>
        <w:rPr>
          <w:rFonts w:ascii="Calibri" w:eastAsia="Calibri" w:hAnsi="Calibri" w:cs="Calibri"/>
        </w:rPr>
        <w:t xml:space="preserve"> Han, </w:t>
      </w:r>
      <w:proofErr w:type="spellStart"/>
      <w:r>
        <w:rPr>
          <w:rFonts w:ascii="Calibri" w:eastAsia="Calibri" w:hAnsi="Calibri" w:cs="Calibri"/>
        </w:rPr>
        <w:t>Hyojin</w:t>
      </w:r>
      <w:proofErr w:type="spellEnd"/>
      <w:r>
        <w:rPr>
          <w:rFonts w:ascii="Calibri" w:eastAsia="Calibri" w:hAnsi="Calibri" w:cs="Calibri"/>
        </w:rPr>
        <w:t xml:space="preserve"> Yoon, Samsung SDS</w:t>
      </w:r>
      <w:r w:rsidR="00BA14BC">
        <w:rPr>
          <w:rFonts w:ascii="Calibri" w:eastAsia="Calibri" w:hAnsi="Calibri" w:cs="Calibri"/>
        </w:rPr>
        <w:t xml:space="preserve">, John </w:t>
      </w:r>
      <w:proofErr w:type="spellStart"/>
      <w:r w:rsidR="00BA14BC">
        <w:rPr>
          <w:rFonts w:ascii="Calibri" w:eastAsia="Calibri" w:hAnsi="Calibri" w:cs="Calibri"/>
        </w:rPr>
        <w:t>Moehrke</w:t>
      </w:r>
      <w:proofErr w:type="spellEnd"/>
      <w:r w:rsidR="00BA14BC">
        <w:rPr>
          <w:rFonts w:ascii="Calibri" w:eastAsia="Calibri" w:hAnsi="Calibri" w:cs="Calibri"/>
        </w:rPr>
        <w:t>, By Light Professional IT services, co-chair Security WG HL7</w:t>
      </w:r>
    </w:p>
    <w:p w14:paraId="00000006" w14:textId="711BA3AB" w:rsidR="00F3379D" w:rsidRDefault="00FB39E8">
      <w:pPr>
        <w:ind w:left="360"/>
        <w:rPr>
          <w:rFonts w:ascii="Calibri" w:eastAsia="Calibri" w:hAnsi="Calibri" w:cs="Calibri"/>
        </w:rPr>
      </w:pPr>
      <w:r>
        <w:rPr>
          <w:rFonts w:ascii="Calibri" w:eastAsia="Calibri" w:hAnsi="Calibri" w:cs="Calibri"/>
        </w:rPr>
        <w:t xml:space="preserve">Work item Editor: </w:t>
      </w:r>
      <w:proofErr w:type="spellStart"/>
      <w:r>
        <w:rPr>
          <w:rFonts w:ascii="Calibri" w:eastAsia="Calibri" w:hAnsi="Calibri" w:cs="Calibri"/>
        </w:rPr>
        <w:t>Soyean</w:t>
      </w:r>
      <w:proofErr w:type="spellEnd"/>
      <w:r>
        <w:rPr>
          <w:rFonts w:ascii="Calibri" w:eastAsia="Calibri" w:hAnsi="Calibri" w:cs="Calibri"/>
        </w:rPr>
        <w:t xml:space="preserve"> </w:t>
      </w:r>
      <w:proofErr w:type="gramStart"/>
      <w:r>
        <w:rPr>
          <w:rFonts w:ascii="Calibri" w:eastAsia="Calibri" w:hAnsi="Calibri" w:cs="Calibri"/>
        </w:rPr>
        <w:t>Kim,  CIDGOH</w:t>
      </w:r>
      <w:proofErr w:type="gramEnd"/>
      <w:r>
        <w:rPr>
          <w:rFonts w:ascii="Calibri" w:eastAsia="Calibri" w:hAnsi="Calibri" w:cs="Calibri"/>
        </w:rPr>
        <w:t>, Kay Han</w:t>
      </w:r>
    </w:p>
    <w:p w14:paraId="00000007" w14:textId="4C62D048" w:rsidR="00F3379D" w:rsidRPr="00680BCA" w:rsidRDefault="00FB39E8">
      <w:pPr>
        <w:ind w:left="360"/>
        <w:rPr>
          <w:rFonts w:ascii="Calibri" w:eastAsia="Calibri" w:hAnsi="Calibri" w:cs="Calibri"/>
          <w:vertAlign w:val="subscript"/>
        </w:rPr>
      </w:pPr>
      <w:r>
        <w:rPr>
          <w:rFonts w:ascii="Calibri" w:eastAsia="Calibri" w:hAnsi="Calibri" w:cs="Calibri"/>
        </w:rPr>
        <w:t>Date: August 30,2024</w:t>
      </w:r>
    </w:p>
    <w:p w14:paraId="00000008" w14:textId="77777777" w:rsidR="00F3379D" w:rsidRDefault="00FB39E8">
      <w:pPr>
        <w:ind w:left="360"/>
        <w:rPr>
          <w:rFonts w:ascii="Calibri" w:eastAsia="Calibri" w:hAnsi="Calibri" w:cs="Calibri"/>
        </w:rPr>
      </w:pPr>
      <w:r>
        <w:rPr>
          <w:rFonts w:ascii="Calibri" w:eastAsia="Calibri" w:hAnsi="Calibri" w:cs="Calibri"/>
        </w:rPr>
        <w:t>Version: &lt;current version number of proposal&gt;</w:t>
      </w:r>
    </w:p>
    <w:p w14:paraId="00000009" w14:textId="095433BE" w:rsidR="00F3379D" w:rsidRDefault="00FB39E8">
      <w:pPr>
        <w:ind w:left="360"/>
        <w:rPr>
          <w:rFonts w:ascii="Calibri" w:eastAsia="Calibri" w:hAnsi="Calibri" w:cs="Calibri"/>
        </w:rPr>
      </w:pPr>
      <w:r>
        <w:rPr>
          <w:rFonts w:ascii="Calibri" w:eastAsia="Calibri" w:hAnsi="Calibri" w:cs="Calibri"/>
        </w:rPr>
        <w:t>Domain: De-identification, Privacy Enhancing Technologies</w:t>
      </w:r>
    </w:p>
    <w:p w14:paraId="0000000A" w14:textId="77777777" w:rsidR="00F3379D" w:rsidRDefault="00FB39E8">
      <w:pPr>
        <w:pStyle w:val="Heading1"/>
        <w:numPr>
          <w:ilvl w:val="0"/>
          <w:numId w:val="1"/>
        </w:numPr>
        <w:rPr>
          <w:rFonts w:ascii="Calibri" w:eastAsia="Calibri" w:hAnsi="Calibri" w:cs="Calibri"/>
        </w:rPr>
      </w:pPr>
      <w:r>
        <w:rPr>
          <w:rFonts w:ascii="Calibri" w:eastAsia="Calibri" w:hAnsi="Calibri" w:cs="Calibri"/>
        </w:rPr>
        <w:t>The Problem</w:t>
      </w:r>
    </w:p>
    <w:p w14:paraId="0000000B" w14:textId="77777777" w:rsidR="00F3379D" w:rsidRDefault="00FB39E8">
      <w:pPr>
        <w:ind w:left="360"/>
        <w:rPr>
          <w:rFonts w:ascii="Calibri" w:eastAsia="Calibri" w:hAnsi="Calibri" w:cs="Calibri"/>
        </w:rPr>
      </w:pPr>
      <w:r>
        <w:rPr>
          <w:rFonts w:ascii="Calibri" w:eastAsia="Calibri" w:hAnsi="Calibri" w:cs="Calibri"/>
        </w:rPr>
        <w:t>&lt;Summarize the integration problem. What doesn’t work, or what needs to work?&gt;</w:t>
      </w:r>
    </w:p>
    <w:p w14:paraId="0000000D" w14:textId="7F6E2CEB" w:rsidR="00F3379D" w:rsidRDefault="00680BCA" w:rsidP="00680BCA">
      <w:pPr>
        <w:ind w:left="360"/>
        <w:rPr>
          <w:rFonts w:ascii="Calibri" w:hAnsi="Calibri" w:cs="Calibri"/>
        </w:rPr>
      </w:pPr>
      <w:r w:rsidRPr="00680BCA">
        <w:rPr>
          <w:rFonts w:ascii="Calibri" w:hAnsi="Calibri" w:cs="Calibri"/>
        </w:rPr>
        <w:t>Post pandemic landscape with a significant acceleration towards digital health introduced emerging threats and evolving technology landscape for privacy best practices. With new health care data modalities</w:t>
      </w:r>
      <w:r w:rsidR="00EA0752">
        <w:rPr>
          <w:rFonts w:ascii="Calibri" w:hAnsi="Calibri" w:cs="Calibri"/>
        </w:rPr>
        <w:t xml:space="preserve"> (</w:t>
      </w:r>
      <w:proofErr w:type="gramStart"/>
      <w:r w:rsidR="00EA0752">
        <w:rPr>
          <w:rFonts w:ascii="Calibri" w:hAnsi="Calibri" w:cs="Calibri"/>
        </w:rPr>
        <w:t>i.e.</w:t>
      </w:r>
      <w:proofErr w:type="gramEnd"/>
      <w:r w:rsidR="00EA0752">
        <w:rPr>
          <w:rFonts w:ascii="Calibri" w:hAnsi="Calibri" w:cs="Calibri"/>
        </w:rPr>
        <w:t xml:space="preserve"> genomic)</w:t>
      </w:r>
      <w:r w:rsidRPr="00680BCA">
        <w:rPr>
          <w:rFonts w:ascii="Calibri" w:hAnsi="Calibri" w:cs="Calibri"/>
        </w:rPr>
        <w:t xml:space="preserve"> </w:t>
      </w:r>
      <w:r w:rsidR="00EA0752">
        <w:rPr>
          <w:rFonts w:ascii="Calibri" w:hAnsi="Calibri" w:cs="Calibri"/>
        </w:rPr>
        <w:t xml:space="preserve">and new use cases involving new patterns of information flow </w:t>
      </w:r>
      <w:r w:rsidRPr="00680BCA">
        <w:rPr>
          <w:rFonts w:ascii="Calibri" w:hAnsi="Calibri" w:cs="Calibri"/>
        </w:rPr>
        <w:t>(</w:t>
      </w:r>
      <w:r w:rsidR="00EA0752">
        <w:rPr>
          <w:rFonts w:ascii="Calibri" w:hAnsi="Calibri" w:cs="Calibri"/>
        </w:rPr>
        <w:t>i.e. data linking involving multiple parties</w:t>
      </w:r>
      <w:r w:rsidRPr="00680BCA">
        <w:rPr>
          <w:rFonts w:ascii="Calibri" w:hAnsi="Calibri" w:cs="Calibri"/>
        </w:rPr>
        <w:t>), implementers are tasked with decision making for responsible data sharing</w:t>
      </w:r>
      <w:r w:rsidR="00EA0752">
        <w:rPr>
          <w:rFonts w:ascii="Calibri" w:hAnsi="Calibri" w:cs="Calibri"/>
        </w:rPr>
        <w:t xml:space="preserve"> and use(s) where common best practices for de-identification do not yet exist.</w:t>
      </w:r>
    </w:p>
    <w:p w14:paraId="2287FD14" w14:textId="6967832E" w:rsidR="00680BCA" w:rsidRDefault="00680BCA" w:rsidP="00680BCA">
      <w:pPr>
        <w:ind w:left="360"/>
        <w:rPr>
          <w:rFonts w:ascii="Calibri" w:hAnsi="Calibri" w:cs="Calibri"/>
        </w:rPr>
      </w:pPr>
      <w:r w:rsidRPr="00680BCA">
        <w:rPr>
          <w:rFonts w:ascii="Calibri" w:hAnsi="Calibri" w:cs="Calibri"/>
        </w:rPr>
        <w:t>Privacy-enhancing technologies (PETs) are based on key concepts of the information flow and can be broken down into various stages of the data life cycle. For example, Input privacy refers to the ability to process information that is hidden from you and to allow others to process your information without revealing it to them. Output privacy allows you to receive/read the output of an information flow without being able to infer further information about the input and, symmetrically, to contribute to the input of an information flow without worrying that the later output could be reverse engineered to learn about your input.</w:t>
      </w:r>
    </w:p>
    <w:p w14:paraId="54B14A87" w14:textId="30760EB7" w:rsidR="00680BCA" w:rsidRDefault="00680BCA" w:rsidP="00680BCA">
      <w:pPr>
        <w:ind w:left="360"/>
        <w:rPr>
          <w:rFonts w:ascii="Calibri" w:hAnsi="Calibri" w:cs="Calibri"/>
        </w:rPr>
      </w:pPr>
      <w:r w:rsidRPr="00680BCA">
        <w:rPr>
          <w:rFonts w:ascii="Calibri" w:hAnsi="Calibri" w:cs="Calibri"/>
        </w:rPr>
        <w:t>Initially published in 2014, the IHE de-identification handbook aims to provide guidance for removing individually identifiable information from healthcare data. This includes de-identification, pseudonymization, re-linking, design considerations, techniques, and risks. The intended audience is IHE Profile editors and 105 healthcare information technology implementers needing a guide for designing and implementing de-identification systems.</w:t>
      </w:r>
    </w:p>
    <w:p w14:paraId="7D7EEE96" w14:textId="77777777" w:rsidR="00086159" w:rsidRDefault="00EA0752" w:rsidP="00680BCA">
      <w:pPr>
        <w:ind w:left="360"/>
        <w:rPr>
          <w:rFonts w:ascii="Calibri" w:hAnsi="Calibri" w:cs="Calibri"/>
        </w:rPr>
      </w:pPr>
      <w:r>
        <w:rPr>
          <w:rFonts w:ascii="Calibri" w:hAnsi="Calibri" w:cs="Calibri"/>
        </w:rPr>
        <w:t xml:space="preserve">Targeted opportunities exist to introduce new use cases and supplement </w:t>
      </w:r>
      <w:r w:rsidR="00680BCA" w:rsidRPr="00680BCA">
        <w:rPr>
          <w:rFonts w:ascii="Calibri" w:hAnsi="Calibri" w:cs="Calibri"/>
        </w:rPr>
        <w:t>the IHE de-identification handbook</w:t>
      </w:r>
      <w:r>
        <w:rPr>
          <w:rFonts w:ascii="Calibri" w:hAnsi="Calibri" w:cs="Calibri"/>
        </w:rPr>
        <w:t xml:space="preserve"> as a minor version update.</w:t>
      </w:r>
      <w:r w:rsidR="00680BCA" w:rsidRPr="00680BCA">
        <w:rPr>
          <w:rFonts w:ascii="Calibri" w:hAnsi="Calibri" w:cs="Calibri"/>
        </w:rPr>
        <w:t xml:space="preserve"> </w:t>
      </w:r>
      <w:r>
        <w:rPr>
          <w:rFonts w:ascii="Calibri" w:hAnsi="Calibri" w:cs="Calibri"/>
        </w:rPr>
        <w:t>For example, i</w:t>
      </w:r>
      <w:r w:rsidR="00680BCA" w:rsidRPr="00680BCA">
        <w:rPr>
          <w:rFonts w:ascii="Calibri" w:hAnsi="Calibri" w:cs="Calibri"/>
        </w:rPr>
        <w:t>t is</w:t>
      </w:r>
      <w:r>
        <w:rPr>
          <w:rFonts w:ascii="Calibri" w:hAnsi="Calibri" w:cs="Calibri"/>
        </w:rPr>
        <w:t xml:space="preserve"> currently</w:t>
      </w:r>
      <w:r w:rsidR="00680BCA" w:rsidRPr="00680BCA">
        <w:rPr>
          <w:rFonts w:ascii="Calibri" w:hAnsi="Calibri" w:cs="Calibri"/>
        </w:rPr>
        <w:t xml:space="preserve"> difficult to </w:t>
      </w:r>
      <w:r>
        <w:rPr>
          <w:rFonts w:ascii="Calibri" w:hAnsi="Calibri" w:cs="Calibri"/>
        </w:rPr>
        <w:t xml:space="preserve">define </w:t>
      </w:r>
      <w:r>
        <w:rPr>
          <w:rFonts w:ascii="Calibri" w:hAnsi="Calibri" w:cs="Calibri"/>
        </w:rPr>
        <w:lastRenderedPageBreak/>
        <w:t>(</w:t>
      </w:r>
      <w:proofErr w:type="gramStart"/>
      <w:r>
        <w:rPr>
          <w:rFonts w:ascii="Calibri" w:hAnsi="Calibri" w:cs="Calibri"/>
        </w:rPr>
        <w:t>i.e.</w:t>
      </w:r>
      <w:proofErr w:type="gramEnd"/>
      <w:r>
        <w:rPr>
          <w:rFonts w:ascii="Calibri" w:hAnsi="Calibri" w:cs="Calibri"/>
        </w:rPr>
        <w:t xml:space="preserve"> threat model) and address privacy challenges</w:t>
      </w:r>
      <w:r w:rsidR="00086159">
        <w:rPr>
          <w:rFonts w:ascii="Calibri" w:hAnsi="Calibri" w:cs="Calibri"/>
        </w:rPr>
        <w:t xml:space="preserve"> for </w:t>
      </w:r>
      <w:r w:rsidR="00680BCA" w:rsidRPr="00680BCA">
        <w:rPr>
          <w:rFonts w:ascii="Calibri" w:hAnsi="Calibri" w:cs="Calibri"/>
        </w:rPr>
        <w:t>collaborative anal</w:t>
      </w:r>
      <w:r w:rsidR="00086159">
        <w:rPr>
          <w:rFonts w:ascii="Calibri" w:hAnsi="Calibri" w:cs="Calibri"/>
        </w:rPr>
        <w:t>ysis involving</w:t>
      </w:r>
      <w:r w:rsidR="00680BCA" w:rsidRPr="00680BCA">
        <w:rPr>
          <w:rFonts w:ascii="Calibri" w:hAnsi="Calibri" w:cs="Calibri"/>
        </w:rPr>
        <w:t xml:space="preserve"> patient data</w:t>
      </w:r>
      <w:r w:rsidR="00086159">
        <w:rPr>
          <w:rFonts w:ascii="Calibri" w:hAnsi="Calibri" w:cs="Calibri"/>
        </w:rPr>
        <w:t xml:space="preserve"> sets</w:t>
      </w:r>
      <w:r w:rsidR="00680BCA" w:rsidRPr="00680BCA">
        <w:rPr>
          <w:rFonts w:ascii="Calibri" w:hAnsi="Calibri" w:cs="Calibri"/>
        </w:rPr>
        <w:t xml:space="preserve"> securely</w:t>
      </w:r>
      <w:r>
        <w:rPr>
          <w:rFonts w:ascii="Calibri" w:hAnsi="Calibri" w:cs="Calibri"/>
        </w:rPr>
        <w:t xml:space="preserve"> (i.e. data linking) </w:t>
      </w:r>
      <w:r w:rsidR="00086159">
        <w:rPr>
          <w:rFonts w:ascii="Calibri" w:hAnsi="Calibri" w:cs="Calibri"/>
        </w:rPr>
        <w:t xml:space="preserve">. </w:t>
      </w:r>
    </w:p>
    <w:p w14:paraId="24F2BEE9" w14:textId="4BAE6C56" w:rsidR="00680BCA" w:rsidRDefault="00680BCA" w:rsidP="00680BCA">
      <w:pPr>
        <w:ind w:left="360"/>
        <w:rPr>
          <w:rFonts w:ascii="Calibri" w:hAnsi="Calibri" w:cs="Calibri"/>
        </w:rPr>
      </w:pPr>
      <w:r w:rsidRPr="00680BCA">
        <w:rPr>
          <w:rFonts w:ascii="Calibri" w:hAnsi="Calibri" w:cs="Calibri"/>
        </w:rPr>
        <w:t>The first step of collaborative analysis is data matching, which identifies rows from the same individual or device. We can apply a salted hash algorithm to Personally Identifiable Information (PII) for each dataset. However, the salt value must be kept confidential. Thus, two organizations cannot use the same salt for hashing without the assistance of a trusted third party, such as a government agency. In other words, it is impossible to perform a collaborative analysis while adhering to the guidelines.</w:t>
      </w:r>
    </w:p>
    <w:p w14:paraId="215AB619" w14:textId="77777777" w:rsidR="00086159" w:rsidRDefault="00086159" w:rsidP="006051A3">
      <w:pPr>
        <w:ind w:left="360"/>
        <w:rPr>
          <w:rFonts w:ascii="Calibri" w:hAnsi="Calibri" w:cs="Calibri"/>
        </w:rPr>
      </w:pPr>
      <w:r>
        <w:rPr>
          <w:rFonts w:ascii="Calibri" w:hAnsi="Calibri" w:cs="Calibri"/>
        </w:rPr>
        <w:t xml:space="preserve">The proposed </w:t>
      </w:r>
      <w:r w:rsidR="00680BCA" w:rsidRPr="00680BCA">
        <w:rPr>
          <w:rFonts w:ascii="Calibri" w:hAnsi="Calibri" w:cs="Calibri"/>
        </w:rPr>
        <w:t>update</w:t>
      </w:r>
      <w:r>
        <w:rPr>
          <w:rFonts w:ascii="Calibri" w:hAnsi="Calibri" w:cs="Calibri"/>
        </w:rPr>
        <w:t xml:space="preserve"> (minor version update)</w:t>
      </w:r>
      <w:r w:rsidR="00680BCA" w:rsidRPr="00680BCA">
        <w:rPr>
          <w:rFonts w:ascii="Calibri" w:hAnsi="Calibri" w:cs="Calibri"/>
        </w:rPr>
        <w:t xml:space="preserve"> to the de-identification handbook is to review algorithms and privacy enhancing technologies </w:t>
      </w:r>
      <w:r>
        <w:rPr>
          <w:rFonts w:ascii="Calibri" w:hAnsi="Calibri" w:cs="Calibri"/>
        </w:rPr>
        <w:t xml:space="preserve">and current </w:t>
      </w:r>
      <w:r w:rsidR="00680BCA" w:rsidRPr="00680BCA">
        <w:rPr>
          <w:rFonts w:ascii="Calibri" w:hAnsi="Calibri" w:cs="Calibri"/>
        </w:rPr>
        <w:t>practices</w:t>
      </w:r>
      <w:r>
        <w:rPr>
          <w:rFonts w:ascii="Calibri" w:hAnsi="Calibri" w:cs="Calibri"/>
        </w:rPr>
        <w:t>.  The proposal will introduce a use case of collaborative analysis using genomic data for secondary use (involving data linking) and the type of PET used for cryptographic de-identification.</w:t>
      </w:r>
      <w:r w:rsidR="00680BCA" w:rsidRPr="00680BCA">
        <w:rPr>
          <w:rFonts w:ascii="Calibri" w:hAnsi="Calibri" w:cs="Calibri"/>
        </w:rPr>
        <w:t xml:space="preserve"> </w:t>
      </w:r>
    </w:p>
    <w:p w14:paraId="00000016" w14:textId="67AB2980" w:rsidR="00F3379D" w:rsidRPr="006051A3" w:rsidRDefault="00680BCA" w:rsidP="006051A3">
      <w:pPr>
        <w:ind w:left="360"/>
        <w:rPr>
          <w:rFonts w:ascii="Calibri" w:hAnsi="Calibri" w:cs="Calibri"/>
        </w:rPr>
      </w:pPr>
      <w:r w:rsidRPr="00680BCA">
        <w:rPr>
          <w:rFonts w:ascii="Calibri" w:hAnsi="Calibri" w:cs="Calibri"/>
        </w:rPr>
        <w:t xml:space="preserve">The focus will be on private data matching between two datasets from two different organizations </w:t>
      </w:r>
      <w:r w:rsidR="00086159">
        <w:rPr>
          <w:rFonts w:ascii="Calibri" w:hAnsi="Calibri" w:cs="Calibri"/>
        </w:rPr>
        <w:t xml:space="preserve">(parties) </w:t>
      </w:r>
      <w:r w:rsidRPr="00680BCA">
        <w:rPr>
          <w:rFonts w:ascii="Calibri" w:hAnsi="Calibri" w:cs="Calibri"/>
        </w:rPr>
        <w:t>using cryptographic PETs. By applying those algorithms and technologies to the data category "Person identifying direct identifiers" in Table 3-1, either or both organizations can obtain data linking information without revealing any other personal information</w:t>
      </w:r>
      <w:r w:rsidR="00086159">
        <w:rPr>
          <w:rFonts w:ascii="Calibri" w:hAnsi="Calibri" w:cs="Calibri"/>
        </w:rPr>
        <w:t xml:space="preserve"> where PII introduces substantial challenges and perceived risk is high (sharing with a 3</w:t>
      </w:r>
      <w:r w:rsidR="00086159" w:rsidRPr="00086159">
        <w:rPr>
          <w:rFonts w:ascii="Calibri" w:hAnsi="Calibri" w:cs="Calibri"/>
          <w:vertAlign w:val="superscript"/>
        </w:rPr>
        <w:t>rd</w:t>
      </w:r>
      <w:r w:rsidR="00086159">
        <w:rPr>
          <w:rFonts w:ascii="Calibri" w:hAnsi="Calibri" w:cs="Calibri"/>
        </w:rPr>
        <w:t xml:space="preserve"> party in semi trusted or untrusted settings).</w:t>
      </w:r>
    </w:p>
    <w:p w14:paraId="00000017" w14:textId="77777777" w:rsidR="00F3379D" w:rsidRDefault="00FB39E8">
      <w:pPr>
        <w:ind w:left="360"/>
        <w:rPr>
          <w:rFonts w:ascii="Calibri" w:eastAsia="Calibri" w:hAnsi="Calibri" w:cs="Calibri"/>
        </w:rPr>
      </w:pPr>
      <w:r>
        <w:rPr>
          <w:rFonts w:ascii="Calibri" w:eastAsia="Calibri" w:hAnsi="Calibri" w:cs="Calibri"/>
        </w:rPr>
        <w:t xml:space="preserve">&lt;Describe the Value Statement: What is the underlying cost incurred by the problem and what is to be gained by solving it? If </w:t>
      </w:r>
      <w:proofErr w:type="gramStart"/>
      <w:r>
        <w:rPr>
          <w:rFonts w:ascii="Calibri" w:eastAsia="Calibri" w:hAnsi="Calibri" w:cs="Calibri"/>
        </w:rPr>
        <w:t>possible</w:t>
      </w:r>
      <w:proofErr w:type="gramEnd"/>
      <w:r>
        <w:rPr>
          <w:rFonts w:ascii="Calibri" w:eastAsia="Calibri" w:hAnsi="Calibri" w:cs="Calibri"/>
        </w:rPr>
        <w:t xml:space="preserve"> provide quantifiable costs, or data to demonstrate the scale of the problem.&gt;  </w:t>
      </w:r>
    </w:p>
    <w:p w14:paraId="0000001B" w14:textId="108A774F" w:rsidR="00F3379D" w:rsidRPr="00597AD0" w:rsidRDefault="00597AD0" w:rsidP="00597AD0">
      <w:pPr>
        <w:ind w:left="360"/>
        <w:rPr>
          <w:rFonts w:ascii="Calibri" w:hAnsi="Calibri" w:cs="Calibri"/>
        </w:rPr>
      </w:pPr>
      <w:r w:rsidRPr="00680BCA">
        <w:rPr>
          <w:rFonts w:ascii="Calibri" w:hAnsi="Calibri" w:cs="Calibri"/>
        </w:rPr>
        <w:t>With new health care data modalities</w:t>
      </w:r>
      <w:r>
        <w:rPr>
          <w:rFonts w:ascii="Calibri" w:hAnsi="Calibri" w:cs="Calibri"/>
        </w:rPr>
        <w:t xml:space="preserve"> (</w:t>
      </w:r>
      <w:proofErr w:type="gramStart"/>
      <w:r>
        <w:rPr>
          <w:rFonts w:ascii="Calibri" w:hAnsi="Calibri" w:cs="Calibri"/>
        </w:rPr>
        <w:t>i.e.</w:t>
      </w:r>
      <w:proofErr w:type="gramEnd"/>
      <w:r>
        <w:rPr>
          <w:rFonts w:ascii="Calibri" w:hAnsi="Calibri" w:cs="Calibri"/>
        </w:rPr>
        <w:t xml:space="preserve"> genomic)</w:t>
      </w:r>
      <w:r w:rsidRPr="00680BCA">
        <w:rPr>
          <w:rFonts w:ascii="Calibri" w:hAnsi="Calibri" w:cs="Calibri"/>
        </w:rPr>
        <w:t xml:space="preserve"> </w:t>
      </w:r>
      <w:r>
        <w:rPr>
          <w:rFonts w:ascii="Calibri" w:hAnsi="Calibri" w:cs="Calibri"/>
        </w:rPr>
        <w:t xml:space="preserve">and new use cases involving new patterns of information flow </w:t>
      </w:r>
      <w:r w:rsidRPr="00680BCA">
        <w:rPr>
          <w:rFonts w:ascii="Calibri" w:hAnsi="Calibri" w:cs="Calibri"/>
        </w:rPr>
        <w:t>(</w:t>
      </w:r>
      <w:r>
        <w:rPr>
          <w:rFonts w:ascii="Calibri" w:hAnsi="Calibri" w:cs="Calibri"/>
        </w:rPr>
        <w:t>i.e. data linking involving multiple parties</w:t>
      </w:r>
      <w:r w:rsidRPr="00680BCA">
        <w:rPr>
          <w:rFonts w:ascii="Calibri" w:hAnsi="Calibri" w:cs="Calibri"/>
        </w:rPr>
        <w:t xml:space="preserve">), implementers are tasked with decision </w:t>
      </w:r>
      <w:r w:rsidRPr="00597AD0">
        <w:rPr>
          <w:rFonts w:ascii="Calibri" w:hAnsi="Calibri" w:cs="Calibri"/>
        </w:rPr>
        <w:t>making for responsible data sharing and use(s) where common best practices for de-identification do not yet exist.</w:t>
      </w:r>
      <w:r w:rsidRPr="00597AD0">
        <w:rPr>
          <w:rFonts w:ascii="Calibri" w:hAnsi="Calibri" w:cs="Calibri"/>
        </w:rPr>
        <w:t xml:space="preserve"> Use cases include but not limited to: </w:t>
      </w:r>
      <w:r w:rsidR="00086159" w:rsidRPr="00597AD0">
        <w:rPr>
          <w:rFonts w:ascii="Calibri" w:eastAsia="Calibri" w:hAnsi="Calibri" w:cs="Calibri"/>
        </w:rPr>
        <w:t xml:space="preserve">Infectious diseases management, </w:t>
      </w:r>
      <w:proofErr w:type="spellStart"/>
      <w:r w:rsidR="00086159" w:rsidRPr="00597AD0">
        <w:rPr>
          <w:rFonts w:ascii="Calibri" w:eastAsia="Calibri" w:hAnsi="Calibri" w:cs="Calibri"/>
        </w:rPr>
        <w:t>multi jurisdiction</w:t>
      </w:r>
      <w:r w:rsidRPr="00597AD0">
        <w:rPr>
          <w:rFonts w:ascii="Calibri" w:eastAsia="Calibri" w:hAnsi="Calibri" w:cs="Calibri"/>
        </w:rPr>
        <w:t>al</w:t>
      </w:r>
      <w:proofErr w:type="spellEnd"/>
      <w:r w:rsidRPr="00597AD0">
        <w:rPr>
          <w:rFonts w:ascii="Calibri" w:eastAsia="Calibri" w:hAnsi="Calibri" w:cs="Calibri"/>
        </w:rPr>
        <w:t xml:space="preserve"> studies</w:t>
      </w:r>
      <w:r w:rsidR="00086159" w:rsidRPr="00597AD0">
        <w:rPr>
          <w:rFonts w:ascii="Calibri" w:eastAsia="Calibri" w:hAnsi="Calibri" w:cs="Calibri"/>
        </w:rPr>
        <w:t>, cross border</w:t>
      </w:r>
      <w:r w:rsidRPr="00597AD0">
        <w:rPr>
          <w:rFonts w:ascii="Calibri" w:eastAsia="Calibri" w:hAnsi="Calibri" w:cs="Calibri"/>
        </w:rPr>
        <w:t xml:space="preserve"> R&amp;D and data sharing via linking (hospital to hospitals, public health lab to </w:t>
      </w:r>
      <w:proofErr w:type="spellStart"/>
      <w:proofErr w:type="gramStart"/>
      <w:r w:rsidRPr="00597AD0">
        <w:rPr>
          <w:rFonts w:ascii="Calibri" w:eastAsia="Calibri" w:hAnsi="Calibri" w:cs="Calibri"/>
        </w:rPr>
        <w:t>hospitals,etc</w:t>
      </w:r>
      <w:proofErr w:type="spellEnd"/>
      <w:r w:rsidRPr="00597AD0">
        <w:rPr>
          <w:rFonts w:ascii="Calibri" w:eastAsia="Calibri" w:hAnsi="Calibri" w:cs="Calibri"/>
        </w:rPr>
        <w:t>.</w:t>
      </w:r>
      <w:proofErr w:type="gramEnd"/>
      <w:r w:rsidRPr="00597AD0">
        <w:rPr>
          <w:rFonts w:ascii="Calibri" w:eastAsia="Calibri" w:hAnsi="Calibri" w:cs="Calibri"/>
        </w:rPr>
        <w:t>).  Opportunities</w:t>
      </w:r>
      <w:r>
        <w:rPr>
          <w:rFonts w:ascii="Calibri" w:eastAsia="Calibri" w:hAnsi="Calibri" w:cs="Calibri"/>
        </w:rPr>
        <w:t xml:space="preserve"> to broaden the scope of data sharing in semi trusted and/or untrusted settings based on updated threat models, attacker goals.</w:t>
      </w:r>
    </w:p>
    <w:p w14:paraId="0000001C" w14:textId="77777777" w:rsidR="00F3379D" w:rsidRDefault="00FB39E8">
      <w:pPr>
        <w:pStyle w:val="Heading1"/>
        <w:numPr>
          <w:ilvl w:val="0"/>
          <w:numId w:val="1"/>
        </w:numPr>
        <w:rPr>
          <w:rFonts w:ascii="Calibri" w:eastAsia="Calibri" w:hAnsi="Calibri" w:cs="Calibri"/>
        </w:rPr>
      </w:pPr>
      <w:r>
        <w:rPr>
          <w:rFonts w:ascii="Calibri" w:eastAsia="Calibri" w:hAnsi="Calibri" w:cs="Calibri"/>
        </w:rPr>
        <w:t>Key Use Case</w:t>
      </w:r>
    </w:p>
    <w:p w14:paraId="32DE0731" w14:textId="76AFFA62" w:rsidR="006051A3" w:rsidRDefault="006051A3" w:rsidP="00D97922">
      <w:pPr>
        <w:ind w:left="360"/>
        <w:rPr>
          <w:rFonts w:asciiTheme="minorHAnsi" w:hAnsiTheme="minorHAnsi" w:cstheme="minorHAnsi"/>
        </w:rPr>
      </w:pPr>
      <w:r>
        <w:rPr>
          <w:rFonts w:asciiTheme="minorHAnsi" w:hAnsiTheme="minorHAnsi" w:cstheme="minorHAnsi"/>
        </w:rPr>
        <w:t>An example of</w:t>
      </w:r>
      <w:r w:rsidR="00597AD0">
        <w:rPr>
          <w:rFonts w:asciiTheme="minorHAnsi" w:hAnsiTheme="minorHAnsi" w:cstheme="minorHAnsi"/>
        </w:rPr>
        <w:t xml:space="preserve"> technical</w:t>
      </w:r>
      <w:r>
        <w:rPr>
          <w:rFonts w:asciiTheme="minorHAnsi" w:hAnsiTheme="minorHAnsi" w:cstheme="minorHAnsi"/>
        </w:rPr>
        <w:t xml:space="preserve"> workflow for tokenization from cryptographic PETs is shown below. As private key is not reveal</w:t>
      </w:r>
      <w:r w:rsidR="00D97922">
        <w:rPr>
          <w:rFonts w:asciiTheme="minorHAnsi" w:hAnsiTheme="minorHAnsi" w:cstheme="minorHAnsi"/>
        </w:rPr>
        <w:t>ed</w:t>
      </w:r>
      <w:r>
        <w:rPr>
          <w:rFonts w:asciiTheme="minorHAnsi" w:hAnsiTheme="minorHAnsi" w:cstheme="minorHAnsi"/>
        </w:rPr>
        <w:t xml:space="preserve"> to each other, re-identification</w:t>
      </w:r>
      <w:r w:rsidR="00D97922">
        <w:rPr>
          <w:rFonts w:asciiTheme="minorHAnsi" w:hAnsiTheme="minorHAnsi" w:cstheme="minorHAnsi"/>
        </w:rPr>
        <w:t xml:space="preserve"> risk is mitigated.</w:t>
      </w:r>
      <w:r>
        <w:rPr>
          <w:rFonts w:asciiTheme="minorHAnsi" w:hAnsiTheme="minorHAnsi" w:cstheme="minorHAnsi"/>
        </w:rPr>
        <w:t xml:space="preserve"> Furthermore, two parties can collaboratively analyze their datasets using the results. In addition, w</w:t>
      </w:r>
      <w:r w:rsidRPr="006051A3">
        <w:rPr>
          <w:rFonts w:asciiTheme="minorHAnsi" w:hAnsiTheme="minorHAnsi" w:cstheme="minorHAnsi"/>
        </w:rPr>
        <w:t>e are also able to use a protocol called Circuit-PSI to exclude any information except data analysis results.</w:t>
      </w:r>
    </w:p>
    <w:p w14:paraId="48CC1F3A" w14:textId="77777777" w:rsidR="006051A3" w:rsidRDefault="006051A3" w:rsidP="006051A3">
      <w:pPr>
        <w:ind w:left="360"/>
        <w:jc w:val="center"/>
      </w:pPr>
      <w:r>
        <w:rPr>
          <w:rFonts w:asciiTheme="minorHAnsi" w:hAnsiTheme="minorHAnsi" w:cstheme="minorHAnsi" w:hint="eastAsia"/>
          <w:noProof/>
        </w:rPr>
        <w:lastRenderedPageBreak/>
        <w:drawing>
          <wp:inline distT="0" distB="0" distL="0" distR="0" wp14:anchorId="5DC2A736" wp14:editId="1EED91EB">
            <wp:extent cx="3379694" cy="294894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graphic Pseudonymiz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1774" cy="2976931"/>
                    </a:xfrm>
                    <a:prstGeom prst="rect">
                      <a:avLst/>
                    </a:prstGeom>
                  </pic:spPr>
                </pic:pic>
              </a:graphicData>
            </a:graphic>
          </wp:inline>
        </w:drawing>
      </w:r>
    </w:p>
    <w:p w14:paraId="7DB1DDF3" w14:textId="191B1ADB" w:rsidR="006051A3" w:rsidRPr="006051A3" w:rsidRDefault="006051A3" w:rsidP="006051A3">
      <w:pPr>
        <w:ind w:left="360"/>
        <w:jc w:val="center"/>
        <w:rPr>
          <w:sz w:val="20"/>
        </w:rPr>
      </w:pPr>
      <w:r w:rsidRPr="006051A3">
        <w:rPr>
          <w:sz w:val="20"/>
        </w:rPr>
        <w:t xml:space="preserve">Figure </w:t>
      </w:r>
      <w:r w:rsidRPr="006051A3">
        <w:rPr>
          <w:sz w:val="20"/>
        </w:rPr>
        <w:fldChar w:fldCharType="begin"/>
      </w:r>
      <w:r w:rsidRPr="006051A3">
        <w:rPr>
          <w:sz w:val="20"/>
        </w:rPr>
        <w:instrText xml:space="preserve"> SEQ Figure \* ARABIC </w:instrText>
      </w:r>
      <w:r w:rsidRPr="006051A3">
        <w:rPr>
          <w:sz w:val="20"/>
        </w:rPr>
        <w:fldChar w:fldCharType="separate"/>
      </w:r>
      <w:r w:rsidRPr="006051A3">
        <w:rPr>
          <w:noProof/>
          <w:sz w:val="20"/>
        </w:rPr>
        <w:t>1</w:t>
      </w:r>
      <w:r w:rsidRPr="006051A3">
        <w:rPr>
          <w:sz w:val="20"/>
        </w:rPr>
        <w:fldChar w:fldCharType="end"/>
      </w:r>
      <w:r w:rsidRPr="006051A3">
        <w:rPr>
          <w:sz w:val="20"/>
        </w:rPr>
        <w:t>. Cryptographic Tokenization</w:t>
      </w:r>
    </w:p>
    <w:p w14:paraId="0A7865B1" w14:textId="7F3D6844" w:rsidR="006051A3" w:rsidRDefault="006051A3" w:rsidP="006051A3">
      <w:pPr>
        <w:ind w:left="360"/>
        <w:rPr>
          <w:rFonts w:asciiTheme="minorHAnsi" w:hAnsiTheme="minorHAnsi" w:cstheme="minorHAnsi"/>
        </w:rPr>
      </w:pPr>
      <w:r w:rsidRPr="006051A3">
        <w:rPr>
          <w:rFonts w:asciiTheme="minorHAnsi" w:hAnsiTheme="minorHAnsi" w:cstheme="minorHAnsi"/>
        </w:rPr>
        <w:t xml:space="preserve">An example of workflow for FHIR mapping from MPC module is shown below. This workflow leverages both FHIR server and MPC modules. They can be combined to increase interoperability of health systems across multi-jurisdictional genomic data sets, which </w:t>
      </w:r>
      <w:r>
        <w:rPr>
          <w:rFonts w:asciiTheme="minorHAnsi" w:hAnsiTheme="minorHAnsi" w:cstheme="minorHAnsi"/>
        </w:rPr>
        <w:t>might</w:t>
      </w:r>
      <w:r w:rsidRPr="006051A3">
        <w:rPr>
          <w:rFonts w:asciiTheme="minorHAnsi" w:hAnsiTheme="minorHAnsi" w:cstheme="minorHAnsi"/>
        </w:rPr>
        <w:t xml:space="preserve"> contain sensitive identifiable data. </w:t>
      </w:r>
    </w:p>
    <w:p w14:paraId="00000022" w14:textId="5C0DC08B" w:rsidR="00F3379D" w:rsidRDefault="00000000" w:rsidP="006051A3">
      <w:pPr>
        <w:spacing w:before="0" w:after="0"/>
        <w:jc w:val="center"/>
      </w:pPr>
      <w:sdt>
        <w:sdtPr>
          <w:tag w:val="goog_rdk_1"/>
          <w:id w:val="415761234"/>
          <w:showingPlcHdr/>
        </w:sdtPr>
        <w:sdtContent>
          <w:r w:rsidR="006051A3">
            <w:t xml:space="preserve">     </w:t>
          </w:r>
          <w:commentRangeStart w:id="0"/>
        </w:sdtContent>
      </w:sdt>
      <w:r w:rsidR="00FB39E8">
        <w:rPr>
          <w:noProof/>
        </w:rPr>
        <w:drawing>
          <wp:inline distT="0" distB="0" distL="0" distR="0" wp14:anchorId="6242D00E" wp14:editId="5E898059">
            <wp:extent cx="4016188" cy="1151964"/>
            <wp:effectExtent l="0" t="0" r="3810" b="0"/>
            <wp:docPr id="647311506" name="image2.png" descr="A diagram of a computer hardware softw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computer hardware software&#10;&#10;Description automatically generated"/>
                    <pic:cNvPicPr preferRelativeResize="0"/>
                  </pic:nvPicPr>
                  <pic:blipFill>
                    <a:blip r:embed="rId9"/>
                    <a:srcRect/>
                    <a:stretch>
                      <a:fillRect/>
                    </a:stretch>
                  </pic:blipFill>
                  <pic:spPr>
                    <a:xfrm>
                      <a:off x="0" y="0"/>
                      <a:ext cx="4116593" cy="1180763"/>
                    </a:xfrm>
                    <a:prstGeom prst="rect">
                      <a:avLst/>
                    </a:prstGeom>
                    <a:ln/>
                  </pic:spPr>
                </pic:pic>
              </a:graphicData>
            </a:graphic>
          </wp:inline>
        </w:drawing>
      </w:r>
      <w:commentRangeEnd w:id="0"/>
      <w:r w:rsidR="00FB39E8">
        <w:commentReference w:id="0"/>
      </w:r>
    </w:p>
    <w:p w14:paraId="00000023" w14:textId="71D74BD1" w:rsidR="00F3379D" w:rsidRDefault="006051A3" w:rsidP="006051A3">
      <w:pPr>
        <w:spacing w:before="0" w:after="0"/>
        <w:jc w:val="center"/>
        <w:rPr>
          <w:sz w:val="20"/>
        </w:rPr>
      </w:pPr>
      <w:r w:rsidRPr="006051A3">
        <w:rPr>
          <w:sz w:val="20"/>
        </w:rPr>
        <w:t>Figure 2. Workflow for FHIR mapping from MPC module</w:t>
      </w:r>
    </w:p>
    <w:p w14:paraId="3161D40D" w14:textId="6E142EC3" w:rsidR="00597AD0" w:rsidRPr="006051A3" w:rsidRDefault="00597AD0" w:rsidP="00597AD0">
      <w:pPr>
        <w:spacing w:before="0" w:after="0"/>
        <w:rPr>
          <w:sz w:val="20"/>
        </w:rPr>
      </w:pPr>
    </w:p>
    <w:p w14:paraId="3BBFAC07" w14:textId="2C5B293A" w:rsidR="00597AD0" w:rsidRDefault="00597AD0">
      <w:pPr>
        <w:ind w:left="360"/>
        <w:rPr>
          <w:rFonts w:asciiTheme="minorHAnsi" w:hAnsiTheme="minorHAnsi" w:cstheme="minorHAnsi"/>
        </w:rPr>
      </w:pPr>
      <w:r w:rsidRPr="006051A3">
        <w:rPr>
          <w:rFonts w:asciiTheme="minorHAnsi" w:hAnsiTheme="minorHAnsi" w:cstheme="minorHAnsi"/>
        </w:rPr>
        <w:t xml:space="preserve">An example of </w:t>
      </w:r>
      <w:r>
        <w:rPr>
          <w:rFonts w:asciiTheme="minorHAnsi" w:hAnsiTheme="minorHAnsi" w:cstheme="minorHAnsi"/>
        </w:rPr>
        <w:t xml:space="preserve">genomic use case </w:t>
      </w:r>
      <w:r w:rsidRPr="006051A3">
        <w:rPr>
          <w:rFonts w:asciiTheme="minorHAnsi" w:hAnsiTheme="minorHAnsi" w:cstheme="minorHAnsi"/>
        </w:rPr>
        <w:t>workflow is shown below</w:t>
      </w:r>
      <w:r>
        <w:rPr>
          <w:rFonts w:asciiTheme="minorHAnsi" w:hAnsiTheme="minorHAnsi" w:cstheme="minorHAnsi"/>
        </w:rPr>
        <w:t>. This workflow illustrates how genomic reporting as a document containing antimicrobial resistant information can be stored and accessed via cryptographic de-identification by a client.</w:t>
      </w:r>
    </w:p>
    <w:p w14:paraId="701B144A" w14:textId="05C1EA34" w:rsidR="00E115B4" w:rsidRDefault="00E115B4">
      <w:pPr>
        <w:ind w:left="360"/>
        <w:rPr>
          <w:rFonts w:ascii="Calibri" w:eastAsia="Calibri" w:hAnsi="Calibri" w:cs="Calibri"/>
        </w:rPr>
      </w:pPr>
      <w:r w:rsidRPr="00E115B4">
        <w:rPr>
          <w:rFonts w:ascii="Calibri" w:eastAsia="Calibri" w:hAnsi="Calibri" w:cs="Calibri"/>
        </w:rPr>
        <w:lastRenderedPageBreak/>
        <w:drawing>
          <wp:inline distT="0" distB="0" distL="0" distR="0" wp14:anchorId="7B4292CC" wp14:editId="23925291">
            <wp:extent cx="4593771" cy="1846047"/>
            <wp:effectExtent l="0" t="0" r="3810" b="0"/>
            <wp:docPr id="760756302" name="Picture 1"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56302" name="Picture 1" descr="A diagram of a medical procedure&#10;&#10;Description automatically generated"/>
                    <pic:cNvPicPr/>
                  </pic:nvPicPr>
                  <pic:blipFill>
                    <a:blip r:embed="rId13"/>
                    <a:stretch>
                      <a:fillRect/>
                    </a:stretch>
                  </pic:blipFill>
                  <pic:spPr>
                    <a:xfrm>
                      <a:off x="0" y="0"/>
                      <a:ext cx="4601321" cy="1849081"/>
                    </a:xfrm>
                    <a:prstGeom prst="rect">
                      <a:avLst/>
                    </a:prstGeom>
                  </pic:spPr>
                </pic:pic>
              </a:graphicData>
            </a:graphic>
          </wp:inline>
        </w:drawing>
      </w:r>
    </w:p>
    <w:p w14:paraId="44088571" w14:textId="3901A215" w:rsidR="00E115B4" w:rsidRDefault="00E115B4" w:rsidP="00E115B4">
      <w:pPr>
        <w:spacing w:before="0" w:after="0"/>
        <w:jc w:val="center"/>
        <w:rPr>
          <w:sz w:val="20"/>
        </w:rPr>
      </w:pPr>
      <w:r w:rsidRPr="006051A3">
        <w:rPr>
          <w:sz w:val="20"/>
        </w:rPr>
        <w:t xml:space="preserve">Figure </w:t>
      </w:r>
      <w:r>
        <w:rPr>
          <w:sz w:val="20"/>
        </w:rPr>
        <w:t>3</w:t>
      </w:r>
      <w:r w:rsidRPr="006051A3">
        <w:rPr>
          <w:sz w:val="20"/>
        </w:rPr>
        <w:t xml:space="preserve">. Workflow for </w:t>
      </w:r>
      <w:r>
        <w:rPr>
          <w:sz w:val="20"/>
        </w:rPr>
        <w:t>Genomic report access</w:t>
      </w:r>
    </w:p>
    <w:p w14:paraId="3D8149E3" w14:textId="77777777" w:rsidR="00597AD0" w:rsidRDefault="00597AD0">
      <w:pPr>
        <w:ind w:left="360"/>
        <w:rPr>
          <w:rFonts w:ascii="Calibri" w:eastAsia="Calibri" w:hAnsi="Calibri" w:cs="Calibri"/>
        </w:rPr>
      </w:pPr>
    </w:p>
    <w:p w14:paraId="00000024" w14:textId="433759EA" w:rsidR="00F3379D" w:rsidRDefault="00FB39E8">
      <w:pPr>
        <w:ind w:left="360"/>
        <w:rPr>
          <w:rFonts w:ascii="Calibri" w:eastAsia="Calibri" w:hAnsi="Calibri" w:cs="Calibri"/>
        </w:rPr>
      </w:pPr>
      <w:r>
        <w:rPr>
          <w:rFonts w:ascii="Calibri" w:eastAsia="Calibri" w:hAnsi="Calibri" w:cs="Calibri"/>
        </w:rPr>
        <w:t>&lt;Describe a short use case scenario from the user perspective. The use case should demonstrate the integration/workflow problem. Feel free to add a second use case scenario demonstrating how it “should” work. Try to indicate the people/systems, the tasks they are doing, the information they need, and where the information should come from.&gt;</w:t>
      </w:r>
    </w:p>
    <w:p w14:paraId="00000025" w14:textId="77777777" w:rsidR="00F3379D" w:rsidRDefault="00FB39E8">
      <w:pPr>
        <w:pStyle w:val="Heading1"/>
        <w:numPr>
          <w:ilvl w:val="0"/>
          <w:numId w:val="1"/>
        </w:numPr>
        <w:rPr>
          <w:rFonts w:ascii="Calibri" w:eastAsia="Calibri" w:hAnsi="Calibri" w:cs="Calibri"/>
        </w:rPr>
      </w:pPr>
      <w:r>
        <w:rPr>
          <w:rFonts w:ascii="Calibri" w:eastAsia="Calibri" w:hAnsi="Calibri" w:cs="Calibri"/>
        </w:rPr>
        <w:t>Standards &amp; Systems</w:t>
      </w:r>
    </w:p>
    <w:p w14:paraId="2C9213BC" w14:textId="77777777" w:rsidR="00D97922" w:rsidRDefault="00FB39E8">
      <w:pPr>
        <w:ind w:left="360"/>
        <w:rPr>
          <w:rFonts w:ascii="Calibri" w:eastAsia="Calibri" w:hAnsi="Calibri" w:cs="Calibri"/>
        </w:rPr>
      </w:pPr>
      <w:r>
        <w:rPr>
          <w:rFonts w:ascii="Calibri" w:eastAsia="Calibri" w:hAnsi="Calibri" w:cs="Calibri"/>
        </w:rPr>
        <w:t xml:space="preserve">&lt;List existing systems that are/could be involved in the problem/solution.&gt; </w:t>
      </w:r>
    </w:p>
    <w:p w14:paraId="36A83295" w14:textId="74F542B4" w:rsidR="00E115B4" w:rsidRDefault="00E115B4">
      <w:pPr>
        <w:ind w:left="360"/>
        <w:rPr>
          <w:rFonts w:ascii="Calibri" w:eastAsia="Calibri" w:hAnsi="Calibri" w:cs="Calibri"/>
        </w:rPr>
      </w:pPr>
      <w:r>
        <w:rPr>
          <w:rFonts w:ascii="Calibri" w:eastAsia="Calibri" w:hAnsi="Calibri" w:cs="Calibri"/>
        </w:rPr>
        <w:t xml:space="preserve">Relevant standards can be considered such as FHIR Bulk API, </w:t>
      </w:r>
      <w:proofErr w:type="spellStart"/>
      <w:r>
        <w:rPr>
          <w:rFonts w:ascii="Calibri" w:eastAsia="Calibri" w:hAnsi="Calibri" w:cs="Calibri"/>
        </w:rPr>
        <w:t>MolSeq</w:t>
      </w:r>
      <w:proofErr w:type="spellEnd"/>
      <w:r>
        <w:rPr>
          <w:rFonts w:ascii="Calibri" w:eastAsia="Calibri" w:hAnsi="Calibri" w:cs="Calibri"/>
        </w:rPr>
        <w:t xml:space="preserve">, CQL, GA4GH, and/or HIE.  The de-identification update may be supplemented by open source, reference </w:t>
      </w:r>
      <w:proofErr w:type="gramStart"/>
      <w:r>
        <w:rPr>
          <w:rFonts w:ascii="Calibri" w:eastAsia="Calibri" w:hAnsi="Calibri" w:cs="Calibri"/>
        </w:rPr>
        <w:t xml:space="preserve">implementation </w:t>
      </w:r>
      <w:r w:rsidR="00A1486E">
        <w:rPr>
          <w:rFonts w:ascii="Calibri" w:eastAsia="Calibri" w:hAnsi="Calibri" w:cs="Calibri"/>
        </w:rPr>
        <w:t xml:space="preserve"> </w:t>
      </w:r>
      <w:r>
        <w:rPr>
          <w:rFonts w:ascii="Calibri" w:eastAsia="Calibri" w:hAnsi="Calibri" w:cs="Calibri"/>
        </w:rPr>
        <w:t>(</w:t>
      </w:r>
      <w:proofErr w:type="gramEnd"/>
      <w:r>
        <w:rPr>
          <w:rFonts w:ascii="Calibri" w:eastAsia="Calibri" w:hAnsi="Calibri" w:cs="Calibri"/>
        </w:rPr>
        <w:t>with simplified version of the cryptographic tokenization for reference purposes only).</w:t>
      </w:r>
      <w:r w:rsidR="00A1486E">
        <w:rPr>
          <w:rFonts w:ascii="Calibri" w:eastAsia="Calibri" w:hAnsi="Calibri" w:cs="Calibri"/>
        </w:rPr>
        <w:t xml:space="preserve"> The reference implementation will be tested based on the proposed use cases and will be available in the IHE International GitHub.</w:t>
      </w:r>
    </w:p>
    <w:p w14:paraId="3FDCD9FB" w14:textId="123AED42" w:rsidR="00A1486E" w:rsidRDefault="00A1486E">
      <w:pPr>
        <w:ind w:left="360"/>
        <w:rPr>
          <w:rFonts w:ascii="Calibri" w:eastAsia="Calibri" w:hAnsi="Calibri" w:cs="Calibri"/>
        </w:rPr>
      </w:pPr>
      <w:r w:rsidRPr="00A1486E">
        <w:rPr>
          <w:rFonts w:ascii="Calibri" w:eastAsia="Calibri" w:hAnsi="Calibri" w:cs="Calibri"/>
        </w:rPr>
        <w:t>https://github.com/IHE</w:t>
      </w:r>
    </w:p>
    <w:p w14:paraId="1310EF57" w14:textId="3030251A" w:rsidR="00D97922" w:rsidRDefault="00D97922">
      <w:pPr>
        <w:ind w:left="360"/>
        <w:rPr>
          <w:rFonts w:ascii="Calibri" w:eastAsia="Calibri" w:hAnsi="Calibri" w:cs="Calibri"/>
        </w:rPr>
      </w:pPr>
      <w:hyperlink r:id="rId14" w:history="1">
        <w:r w:rsidRPr="002C1081">
          <w:rPr>
            <w:rStyle w:val="Hyperlink"/>
            <w:rFonts w:ascii="Calibri" w:eastAsia="Calibri" w:hAnsi="Calibri" w:cs="Calibri"/>
          </w:rPr>
          <w:t>https://f1000research.com/posters/12-893</w:t>
        </w:r>
      </w:hyperlink>
    </w:p>
    <w:p w14:paraId="3C0028E6" w14:textId="77777777" w:rsidR="00D97922" w:rsidRDefault="00D97922">
      <w:pPr>
        <w:ind w:left="360"/>
        <w:rPr>
          <w:rFonts w:ascii="Calibri" w:eastAsia="Calibri" w:hAnsi="Calibri" w:cs="Calibri"/>
        </w:rPr>
      </w:pPr>
    </w:p>
    <w:p w14:paraId="00000027" w14:textId="77777777" w:rsidR="00F3379D" w:rsidRDefault="00FB39E8" w:rsidP="00E115B4">
      <w:pPr>
        <w:rPr>
          <w:rFonts w:ascii="Calibri" w:eastAsia="Calibri" w:hAnsi="Calibri" w:cs="Calibri"/>
        </w:rPr>
      </w:pPr>
      <w:r>
        <w:rPr>
          <w:rFonts w:ascii="Calibri" w:eastAsia="Calibri" w:hAnsi="Calibri" w:cs="Calibri"/>
        </w:rPr>
        <w:t>&lt;If known, list specific components of standards which might be relevant to the solution.&gt;</w:t>
      </w:r>
    </w:p>
    <w:p w14:paraId="00000028" w14:textId="77777777" w:rsidR="00F3379D" w:rsidRDefault="00FB39E8">
      <w:pPr>
        <w:pStyle w:val="Heading1"/>
        <w:numPr>
          <w:ilvl w:val="0"/>
          <w:numId w:val="1"/>
        </w:numPr>
        <w:rPr>
          <w:rFonts w:ascii="Calibri" w:eastAsia="Calibri" w:hAnsi="Calibri" w:cs="Calibri"/>
        </w:rPr>
      </w:pPr>
      <w:r>
        <w:rPr>
          <w:rFonts w:ascii="Calibri" w:eastAsia="Calibri" w:hAnsi="Calibri" w:cs="Calibri"/>
        </w:rPr>
        <w:t>Discussion</w:t>
      </w:r>
    </w:p>
    <w:p w14:paraId="00000029" w14:textId="77777777" w:rsidR="00F3379D" w:rsidRDefault="00FB39E8">
      <w:pPr>
        <w:ind w:left="360"/>
        <w:rPr>
          <w:rFonts w:ascii="Calibri" w:eastAsia="Calibri" w:hAnsi="Calibri" w:cs="Calibri"/>
        </w:rPr>
      </w:pPr>
      <w:r>
        <w:rPr>
          <w:rFonts w:ascii="Calibri" w:eastAsia="Calibri" w:hAnsi="Calibri" w:cs="Calibri"/>
        </w:rPr>
        <w:t xml:space="preserve">&lt;If possible, indicate why IHE would be a good venue to solve the </w:t>
      </w:r>
      <w:sdt>
        <w:sdtPr>
          <w:tag w:val="goog_rdk_3"/>
          <w:id w:val="1242837527"/>
        </w:sdtPr>
        <w:sdtContent>
          <w:commentRangeStart w:id="1"/>
        </w:sdtContent>
      </w:sdt>
      <w:r>
        <w:rPr>
          <w:rFonts w:ascii="Calibri" w:eastAsia="Calibri" w:hAnsi="Calibri" w:cs="Calibri"/>
        </w:rPr>
        <w:t>problem</w:t>
      </w:r>
      <w:commentRangeEnd w:id="1"/>
      <w:r>
        <w:commentReference w:id="1"/>
      </w:r>
      <w:r>
        <w:rPr>
          <w:rFonts w:ascii="Calibri" w:eastAsia="Calibri" w:hAnsi="Calibri" w:cs="Calibri"/>
        </w:rPr>
        <w:t xml:space="preserve"> and what you think IHE should do to solve it.&gt;</w:t>
      </w:r>
    </w:p>
    <w:p w14:paraId="33A585A8" w14:textId="696AC0D7" w:rsidR="000E33F4" w:rsidRDefault="00FB39E8">
      <w:pPr>
        <w:ind w:left="360"/>
        <w:rPr>
          <w:rFonts w:ascii="Calibri" w:eastAsia="Calibri" w:hAnsi="Calibri" w:cs="Calibri"/>
        </w:rPr>
      </w:pPr>
      <w:r>
        <w:rPr>
          <w:rFonts w:ascii="Calibri" w:eastAsia="Calibri" w:hAnsi="Calibri" w:cs="Calibri"/>
        </w:rPr>
        <w:t>Benefit of standardizing</w:t>
      </w:r>
      <w:r w:rsidR="00082BF1">
        <w:rPr>
          <w:rFonts w:ascii="Calibri" w:eastAsia="Calibri" w:hAnsi="Calibri" w:cs="Calibri"/>
        </w:rPr>
        <w:t xml:space="preserve"> </w:t>
      </w:r>
      <w:r>
        <w:rPr>
          <w:rFonts w:ascii="Calibri" w:eastAsia="Calibri" w:hAnsi="Calibri" w:cs="Calibri"/>
        </w:rPr>
        <w:t>privacy operation</w:t>
      </w:r>
      <w:r w:rsidR="00082BF1">
        <w:rPr>
          <w:rFonts w:ascii="Calibri" w:eastAsia="Calibri" w:hAnsi="Calibri" w:cs="Calibri"/>
        </w:rPr>
        <w:t xml:space="preserve"> </w:t>
      </w:r>
      <w:r w:rsidR="000E33F4">
        <w:rPr>
          <w:rFonts w:ascii="Calibri" w:eastAsia="Calibri" w:hAnsi="Calibri" w:cs="Calibri"/>
        </w:rPr>
        <w:t>for emerging use cases</w:t>
      </w:r>
    </w:p>
    <w:p w14:paraId="03DBB56C" w14:textId="77777777" w:rsidR="000E33F4" w:rsidRDefault="000E33F4">
      <w:pPr>
        <w:ind w:left="360"/>
        <w:rPr>
          <w:rFonts w:ascii="Calibri" w:eastAsia="Calibri" w:hAnsi="Calibri" w:cs="Calibri"/>
        </w:rPr>
      </w:pPr>
      <w:r>
        <w:rPr>
          <w:rFonts w:ascii="Calibri" w:eastAsia="Calibri" w:hAnsi="Calibri" w:cs="Calibri"/>
        </w:rPr>
        <w:t>Establish community of practices for better</w:t>
      </w:r>
      <w:r w:rsidR="00082BF1">
        <w:rPr>
          <w:rFonts w:ascii="Calibri" w:eastAsia="Calibri" w:hAnsi="Calibri" w:cs="Calibri"/>
        </w:rPr>
        <w:t xml:space="preserve"> governance</w:t>
      </w:r>
    </w:p>
    <w:p w14:paraId="4D5318A3" w14:textId="3390B1A8" w:rsidR="000E33F4" w:rsidRDefault="000E33F4" w:rsidP="000E33F4">
      <w:pPr>
        <w:ind w:left="360"/>
        <w:rPr>
          <w:rFonts w:ascii="Calibri" w:eastAsia="Calibri" w:hAnsi="Calibri" w:cs="Calibri"/>
        </w:rPr>
      </w:pPr>
      <w:r>
        <w:rPr>
          <w:rFonts w:ascii="Calibri" w:eastAsia="Calibri" w:hAnsi="Calibri" w:cs="Calibri"/>
        </w:rPr>
        <w:t xml:space="preserve">De-identification guide needs routine </w:t>
      </w:r>
      <w:proofErr w:type="gramStart"/>
      <w:r>
        <w:rPr>
          <w:rFonts w:ascii="Calibri" w:eastAsia="Calibri" w:hAnsi="Calibri" w:cs="Calibri"/>
        </w:rPr>
        <w:t>update</w:t>
      </w:r>
      <w:proofErr w:type="gramEnd"/>
      <w:r>
        <w:rPr>
          <w:rFonts w:ascii="Calibri" w:eastAsia="Calibri" w:hAnsi="Calibri" w:cs="Calibri"/>
        </w:rPr>
        <w:t xml:space="preserve"> </w:t>
      </w:r>
    </w:p>
    <w:p w14:paraId="4CCDABC4" w14:textId="3172BAAD" w:rsidR="00082BF1" w:rsidRDefault="000E33F4" w:rsidP="000E33F4">
      <w:pPr>
        <w:rPr>
          <w:rFonts w:ascii="Calibri" w:eastAsia="Calibri" w:hAnsi="Calibri" w:cs="Calibri"/>
        </w:rPr>
      </w:pPr>
      <w:r>
        <w:rPr>
          <w:rFonts w:ascii="Calibri" w:eastAsia="Calibri" w:hAnsi="Calibri" w:cs="Calibri"/>
        </w:rPr>
        <w:lastRenderedPageBreak/>
        <w:t xml:space="preserve">      </w:t>
      </w:r>
      <w:r w:rsidR="00E115B4">
        <w:rPr>
          <w:rFonts w:ascii="Calibri" w:eastAsia="Calibri" w:hAnsi="Calibri" w:cs="Calibri"/>
        </w:rPr>
        <w:t xml:space="preserve"> </w:t>
      </w:r>
      <w:r>
        <w:rPr>
          <w:rFonts w:ascii="Calibri" w:eastAsia="Calibri" w:hAnsi="Calibri" w:cs="Calibri"/>
        </w:rPr>
        <w:t xml:space="preserve">Keep up with others (NIST, ISO – all working on </w:t>
      </w:r>
      <w:proofErr w:type="gramStart"/>
      <w:r>
        <w:rPr>
          <w:rFonts w:ascii="Calibri" w:eastAsia="Calibri" w:hAnsi="Calibri" w:cs="Calibri"/>
        </w:rPr>
        <w:t>PETs,  OECD</w:t>
      </w:r>
      <w:proofErr w:type="gramEnd"/>
      <w:r>
        <w:rPr>
          <w:rFonts w:ascii="Calibri" w:eastAsia="Calibri" w:hAnsi="Calibri" w:cs="Calibri"/>
        </w:rPr>
        <w:t xml:space="preserve">, </w:t>
      </w:r>
      <w:proofErr w:type="spellStart"/>
      <w:r>
        <w:rPr>
          <w:rFonts w:ascii="Calibri" w:eastAsia="Calibri" w:hAnsi="Calibri" w:cs="Calibri"/>
        </w:rPr>
        <w:t>UNSD,etc</w:t>
      </w:r>
      <w:proofErr w:type="spellEnd"/>
      <w:r>
        <w:rPr>
          <w:rFonts w:ascii="Calibri" w:eastAsia="Calibri" w:hAnsi="Calibri" w:cs="Calibri"/>
        </w:rPr>
        <w:t>.)</w:t>
      </w:r>
    </w:p>
    <w:p w14:paraId="0000002A" w14:textId="2CCFBFD6" w:rsidR="00F3379D" w:rsidRDefault="00082BF1">
      <w:pPr>
        <w:ind w:left="360"/>
        <w:rPr>
          <w:rFonts w:ascii="Calibri" w:eastAsia="Calibri" w:hAnsi="Calibri" w:cs="Calibri"/>
        </w:rPr>
      </w:pPr>
      <w:r>
        <w:rPr>
          <w:rFonts w:ascii="Calibri" w:eastAsia="Calibri" w:hAnsi="Calibri" w:cs="Calibri"/>
        </w:rPr>
        <w:t xml:space="preserve">Needs for collaborative analysis is growing as health care is becoming more connected (IoT for home monitoring, genomics, specialized vendor </w:t>
      </w:r>
      <w:proofErr w:type="spellStart"/>
      <w:proofErr w:type="gramStart"/>
      <w:r>
        <w:rPr>
          <w:rFonts w:ascii="Calibri" w:eastAsia="Calibri" w:hAnsi="Calibri" w:cs="Calibri"/>
        </w:rPr>
        <w:t>products,etc</w:t>
      </w:r>
      <w:proofErr w:type="spellEnd"/>
      <w:r>
        <w:rPr>
          <w:rFonts w:ascii="Calibri" w:eastAsia="Calibri" w:hAnsi="Calibri" w:cs="Calibri"/>
        </w:rPr>
        <w:t>.</w:t>
      </w:r>
      <w:proofErr w:type="gramEnd"/>
      <w:r>
        <w:rPr>
          <w:rFonts w:ascii="Calibri" w:eastAsia="Calibri" w:hAnsi="Calibri" w:cs="Calibri"/>
        </w:rPr>
        <w:t xml:space="preserve">) </w:t>
      </w:r>
      <w:r w:rsidR="00FB39E8">
        <w:rPr>
          <w:rFonts w:ascii="Calibri" w:eastAsia="Calibri" w:hAnsi="Calibri" w:cs="Calibri"/>
        </w:rPr>
        <w:t xml:space="preserve"> </w:t>
      </w:r>
    </w:p>
    <w:p w14:paraId="7BFC3A3D" w14:textId="31DF338C" w:rsidR="000E33F4" w:rsidRDefault="000E33F4">
      <w:pPr>
        <w:ind w:left="360"/>
        <w:rPr>
          <w:rFonts w:ascii="Calibri" w:eastAsia="Calibri" w:hAnsi="Calibri" w:cs="Calibri"/>
        </w:rPr>
      </w:pPr>
      <w:r>
        <w:rPr>
          <w:rFonts w:ascii="Calibri" w:eastAsia="Calibri" w:hAnsi="Calibri" w:cs="Calibri"/>
        </w:rPr>
        <w:t>Current data linking practices have issues</w:t>
      </w:r>
      <w:r w:rsidR="00B42199">
        <w:rPr>
          <w:rFonts w:ascii="Calibri" w:eastAsia="Calibri" w:hAnsi="Calibri" w:cs="Calibri"/>
        </w:rPr>
        <w:t xml:space="preserve"> (sharing PII, sharing </w:t>
      </w:r>
      <w:proofErr w:type="spellStart"/>
      <w:proofErr w:type="gramStart"/>
      <w:r w:rsidR="00B42199">
        <w:rPr>
          <w:rFonts w:ascii="Calibri" w:eastAsia="Calibri" w:hAnsi="Calibri" w:cs="Calibri"/>
        </w:rPr>
        <w:t>salt,etc</w:t>
      </w:r>
      <w:proofErr w:type="spellEnd"/>
      <w:r w:rsidR="00B42199">
        <w:rPr>
          <w:rFonts w:ascii="Calibri" w:eastAsia="Calibri" w:hAnsi="Calibri" w:cs="Calibri"/>
        </w:rPr>
        <w:t>.</w:t>
      </w:r>
      <w:proofErr w:type="gramEnd"/>
      <w:r w:rsidR="00B42199">
        <w:rPr>
          <w:rFonts w:ascii="Calibri" w:eastAsia="Calibri" w:hAnsi="Calibri" w:cs="Calibri"/>
        </w:rPr>
        <w:t>)</w:t>
      </w:r>
      <w:r>
        <w:rPr>
          <w:rFonts w:ascii="Calibri" w:eastAsia="Calibri" w:hAnsi="Calibri" w:cs="Calibri"/>
        </w:rPr>
        <w:t xml:space="preserve"> and risks people might not be aware</w:t>
      </w:r>
    </w:p>
    <w:p w14:paraId="0000002B" w14:textId="77777777" w:rsidR="00F3379D" w:rsidRDefault="00F3379D">
      <w:pPr>
        <w:ind w:left="360"/>
        <w:rPr>
          <w:rFonts w:ascii="Calibri" w:eastAsia="Calibri" w:hAnsi="Calibri" w:cs="Calibri"/>
        </w:rPr>
      </w:pPr>
    </w:p>
    <w:p w14:paraId="0000002C" w14:textId="77777777" w:rsidR="00F3379D" w:rsidRDefault="00FB39E8">
      <w:pPr>
        <w:ind w:left="360"/>
        <w:rPr>
          <w:rFonts w:ascii="Calibri" w:eastAsia="Calibri" w:hAnsi="Calibri" w:cs="Calibri"/>
        </w:rPr>
      </w:pPr>
      <w:r>
        <w:rPr>
          <w:rFonts w:ascii="Calibri" w:eastAsia="Calibri" w:hAnsi="Calibri" w:cs="Calibri"/>
        </w:rPr>
        <w:t>&lt;A one page proposal is preferred. Please do not exceed two pages.&gt;</w:t>
      </w:r>
    </w:p>
    <w:p w14:paraId="0000002D" w14:textId="77777777" w:rsidR="00F3379D" w:rsidRDefault="00F3379D">
      <w:pPr>
        <w:ind w:left="360"/>
        <w:rPr>
          <w:rFonts w:ascii="Calibri" w:eastAsia="Calibri" w:hAnsi="Calibri" w:cs="Calibri"/>
        </w:rPr>
      </w:pPr>
    </w:p>
    <w:sectPr w:rsidR="00F3379D">
      <w:headerReference w:type="default" r:id="rId15"/>
      <w:footerReference w:type="default" r:id="rId16"/>
      <w:pgSz w:w="12240" w:h="15840"/>
      <w:pgMar w:top="1008" w:right="1008" w:bottom="1008"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yean Kim" w:date="2024-08-22T12:44:00Z" w:initials="">
    <w:p w14:paraId="00000034" w14:textId="77777777" w:rsidR="00F3379D" w:rsidRDefault="00FB39E8">
      <w:pPr>
        <w:widowControl w:val="0"/>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Shall we include MPC or PSI?</w:t>
      </w:r>
    </w:p>
  </w:comment>
  <w:comment w:id="1" w:author="Soyean Kim" w:date="2024-08-22T12:45:00Z" w:initials="">
    <w:p w14:paraId="00000031" w14:textId="77777777" w:rsidR="00F3379D" w:rsidRDefault="00FB39E8">
      <w:pPr>
        <w:widowControl w:val="0"/>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Let’s ask IHE for advice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4" w15:done="0"/>
  <w15:commentEx w15:paraId="000000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4" w16cid:durableId="04137A9B"/>
  <w16cid:commentId w16cid:paraId="00000031" w16cid:durableId="4B762E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AEF0F" w14:textId="77777777" w:rsidR="00FF3324" w:rsidRDefault="00FF3324">
      <w:pPr>
        <w:spacing w:before="0" w:after="0"/>
      </w:pPr>
      <w:r>
        <w:separator/>
      </w:r>
    </w:p>
  </w:endnote>
  <w:endnote w:type="continuationSeparator" w:id="0">
    <w:p w14:paraId="41F8F761" w14:textId="77777777" w:rsidR="00FF3324" w:rsidRDefault="00FF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panose1 w:val="020B06040202020202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F3379D" w:rsidRDefault="00FB39E8">
    <w:pPr>
      <w:pBdr>
        <w:top w:val="nil"/>
        <w:left w:val="nil"/>
        <w:bottom w:val="nil"/>
        <w:right w:val="nil"/>
        <w:between w:val="nil"/>
      </w:pBdr>
      <w:tabs>
        <w:tab w:val="center" w:pos="4680"/>
        <w:tab w:val="right" w:pos="9360"/>
      </w:tabs>
      <w:rPr>
        <w:rFonts w:ascii="Calibri" w:eastAsia="Calibri" w:hAnsi="Calibri" w:cs="Calibri"/>
        <w:color w:val="000000"/>
      </w:rPr>
    </w:pPr>
    <w:r>
      <w:rPr>
        <w:rFonts w:ascii="Calibri" w:eastAsia="Calibri" w:hAnsi="Calibri" w:cs="Calibri"/>
        <w:color w:val="000000"/>
      </w:rPr>
      <w:t>IHE_Profile_Proposal_Template-Brief.doc</w:t>
    </w:r>
    <w:r>
      <w:rPr>
        <w:rFonts w:ascii="Calibri" w:eastAsia="Calibri" w:hAnsi="Calibri" w:cs="Calibri"/>
        <w:color w:val="000000"/>
      </w:rPr>
      <w:tab/>
    </w:r>
    <w:r>
      <w:rPr>
        <w:rFonts w:ascii="Calibri" w:eastAsia="Calibri" w:hAnsi="Calibri" w:cs="Calibri"/>
        <w:color w:val="000000"/>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74A0" w14:textId="77777777" w:rsidR="00FF3324" w:rsidRDefault="00FF3324">
      <w:pPr>
        <w:spacing w:before="0" w:after="0"/>
      </w:pPr>
      <w:r>
        <w:separator/>
      </w:r>
    </w:p>
  </w:footnote>
  <w:footnote w:type="continuationSeparator" w:id="0">
    <w:p w14:paraId="1B80384B" w14:textId="77777777" w:rsidR="00FF3324" w:rsidRDefault="00FF33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F3379D" w:rsidRDefault="00FB39E8">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38348F4A" wp14:editId="5369DA6E">
          <wp:extent cx="3303911" cy="738341"/>
          <wp:effectExtent l="0" t="0" r="0" b="0"/>
          <wp:docPr id="64731150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303911" cy="738341"/>
                  </a:xfrm>
                  <a:prstGeom prst="rect">
                    <a:avLst/>
                  </a:prstGeom>
                  <a:ln/>
                </pic:spPr>
              </pic:pic>
            </a:graphicData>
          </a:graphic>
        </wp:inline>
      </w:drawing>
    </w:r>
  </w:p>
  <w:p w14:paraId="0000002F" w14:textId="77777777" w:rsidR="00F3379D" w:rsidRDefault="00F3379D">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F5F4C"/>
    <w:multiLevelType w:val="multilevel"/>
    <w:tmpl w:val="5D0CF54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28851E4"/>
    <w:multiLevelType w:val="hybridMultilevel"/>
    <w:tmpl w:val="1D384978"/>
    <w:lvl w:ilvl="0" w:tplc="0409000F">
      <w:start w:val="1"/>
      <w:numFmt w:val="decimal"/>
      <w:lvlText w:val="%1."/>
      <w:lvlJc w:val="left"/>
      <w:pPr>
        <w:ind w:left="720" w:hanging="360"/>
      </w:pPr>
      <w:rPr>
        <w:rFonts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 w15:restartNumberingAfterBreak="0">
    <w:nsid w:val="729348FD"/>
    <w:multiLevelType w:val="multilevel"/>
    <w:tmpl w:val="9D0A136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9500786">
    <w:abstractNumId w:val="2"/>
  </w:num>
  <w:num w:numId="2" w16cid:durableId="674839577">
    <w:abstractNumId w:val="0"/>
  </w:num>
  <w:num w:numId="3" w16cid:durableId="17524627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yean Kim">
    <w15:presenceInfo w15:providerId="AD" w15:userId="S::ska8@sfu.ca::c650f0a2-75ca-43b8-acc6-c6f506653f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79D"/>
    <w:rsid w:val="00082BF1"/>
    <w:rsid w:val="00086159"/>
    <w:rsid w:val="000E33F4"/>
    <w:rsid w:val="0040687E"/>
    <w:rsid w:val="00544332"/>
    <w:rsid w:val="00597AD0"/>
    <w:rsid w:val="006051A3"/>
    <w:rsid w:val="00643BA2"/>
    <w:rsid w:val="00680BCA"/>
    <w:rsid w:val="00A1486E"/>
    <w:rsid w:val="00AA0BFC"/>
    <w:rsid w:val="00B42199"/>
    <w:rsid w:val="00BA14BC"/>
    <w:rsid w:val="00D97922"/>
    <w:rsid w:val="00E115B4"/>
    <w:rsid w:val="00EA0752"/>
    <w:rsid w:val="00F3379D"/>
    <w:rsid w:val="00FB39E8"/>
    <w:rsid w:val="00FF33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52E2"/>
  <w15:docId w15:val="{C8E6AE8B-8071-4C5D-A7FC-66A768F2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ko-KR"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0F"/>
  </w:style>
  <w:style w:type="paragraph" w:styleId="Heading1">
    <w:name w:val="heading 1"/>
    <w:basedOn w:val="Normal"/>
    <w:next w:val="Normal"/>
    <w:qFormat/>
    <w:rsid w:val="00BC2136"/>
    <w:pPr>
      <w:keepNext/>
      <w:numPr>
        <w:numId w:val="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rPr>
      <w:noProof/>
    </w:rPr>
  </w:style>
  <w:style w:type="character" w:styleId="Hyperlink">
    <w:name w:val="Hyperlink"/>
    <w:basedOn w:val="DefaultParagraphFont"/>
    <w:uiPriority w:val="99"/>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NormalWeb">
    <w:name w:val="Normal (Web)"/>
    <w:basedOn w:val="Normal"/>
    <w:uiPriority w:val="99"/>
    <w:unhideWhenUsed/>
    <w:rsid w:val="00953EBB"/>
    <w:pPr>
      <w:spacing w:before="100" w:beforeAutospacing="1" w:after="100" w:afterAutospacing="1"/>
    </w:pPr>
    <w:rPr>
      <w:lang w:val="en-CA"/>
    </w:rPr>
  </w:style>
  <w:style w:type="character" w:styleId="CommentReference">
    <w:name w:val="annotation reference"/>
    <w:basedOn w:val="DefaultParagraphFont"/>
    <w:uiPriority w:val="99"/>
    <w:semiHidden/>
    <w:unhideWhenUsed/>
    <w:rsid w:val="005D2242"/>
    <w:rPr>
      <w:sz w:val="16"/>
      <w:szCs w:val="16"/>
    </w:rPr>
  </w:style>
  <w:style w:type="paragraph" w:styleId="CommentText">
    <w:name w:val="annotation text"/>
    <w:basedOn w:val="Normal"/>
    <w:link w:val="CommentTextChar"/>
    <w:uiPriority w:val="99"/>
    <w:semiHidden/>
    <w:unhideWhenUsed/>
    <w:rsid w:val="005D2242"/>
    <w:rPr>
      <w:sz w:val="20"/>
      <w:szCs w:val="20"/>
    </w:rPr>
  </w:style>
  <w:style w:type="character" w:customStyle="1" w:styleId="CommentTextChar">
    <w:name w:val="Comment Text Char"/>
    <w:basedOn w:val="DefaultParagraphFont"/>
    <w:link w:val="CommentText"/>
    <w:uiPriority w:val="99"/>
    <w:semiHidden/>
    <w:rsid w:val="005D2242"/>
  </w:style>
  <w:style w:type="paragraph" w:styleId="CommentSubject">
    <w:name w:val="annotation subject"/>
    <w:basedOn w:val="CommentText"/>
    <w:next w:val="CommentText"/>
    <w:link w:val="CommentSubjectChar"/>
    <w:uiPriority w:val="99"/>
    <w:semiHidden/>
    <w:unhideWhenUsed/>
    <w:rsid w:val="005D2242"/>
    <w:rPr>
      <w:b/>
      <w:bCs/>
    </w:rPr>
  </w:style>
  <w:style w:type="character" w:customStyle="1" w:styleId="CommentSubjectChar">
    <w:name w:val="Comment Subject Char"/>
    <w:basedOn w:val="CommentTextChar"/>
    <w:link w:val="CommentSubject"/>
    <w:uiPriority w:val="99"/>
    <w:semiHidden/>
    <w:rsid w:val="005D2242"/>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80BCA"/>
    <w:pPr>
      <w:ind w:leftChars="400" w:left="800"/>
    </w:pPr>
  </w:style>
  <w:style w:type="paragraph" w:styleId="Caption">
    <w:name w:val="caption"/>
    <w:basedOn w:val="Normal"/>
    <w:next w:val="Normal"/>
    <w:uiPriority w:val="35"/>
    <w:unhideWhenUsed/>
    <w:qFormat/>
    <w:rsid w:val="006051A3"/>
    <w:rPr>
      <w:b/>
      <w:bCs/>
      <w:sz w:val="20"/>
      <w:szCs w:val="20"/>
    </w:rPr>
  </w:style>
  <w:style w:type="character" w:styleId="UnresolvedMention">
    <w:name w:val="Unresolved Mention"/>
    <w:basedOn w:val="DefaultParagraphFont"/>
    <w:uiPriority w:val="99"/>
    <w:semiHidden/>
    <w:unhideWhenUsed/>
    <w:rsid w:val="00D97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1000research.com/posters/12-89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um4yGEOmrEbqgjuLpocr4dGQZw==">CgMxLjAaJwoBMBIiCiAIBCocCgtBQUFCVTR3MUhHVRAIGgtBQUFCVTR3MUhHVRonCgExEiIKIAgEKhwKC0FBQUJVNHcxSEdREAgaC0FBQUJVNHcxSEdRGicKATISIgogCAQqHAoLQUFBQlU0dzFIR1kQCBoLQUFBQlU0dzFIR1kaJwoBMxIiCiAIBCocCgtBQUFCVTR3MUhHTRAIGgtBQUFCVTR3MUhHTSLkAgoLQUFBQlU0dzFIR00SugIKC0FBQUJVNHcxSEdNEgtBQUFCVTR3MUhHTRonCgl0ZXh0L2h0bWwSGkxldOKAmXMgYXNrIElIRSBmb3IgYWR2aWNlIigKCnRleHQvcGxhaW4SGkxldOKAmXMgYXNrIElIRSBmb3IgYWR2aWNlKkMKClNveWVhbiBLaW0aNS8vc3NsLmdzdGF0aWMuY29tL2RvY3MvY29tbW9uL2JsdWVfc2lsaG91ZXR0ZTk2LTAucG5nMODZ+dCXMjjg2fnQlzJyRQoKU295ZWFuIEtpbRo3CjUvL3NzbC5nc3RhdGljLmNvbS9kb2NzL2NvbW1vbi9ibHVlX3NpbGhvdWV0dGU5Ni0wLnBuZ3gAiAEBmgEGCAAQABgAqgEcEhpMZXTigJlzIGFzayBJSEUgZm9yIGFkdmljZbABALgBARjg2fnQlzIg4Nn50JcyMABCCGtpeC5jbXQzItMDCgtBQUFCVTR3MUhHWRKpAwoLQUFBQlU0dzFIR1kSC0FBQUJVNHcxSEdZGkwKCXRleHQvaHRtbBI/SSBuZWVkIG1vcmUgdGhpbmtpbmcgaW4gdGhpcyBiYXNlZCBvbiBmb2N1cyBhcmVhcyBhbmQgdXNlIGNhc2VzIk0KCnRleHQvcGxhaW4SP0kgbmVlZCBtb3JlIHRoaW5raW5nIGluIHRoaXMgYmFzZWQgb24gZm9jdXMgYXJlYXMgYW5kIHVzZSBjYXNlcypDCgpTb3llYW4gS2ltGjUvL3NzbC5nc3RhdGljLmNvbS9kb2NzL2NvbW1vbi9ibHVlX3NpbGhvdWV0dGU5Ni0wLnBuZzDg2fnQlzI44Nn50JcyckUKClNveWVhbiBLaW0aNwo1Ly9zc2wuZ3N0YXRpYy5jb20vZG9jcy9jb21tb24vYmx1ZV9zaWxob3VldHRlOTYtMC5wbmd4AIgBAZoBBggAEAAYAKoBQRI/SSBuZWVkIG1vcmUgdGhpbmtpbmcgaW4gdGhpcyBiYXNlZCBvbiBmb2N1cyBhcmVhcyBhbmQgdXNlIGNhc2VzsAEAuAEBGODZ+dCXMiDg2fnQlzIwAEIIa2l4LmNtdDIi8AIKC0FBQUJVNHcxSEdVEsYCCgtBQUFCVTR3MUhHVRILQUFBQlU0dzFIR1UaKwoJdGV4dC9odG1sEh5QbGVhc2UgYWRkIHRoZSBrZXkgZm9jdXMgYXJlYXMiLAoKdGV4dC9wbGFpbhIeUGxlYXNlIGFkZCB0aGUga2V5IGZvY3VzIGFyZWFzKkMKClNveWVhbiBLaW0aNS8vc3NsLmdzdGF0aWMuY29tL2RvY3MvY29tbW9uL2JsdWVfc2lsaG91ZXR0ZTk2LTAucG5nMKCw8tCXMjigsPLQlzJyRQoKU295ZWFuIEtpbRo3CjUvL3NzbC5nc3RhdGljLmNvbS9kb2NzL2NvbW1vbi9ibHVlX3NpbGhvdWV0dGU5Ni0wLnBuZ3gAiAEBmgEGCAAQABgAqgEgEh5QbGVhc2UgYWRkIHRoZSBrZXkgZm9jdXMgYXJlYXOwAQC4AQEYoLDy0JcyIKCw8tCXMjAAQghraXguY210MCLqAgoLQUFBQlU0dzFIR1ESwAIKC0FBQUJVNHcxSEdREgtBQUFCVTR3MUhHURopCgl0ZXh0L2h0bWwSHFNoYWxsIHdlIGluY2x1ZGUgTVBDIG9yIFBTST8iKgoKdGV4dC9wbGFpbhIcU2hhbGwgd2UgaW5jbHVkZSBNUEMgb3IgUFNJPypDCgpTb3llYW4gS2ltGjUvL3NzbC5nc3RhdGljLmNvbS9kb2NzL2NvbW1vbi9ibHVlX3NpbGhvdWV0dGU5Ni0wLnBuZzCAhfbQlzI4gIX20JcyckUKClNveWVhbiBLaW0aNwo1Ly9zc2wuZ3N0YXRpYy5jb20vZG9jcy9jb21tb24vYmx1ZV9zaWxob3VldHRlOTYtMC5wbmd4AIgBAZoBBggAEAAYAKoBHhIcU2hhbGwgd2UgaW5jbHVkZSBNUEMgb3IgUFNJP7ABALgBARiAhfbQlzIggIX20JcyMABCCGtpeC5jbXQxOAByITFxRm01cFlVQVRUU0s2cktZM3hlOFA0czNoTXIyYkd4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1121</Words>
  <Characters>6391</Characters>
  <Application>Microsoft Office Word</Application>
  <DocSecurity>0</DocSecurity>
  <Lines>53</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O'Donnell</dc:creator>
  <cp:lastModifiedBy>Soyean Kim</cp:lastModifiedBy>
  <cp:revision>3</cp:revision>
  <dcterms:created xsi:type="dcterms:W3CDTF">2024-11-13T17:09:00Z</dcterms:created>
  <dcterms:modified xsi:type="dcterms:W3CDTF">2024-11-13T17:11:00Z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FLCMData">
    <vt:lpwstr>BF596AFDD5189353DC331B598AA6C188385B125E5579C91C57006AEC4D1D883E63C4C18593518AEAE42CF881AAC53D4171ED27F717257AB9480488D28466DA41</vt:lpwstr>
  </property>
</Properties>
</file>