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3BF84E2A" w14:textId="77777777" w:rsidR="004706FB" w:rsidRDefault="00081849">
      <w:pPr>
        <w:pStyle w:val="Title"/>
      </w:pPr>
      <w:bookmarkStart w:id="0" w:name="_GoBack"/>
      <w:bookmarkEnd w:id="0"/>
      <w:r>
        <w:rPr>
          <w:rFonts w:ascii="Calibri" w:eastAsia="Calibri" w:hAnsi="Calibri" w:cs="Calibri"/>
        </w:rPr>
        <w:t>IHE Work Item Proposal (Detailed)</w:t>
      </w:r>
    </w:p>
    <w:p w14:paraId="3FDB843D" w14:textId="77777777" w:rsidR="004706FB" w:rsidRDefault="00081849">
      <w:pPr>
        <w:pStyle w:val="Heading1"/>
        <w:numPr>
          <w:ilvl w:val="0"/>
          <w:numId w:val="2"/>
        </w:numPr>
        <w:ind w:hanging="360"/>
        <w:rPr>
          <w:rFonts w:ascii="Calibri" w:eastAsia="Calibri" w:hAnsi="Calibri" w:cs="Calibri"/>
          <w:sz w:val="24"/>
          <w:szCs w:val="24"/>
        </w:rPr>
      </w:pPr>
      <w:r>
        <w:rPr>
          <w:rFonts w:ascii="Calibri" w:eastAsia="Calibri" w:hAnsi="Calibri" w:cs="Calibri"/>
        </w:rPr>
        <w:t xml:space="preserve">Proposed Work Item: </w:t>
      </w:r>
      <w:r w:rsidR="00A30751">
        <w:rPr>
          <w:rFonts w:ascii="Calibri" w:eastAsia="Calibri" w:hAnsi="Calibri" w:cs="Calibri"/>
          <w:sz w:val="24"/>
          <w:szCs w:val="24"/>
        </w:rPr>
        <w:t>360X – Closed Loop Referrals</w:t>
      </w:r>
    </w:p>
    <w:p w14:paraId="636CEFF9" w14:textId="77777777" w:rsidR="004706FB" w:rsidRPr="00212BA2" w:rsidRDefault="00212BA2" w:rsidP="00212BA2">
      <w:pPr>
        <w:ind w:left="360"/>
        <w:rPr>
          <w:rFonts w:ascii="Calibri" w:eastAsia="Calibri" w:hAnsi="Calibri" w:cs="Calibri"/>
        </w:rPr>
      </w:pPr>
      <w:r w:rsidRPr="00212BA2">
        <w:rPr>
          <w:rFonts w:ascii="Calibri" w:eastAsia="Calibri" w:hAnsi="Calibri" w:cs="Calibri"/>
        </w:rPr>
        <w:t>Proposal Editor: Brett Andriesen, ONC</w:t>
      </w:r>
      <w:r>
        <w:rPr>
          <w:rFonts w:ascii="Calibri" w:eastAsia="Calibri" w:hAnsi="Calibri" w:cs="Calibri"/>
        </w:rPr>
        <w:br/>
      </w:r>
      <w:r w:rsidRPr="00212BA2">
        <w:rPr>
          <w:rFonts w:ascii="Calibri" w:eastAsia="Calibri" w:hAnsi="Calibri" w:cs="Calibri"/>
        </w:rPr>
        <w:t>Work item Editor: Rob Rose, Hans Buitendijk, Catherine Britton - Cerner; Vassil Peytchev - Epic; Tiffanie Hickman</w:t>
      </w:r>
      <w:r>
        <w:rPr>
          <w:rFonts w:ascii="Calibri" w:eastAsia="Calibri" w:hAnsi="Calibri" w:cs="Calibri"/>
        </w:rPr>
        <w:t xml:space="preserve"> – KHIN; Stephen Beller - NHDS </w:t>
      </w:r>
      <w:r>
        <w:rPr>
          <w:rFonts w:ascii="Calibri" w:eastAsia="Calibri" w:hAnsi="Calibri" w:cs="Calibri"/>
        </w:rPr>
        <w:br/>
        <w:t>Date: 9/26/2016</w:t>
      </w:r>
      <w:r>
        <w:rPr>
          <w:rFonts w:ascii="Calibri" w:eastAsia="Calibri" w:hAnsi="Calibri" w:cs="Calibri"/>
        </w:rPr>
        <w:br/>
        <w:t>Version: 1.0</w:t>
      </w:r>
      <w:r w:rsidRPr="00212BA2">
        <w:rPr>
          <w:rFonts w:ascii="Calibri" w:eastAsia="Calibri" w:hAnsi="Calibri" w:cs="Calibri"/>
        </w:rPr>
        <w:t>Domain: Patient Care Coordination</w:t>
      </w:r>
    </w:p>
    <w:p w14:paraId="653F1F29" w14:textId="77777777" w:rsidR="004706FB" w:rsidRDefault="00081849">
      <w:pPr>
        <w:ind w:left="360"/>
      </w:pPr>
      <w:r>
        <w:rPr>
          <w:rFonts w:ascii="Calibri" w:eastAsia="Calibri" w:hAnsi="Calibri" w:cs="Calibri"/>
          <w:b/>
          <w:sz w:val="28"/>
          <w:szCs w:val="28"/>
        </w:rPr>
        <w:t>Summary</w:t>
      </w:r>
    </w:p>
    <w:p w14:paraId="419B63D3" w14:textId="13E17F81" w:rsidR="005A7032" w:rsidRDefault="005A7032">
      <w:pPr>
        <w:ind w:left="360"/>
        <w:rPr>
          <w:rFonts w:ascii="Calibri" w:eastAsia="Calibri" w:hAnsi="Calibri" w:cs="Calibri"/>
        </w:rPr>
      </w:pPr>
      <w:r>
        <w:rPr>
          <w:rFonts w:ascii="Calibri" w:eastAsia="Calibri" w:hAnsi="Calibri" w:cs="Calibri"/>
        </w:rPr>
        <w:t xml:space="preserve">Among providers with </w:t>
      </w:r>
      <w:r w:rsidR="001A332E">
        <w:rPr>
          <w:rFonts w:ascii="Calibri" w:eastAsia="Calibri" w:hAnsi="Calibri" w:cs="Calibri"/>
        </w:rPr>
        <w:t xml:space="preserve">heterogeneous </w:t>
      </w:r>
      <w:r>
        <w:rPr>
          <w:rFonts w:ascii="Calibri" w:eastAsia="Calibri" w:hAnsi="Calibri" w:cs="Calibri"/>
        </w:rPr>
        <w:t xml:space="preserve">EHR technology, tracking referrals and any necessary follow-up information is often difficult and time-consuming, and a large number of referrals </w:t>
      </w:r>
      <w:r w:rsidR="00D040CE">
        <w:rPr>
          <w:rFonts w:ascii="Calibri" w:eastAsia="Calibri" w:hAnsi="Calibri" w:cs="Calibri"/>
        </w:rPr>
        <w:t>not getting</w:t>
      </w:r>
      <w:r>
        <w:rPr>
          <w:rFonts w:ascii="Calibri" w:eastAsia="Calibri" w:hAnsi="Calibri" w:cs="Calibri"/>
        </w:rPr>
        <w:t xml:space="preserve"> completed. With 360X, both the referring provider and the specialist (or provider receiving the referral) have better information about the patient, and about the care they have received in order to close the referral loop and provide better care. </w:t>
      </w:r>
    </w:p>
    <w:p w14:paraId="01518021" w14:textId="2838EF8A" w:rsidR="005A7032" w:rsidRDefault="005A7032">
      <w:pPr>
        <w:ind w:left="360"/>
        <w:rPr>
          <w:rFonts w:ascii="Calibri" w:eastAsia="Calibri" w:hAnsi="Calibri" w:cs="Calibri"/>
        </w:rPr>
      </w:pPr>
      <w:r>
        <w:rPr>
          <w:rFonts w:ascii="Calibri" w:eastAsia="Calibri" w:hAnsi="Calibri" w:cs="Calibri"/>
        </w:rPr>
        <w:t xml:space="preserve">Using </w:t>
      </w:r>
      <w:r w:rsidR="001A332E">
        <w:rPr>
          <w:rFonts w:ascii="Calibri" w:eastAsia="Calibri" w:hAnsi="Calibri" w:cs="Calibri"/>
        </w:rPr>
        <w:t xml:space="preserve">XDM (and its </w:t>
      </w:r>
      <w:r>
        <w:rPr>
          <w:rFonts w:ascii="Calibri" w:eastAsia="Calibri" w:hAnsi="Calibri" w:cs="Calibri"/>
        </w:rPr>
        <w:t>Direct</w:t>
      </w:r>
      <w:r w:rsidR="001A332E">
        <w:rPr>
          <w:rFonts w:ascii="Calibri" w:eastAsia="Calibri" w:hAnsi="Calibri" w:cs="Calibri"/>
        </w:rPr>
        <w:t xml:space="preserve"> flavor)</w:t>
      </w:r>
      <w:r>
        <w:rPr>
          <w:rFonts w:ascii="Calibri" w:eastAsia="Calibri" w:hAnsi="Calibri" w:cs="Calibri"/>
        </w:rPr>
        <w:t>, C-CDA, and</w:t>
      </w:r>
      <w:r w:rsidR="001A332E">
        <w:rPr>
          <w:rFonts w:ascii="Calibri" w:eastAsia="Calibri" w:hAnsi="Calibri" w:cs="Calibri"/>
        </w:rPr>
        <w:t xml:space="preserve"> HL7 v2 messages</w:t>
      </w:r>
      <w:r>
        <w:rPr>
          <w:rFonts w:ascii="Calibri" w:eastAsia="Calibri" w:hAnsi="Calibri" w:cs="Calibri"/>
        </w:rPr>
        <w:t>, there are opportunities to greatly improve the referral process using existing standards that have a fa</w:t>
      </w:r>
      <w:r w:rsidR="001A332E">
        <w:rPr>
          <w:rFonts w:ascii="Calibri" w:eastAsia="Calibri" w:hAnsi="Calibri" w:cs="Calibri"/>
        </w:rPr>
        <w:t>i</w:t>
      </w:r>
      <w:r>
        <w:rPr>
          <w:rFonts w:ascii="Calibri" w:eastAsia="Calibri" w:hAnsi="Calibri" w:cs="Calibri"/>
        </w:rPr>
        <w:t>r</w:t>
      </w:r>
      <w:r w:rsidR="001A332E">
        <w:rPr>
          <w:rFonts w:ascii="Calibri" w:eastAsia="Calibri" w:hAnsi="Calibri" w:cs="Calibri"/>
        </w:rPr>
        <w:t>ly</w:t>
      </w:r>
      <w:r>
        <w:rPr>
          <w:rFonts w:ascii="Calibri" w:eastAsia="Calibri" w:hAnsi="Calibri" w:cs="Calibri"/>
        </w:rPr>
        <w:t xml:space="preserve"> low bar for implementation </w:t>
      </w:r>
      <w:r w:rsidR="001A332E">
        <w:rPr>
          <w:rFonts w:ascii="Calibri" w:eastAsia="Calibri" w:hAnsi="Calibri" w:cs="Calibri"/>
        </w:rPr>
        <w:t xml:space="preserve">within the USA. </w:t>
      </w:r>
    </w:p>
    <w:p w14:paraId="2EAD29BC" w14:textId="401435A7" w:rsidR="005A7032" w:rsidRDefault="005A7032">
      <w:pPr>
        <w:ind w:left="360"/>
        <w:rPr>
          <w:rFonts w:ascii="Calibri" w:eastAsia="Calibri" w:hAnsi="Calibri" w:cs="Calibri"/>
        </w:rPr>
      </w:pPr>
      <w:r>
        <w:rPr>
          <w:rFonts w:ascii="Calibri" w:eastAsia="Calibri" w:hAnsi="Calibri" w:cs="Calibri"/>
        </w:rPr>
        <w:t xml:space="preserve">The 360X implementation guide has already gone a long way in detailing how </w:t>
      </w:r>
      <w:r w:rsidR="001A332E">
        <w:rPr>
          <w:rFonts w:ascii="Calibri" w:eastAsia="Calibri" w:hAnsi="Calibri" w:cs="Calibri"/>
        </w:rPr>
        <w:t xml:space="preserve">these </w:t>
      </w:r>
      <w:r>
        <w:rPr>
          <w:rFonts w:ascii="Calibri" w:eastAsia="Calibri" w:hAnsi="Calibri" w:cs="Calibri"/>
        </w:rPr>
        <w:t xml:space="preserve">existing standards </w:t>
      </w:r>
      <w:r w:rsidR="001A332E">
        <w:rPr>
          <w:rFonts w:ascii="Calibri" w:eastAsia="Calibri" w:hAnsi="Calibri" w:cs="Calibri"/>
        </w:rPr>
        <w:t xml:space="preserve">and specifications </w:t>
      </w:r>
      <w:r>
        <w:rPr>
          <w:rFonts w:ascii="Calibri" w:eastAsia="Calibri" w:hAnsi="Calibri" w:cs="Calibri"/>
        </w:rPr>
        <w:t xml:space="preserve">could be implemented in a way that provides enhanced support to providers that refer patients to specialists. The work done by the group has also resolved many of the </w:t>
      </w:r>
      <w:r w:rsidR="00D040CE">
        <w:rPr>
          <w:rFonts w:ascii="Calibri" w:eastAsia="Calibri" w:hAnsi="Calibri" w:cs="Calibri"/>
        </w:rPr>
        <w:t xml:space="preserve">primary </w:t>
      </w:r>
      <w:r>
        <w:rPr>
          <w:rFonts w:ascii="Calibri" w:eastAsia="Calibri" w:hAnsi="Calibri" w:cs="Calibri"/>
        </w:rPr>
        <w:t xml:space="preserve">workflow issues, with clinical review </w:t>
      </w:r>
      <w:r w:rsidR="00D040CE">
        <w:rPr>
          <w:rFonts w:ascii="Calibri" w:eastAsia="Calibri" w:hAnsi="Calibri" w:cs="Calibri"/>
        </w:rPr>
        <w:t>and support by the American Medical Association (AMA)</w:t>
      </w:r>
      <w:r>
        <w:rPr>
          <w:rFonts w:ascii="Calibri" w:eastAsia="Calibri" w:hAnsi="Calibri" w:cs="Calibri"/>
        </w:rPr>
        <w:t xml:space="preserve">. </w:t>
      </w:r>
    </w:p>
    <w:p w14:paraId="4426F088" w14:textId="625B1F55" w:rsidR="004706FB" w:rsidRPr="00D8646F" w:rsidRDefault="005A7032" w:rsidP="005A7032">
      <w:pPr>
        <w:ind w:left="360"/>
        <w:rPr>
          <w:highlight w:val="yellow"/>
        </w:rPr>
      </w:pPr>
      <w:r>
        <w:rPr>
          <w:rFonts w:ascii="Calibri" w:eastAsia="Calibri" w:hAnsi="Calibri" w:cs="Calibri"/>
        </w:rPr>
        <w:t xml:space="preserve">Epic and Cerner have taken a leadership role in the development and completion of the Implementation Guide, with nearly twenty other vendors on the group’s listserv that are waiting for more concrete action and direction on the Implementation Guide before devoting additional resources toward development and implementation. Including 360X as </w:t>
      </w:r>
      <w:r w:rsidR="001A332E">
        <w:rPr>
          <w:rFonts w:ascii="Calibri" w:eastAsia="Calibri" w:hAnsi="Calibri" w:cs="Calibri"/>
        </w:rPr>
        <w:t xml:space="preserve">a national extension to the </w:t>
      </w:r>
      <w:r>
        <w:rPr>
          <w:rFonts w:ascii="Calibri" w:eastAsia="Calibri" w:hAnsi="Calibri" w:cs="Calibri"/>
        </w:rPr>
        <w:t xml:space="preserve">part of IHE International’s </w:t>
      </w:r>
      <w:r w:rsidR="001A332E">
        <w:rPr>
          <w:rFonts w:ascii="Calibri" w:eastAsia="Calibri" w:hAnsi="Calibri" w:cs="Calibri"/>
        </w:rPr>
        <w:t>PCC Technical Framework</w:t>
      </w:r>
      <w:r w:rsidR="00D040CE">
        <w:rPr>
          <w:rFonts w:ascii="Calibri" w:eastAsia="Calibri" w:hAnsi="Calibri" w:cs="Calibri"/>
        </w:rPr>
        <w:t xml:space="preserve"> </w:t>
      </w:r>
      <w:r>
        <w:rPr>
          <w:rFonts w:ascii="Calibri" w:eastAsia="Calibri" w:hAnsi="Calibri" w:cs="Calibri"/>
        </w:rPr>
        <w:t xml:space="preserve">body of work in this area will signal to the developer community that 360X has matured </w:t>
      </w:r>
      <w:r w:rsidR="0044237B">
        <w:rPr>
          <w:rFonts w:ascii="Calibri" w:eastAsia="Calibri" w:hAnsi="Calibri" w:cs="Calibri"/>
        </w:rPr>
        <w:t xml:space="preserve">enough that it will be worth expending resources to develop and include support for 360X as part of their products. </w:t>
      </w:r>
    </w:p>
    <w:p w14:paraId="24E67194" w14:textId="77777777" w:rsidR="004706FB" w:rsidRDefault="004706FB" w:rsidP="0044237B"/>
    <w:p w14:paraId="37A00698" w14:textId="77777777" w:rsidR="004706FB" w:rsidRDefault="00081849">
      <w:pPr>
        <w:pStyle w:val="Heading1"/>
        <w:numPr>
          <w:ilvl w:val="0"/>
          <w:numId w:val="2"/>
        </w:numPr>
        <w:ind w:hanging="360"/>
        <w:rPr>
          <w:rFonts w:ascii="Calibri" w:eastAsia="Calibri" w:hAnsi="Calibri" w:cs="Calibri"/>
        </w:rPr>
      </w:pPr>
      <w:r>
        <w:rPr>
          <w:rFonts w:ascii="Calibri" w:eastAsia="Calibri" w:hAnsi="Calibri" w:cs="Calibri"/>
        </w:rPr>
        <w:lastRenderedPageBreak/>
        <w:t>The Problem</w:t>
      </w:r>
    </w:p>
    <w:p w14:paraId="1129C82B" w14:textId="6322D71D" w:rsidR="00BE3295" w:rsidRDefault="00BE3295" w:rsidP="00BE3295">
      <w:pPr>
        <w:spacing w:before="0" w:after="0"/>
        <w:ind w:left="360"/>
        <w:rPr>
          <w:rFonts w:asciiTheme="minorHAnsi" w:hAnsiTheme="minorHAnsi" w:cstheme="minorHAnsi"/>
        </w:rPr>
      </w:pPr>
      <w:r>
        <w:rPr>
          <w:rFonts w:asciiTheme="minorHAnsi" w:hAnsiTheme="minorHAnsi" w:cstheme="minorHAnsi"/>
        </w:rPr>
        <w:t>Today when a primary care provider refers a patient to another provider or clinic for specialty care, the health IT utilized often does not provide adequate tools or information to ensure that both providers have sufficient information about the patient and about the</w:t>
      </w:r>
      <w:r w:rsidR="00D040CE">
        <w:rPr>
          <w:rFonts w:asciiTheme="minorHAnsi" w:hAnsiTheme="minorHAnsi" w:cstheme="minorHAnsi"/>
        </w:rPr>
        <w:t xml:space="preserve"> state of the</w:t>
      </w:r>
      <w:r>
        <w:rPr>
          <w:rFonts w:asciiTheme="minorHAnsi" w:hAnsiTheme="minorHAnsi" w:cstheme="minorHAnsi"/>
        </w:rPr>
        <w:t xml:space="preserve"> referral.  Recent studies indicate that roughly 60%-70% of referrals go unscheduled. When referrals are scheduled, 68% of specialists report not having received information from the patient’s primary care provider prior to the referral visit, and one-quarter of primary care providers do not receive timely information from specialists following the referral. Without effective health IT tools to facilitate communication and tracking of the referral process, providers resort to performing duplicate tests, and patients may miss out on vital care. </w:t>
      </w:r>
      <w:r>
        <w:rPr>
          <w:rFonts w:asciiTheme="minorHAnsi" w:hAnsiTheme="minorHAnsi" w:cstheme="minorHAnsi"/>
        </w:rPr>
        <w:br/>
      </w:r>
    </w:p>
    <w:p w14:paraId="0AF0D006" w14:textId="77777777" w:rsidR="00BE3295" w:rsidRPr="007A5515" w:rsidRDefault="00BE3295" w:rsidP="00BE3295">
      <w:pPr>
        <w:spacing w:before="0" w:after="0"/>
        <w:ind w:left="360"/>
        <w:rPr>
          <w:rFonts w:asciiTheme="minorHAnsi" w:hAnsiTheme="minorHAnsi" w:cstheme="minorHAnsi"/>
        </w:rPr>
      </w:pPr>
      <w:r>
        <w:rPr>
          <w:rFonts w:asciiTheme="minorHAnsi" w:hAnsiTheme="minorHAnsi" w:cstheme="minorHAnsi"/>
        </w:rPr>
        <w:t>In cases where the two providers are using the same EHR environment, there are often proprietary tools that health IT developers have implemented to support the referral process.  To more fully realize the benefits of health IT, t</w:t>
      </w:r>
      <w:r w:rsidRPr="007A5515">
        <w:rPr>
          <w:rFonts w:asciiTheme="minorHAnsi" w:hAnsiTheme="minorHAnsi" w:cstheme="minorHAnsi"/>
        </w:rPr>
        <w:t>he Office of the National Coordinator for Health Information Technology (ONC), through the State HIE Program, instantiated the 360Exchange (360X) Project</w:t>
      </w:r>
      <w:r>
        <w:rPr>
          <w:rFonts w:asciiTheme="minorHAnsi" w:hAnsiTheme="minorHAnsi" w:cstheme="minorHAnsi"/>
        </w:rPr>
        <w:t xml:space="preserve"> in 2012</w:t>
      </w:r>
      <w:r w:rsidRPr="007A5515">
        <w:rPr>
          <w:rFonts w:asciiTheme="minorHAnsi" w:hAnsiTheme="minorHAnsi" w:cstheme="minorHAnsi"/>
        </w:rPr>
        <w:t xml:space="preserve"> to accelerate interoperable health care data exchange in heterogeneous EHRT environments. In particular, the 360X Project seeks to enable providers—using existing health data exchange standards and technologies—to exchange:</w:t>
      </w:r>
    </w:p>
    <w:p w14:paraId="536924B6" w14:textId="77777777" w:rsidR="00BE3295" w:rsidRDefault="00BE3295" w:rsidP="00BE3295">
      <w:pPr>
        <w:pStyle w:val="ListParagraph"/>
        <w:numPr>
          <w:ilvl w:val="0"/>
          <w:numId w:val="5"/>
        </w:numPr>
        <w:spacing w:before="0" w:after="0"/>
        <w:rPr>
          <w:rFonts w:asciiTheme="minorHAnsi" w:hAnsiTheme="minorHAnsi" w:cstheme="minorHAnsi"/>
        </w:rPr>
      </w:pPr>
      <w:r w:rsidRPr="007A5515">
        <w:rPr>
          <w:rFonts w:asciiTheme="minorHAnsi" w:hAnsiTheme="minorHAnsi" w:cstheme="minorHAnsi"/>
        </w:rPr>
        <w:t>Referral requests containing relevant patient clinical information</w:t>
      </w:r>
    </w:p>
    <w:p w14:paraId="03B22C3E" w14:textId="77777777" w:rsidR="00BE3295" w:rsidRPr="004C541C" w:rsidRDefault="00BE3295" w:rsidP="00BE3295">
      <w:pPr>
        <w:pStyle w:val="ListParagraph"/>
        <w:numPr>
          <w:ilvl w:val="0"/>
          <w:numId w:val="5"/>
        </w:numPr>
        <w:spacing w:before="0" w:after="0"/>
        <w:rPr>
          <w:rFonts w:asciiTheme="minorHAnsi" w:hAnsiTheme="minorHAnsi" w:cstheme="minorHAnsi"/>
        </w:rPr>
      </w:pPr>
      <w:r>
        <w:rPr>
          <w:rFonts w:asciiTheme="minorHAnsi" w:hAnsiTheme="minorHAnsi" w:cstheme="minorHAnsi"/>
        </w:rPr>
        <w:t>Additional information during the episode of care as needed (optional)</w:t>
      </w:r>
    </w:p>
    <w:p w14:paraId="6557FCFF" w14:textId="77777777" w:rsidR="00BE3295" w:rsidRPr="007A5515" w:rsidRDefault="00BE3295" w:rsidP="00BE3295">
      <w:pPr>
        <w:pStyle w:val="ListParagraph"/>
        <w:numPr>
          <w:ilvl w:val="0"/>
          <w:numId w:val="5"/>
        </w:numPr>
        <w:spacing w:before="0" w:after="0"/>
        <w:rPr>
          <w:rFonts w:asciiTheme="minorHAnsi" w:hAnsiTheme="minorHAnsi" w:cstheme="minorHAnsi"/>
        </w:rPr>
      </w:pPr>
      <w:r w:rsidRPr="007A5515">
        <w:rPr>
          <w:rFonts w:asciiTheme="minorHAnsi" w:hAnsiTheme="minorHAnsi" w:cstheme="minorHAnsi"/>
        </w:rPr>
        <w:t>Result of referral containing relevant patient clinical information</w:t>
      </w:r>
    </w:p>
    <w:p w14:paraId="7B919E7F" w14:textId="77777777" w:rsidR="00BE3295" w:rsidRPr="007A5515" w:rsidRDefault="00BE3295" w:rsidP="00BE3295">
      <w:pPr>
        <w:spacing w:before="0" w:after="0"/>
        <w:ind w:left="360"/>
        <w:rPr>
          <w:rFonts w:asciiTheme="minorHAnsi" w:hAnsiTheme="minorHAnsi" w:cstheme="minorHAnsi"/>
        </w:rPr>
      </w:pPr>
      <w:r w:rsidRPr="007A5515">
        <w:rPr>
          <w:rFonts w:asciiTheme="minorHAnsi" w:hAnsiTheme="minorHAnsi" w:cstheme="minorHAnsi"/>
        </w:rPr>
        <w:t xml:space="preserve">from within their workflow, regardless of the </w:t>
      </w:r>
      <w:r>
        <w:rPr>
          <w:rFonts w:asciiTheme="minorHAnsi" w:hAnsiTheme="minorHAnsi" w:cstheme="minorHAnsi"/>
        </w:rPr>
        <w:t>EHR technology</w:t>
      </w:r>
      <w:r w:rsidRPr="007A5515">
        <w:rPr>
          <w:rFonts w:asciiTheme="minorHAnsi" w:hAnsiTheme="minorHAnsi" w:cstheme="minorHAnsi"/>
        </w:rPr>
        <w:t xml:space="preserve"> used. This will allow providers to communicate electronically the related patient information even if utilizing different EHRT/HIT. This scope indicates that the 360X Project includes defining the transport and content of:</w:t>
      </w:r>
    </w:p>
    <w:p w14:paraId="1C7A6281" w14:textId="77777777" w:rsidR="00BE3295" w:rsidRPr="007A5515" w:rsidRDefault="00BE3295" w:rsidP="00BE3295">
      <w:pPr>
        <w:pStyle w:val="ListParagraph"/>
        <w:numPr>
          <w:ilvl w:val="0"/>
          <w:numId w:val="6"/>
        </w:numPr>
        <w:spacing w:before="0" w:after="0"/>
        <w:rPr>
          <w:rFonts w:asciiTheme="minorHAnsi" w:hAnsiTheme="minorHAnsi" w:cstheme="minorHAnsi"/>
        </w:rPr>
      </w:pPr>
      <w:r w:rsidRPr="007A5515">
        <w:rPr>
          <w:rFonts w:asciiTheme="minorHAnsi" w:hAnsiTheme="minorHAnsi" w:cstheme="minorHAnsi"/>
        </w:rPr>
        <w:t>the Referral Request</w:t>
      </w:r>
    </w:p>
    <w:p w14:paraId="1E21A5CA" w14:textId="77777777" w:rsidR="00BE3295" w:rsidRPr="007A5515" w:rsidRDefault="00BE3295" w:rsidP="00BE3295">
      <w:pPr>
        <w:pStyle w:val="ListParagraph"/>
        <w:numPr>
          <w:ilvl w:val="0"/>
          <w:numId w:val="6"/>
        </w:numPr>
        <w:spacing w:before="0" w:after="0"/>
        <w:rPr>
          <w:rFonts w:asciiTheme="minorHAnsi" w:hAnsiTheme="minorHAnsi" w:cstheme="minorHAnsi"/>
        </w:rPr>
      </w:pPr>
      <w:r w:rsidRPr="007A5515">
        <w:rPr>
          <w:rFonts w:asciiTheme="minorHAnsi" w:hAnsiTheme="minorHAnsi" w:cstheme="minorHAnsi"/>
        </w:rPr>
        <w:t>the Result of Referral</w:t>
      </w:r>
    </w:p>
    <w:p w14:paraId="0BE1EF55" w14:textId="783D9220" w:rsidR="00BE3295" w:rsidRPr="007A5515" w:rsidRDefault="00D040CE" w:rsidP="00BE3295">
      <w:pPr>
        <w:pStyle w:val="ListParagraph"/>
        <w:numPr>
          <w:ilvl w:val="0"/>
          <w:numId w:val="6"/>
        </w:numPr>
        <w:spacing w:before="0" w:after="0"/>
        <w:rPr>
          <w:rFonts w:asciiTheme="minorHAnsi" w:hAnsiTheme="minorHAnsi" w:cstheme="minorHAnsi"/>
        </w:rPr>
      </w:pPr>
      <w:r>
        <w:rPr>
          <w:rFonts w:asciiTheme="minorHAnsi" w:hAnsiTheme="minorHAnsi" w:cstheme="minorHAnsi"/>
        </w:rPr>
        <w:t>A</w:t>
      </w:r>
      <w:r w:rsidR="00BE3295" w:rsidRPr="007A5515">
        <w:rPr>
          <w:rFonts w:asciiTheme="minorHAnsi" w:hAnsiTheme="minorHAnsi" w:cstheme="minorHAnsi"/>
        </w:rPr>
        <w:t>dditional information to facilitate the referral process and closing the loop.</w:t>
      </w:r>
    </w:p>
    <w:p w14:paraId="75A74526" w14:textId="77777777" w:rsidR="00BE3295" w:rsidRPr="00906C8A" w:rsidRDefault="00BE3295" w:rsidP="00BE3295">
      <w:pPr>
        <w:spacing w:before="0" w:after="0"/>
        <w:ind w:left="360"/>
        <w:rPr>
          <w:rFonts w:asciiTheme="minorHAnsi" w:hAnsiTheme="minorHAnsi" w:cstheme="minorHAnsi"/>
        </w:rPr>
      </w:pPr>
      <w:r>
        <w:rPr>
          <w:rFonts w:asciiTheme="minorHAnsi" w:hAnsiTheme="minorHAnsi" w:cstheme="minorHAnsi"/>
        </w:rPr>
        <w:br/>
      </w:r>
      <w:r w:rsidRPr="007A5515">
        <w:rPr>
          <w:rFonts w:asciiTheme="minorHAnsi" w:hAnsiTheme="minorHAnsi" w:cstheme="minorHAnsi"/>
        </w:rPr>
        <w:t xml:space="preserve">This scope is intended to enable improved care coordination between providers utilizing different </w:t>
      </w:r>
      <w:r>
        <w:rPr>
          <w:rFonts w:asciiTheme="minorHAnsi" w:hAnsiTheme="minorHAnsi" w:cstheme="minorHAnsi"/>
        </w:rPr>
        <w:t>EHR technology</w:t>
      </w:r>
      <w:r w:rsidRPr="007A5515">
        <w:rPr>
          <w:rFonts w:asciiTheme="minorHAnsi" w:hAnsiTheme="minorHAnsi" w:cstheme="minorHAnsi"/>
        </w:rPr>
        <w:t>.</w:t>
      </w:r>
    </w:p>
    <w:p w14:paraId="2D14C8A1" w14:textId="77777777" w:rsidR="004706FB" w:rsidRDefault="00081849">
      <w:pPr>
        <w:pStyle w:val="Heading1"/>
        <w:numPr>
          <w:ilvl w:val="0"/>
          <w:numId w:val="2"/>
        </w:numPr>
        <w:ind w:hanging="360"/>
        <w:rPr>
          <w:rFonts w:ascii="Calibri" w:eastAsia="Calibri" w:hAnsi="Calibri" w:cs="Calibri"/>
        </w:rPr>
      </w:pPr>
      <w:r>
        <w:rPr>
          <w:rFonts w:ascii="Calibri" w:eastAsia="Calibri" w:hAnsi="Calibri" w:cs="Calibri"/>
        </w:rPr>
        <w:t>Use Cases</w:t>
      </w:r>
    </w:p>
    <w:p w14:paraId="1054ECCC" w14:textId="77777777" w:rsidR="00D040CE" w:rsidRDefault="00D040CE" w:rsidP="00D040CE">
      <w:pPr>
        <w:pStyle w:val="NormalWeb"/>
        <w:ind w:left="360"/>
        <w:rPr>
          <w:rFonts w:ascii="Calibri" w:eastAsia="Times New Roman" w:hAnsi="Calibri"/>
          <w:color w:val="000000"/>
        </w:rPr>
      </w:pPr>
      <w:r>
        <w:rPr>
          <w:rFonts w:ascii="Calibri" w:hAnsi="Calibri"/>
          <w:color w:val="000000"/>
        </w:rPr>
        <w:t xml:space="preserve">Mr. Packton, age 58, presents to Dr. Allen's office on September 2nd, 2016, with complaints of shortness of breath. The patient has </w:t>
      </w:r>
      <w:r>
        <w:rPr>
          <w:rFonts w:ascii="Calibri" w:eastAsia="Times New Roman" w:hAnsi="Calibri"/>
          <w:color w:val="000000"/>
        </w:rPr>
        <w:t>a BMI of 30, no history of smoking, no complaints of chest pain, no physical signs of respiratory and cardiac problems, and a familial history of coronary artery disease.</w:t>
      </w:r>
    </w:p>
    <w:p w14:paraId="250D02F0" w14:textId="77777777" w:rsidR="00D040CE" w:rsidRDefault="00D040CE" w:rsidP="00D040CE">
      <w:pPr>
        <w:spacing w:before="0" w:after="0"/>
        <w:ind w:left="360"/>
        <w:rPr>
          <w:rFonts w:asciiTheme="minorHAnsi" w:hAnsiTheme="minorHAnsi" w:cstheme="minorHAnsi"/>
          <w:u w:val="single"/>
        </w:rPr>
      </w:pPr>
    </w:p>
    <w:p w14:paraId="7F3666D5" w14:textId="77777777" w:rsidR="00D040CE" w:rsidRPr="0098298C" w:rsidRDefault="00D040CE" w:rsidP="00D040CE">
      <w:pPr>
        <w:spacing w:before="0" w:after="0"/>
        <w:ind w:left="360"/>
        <w:rPr>
          <w:rFonts w:asciiTheme="minorHAnsi" w:hAnsiTheme="minorHAnsi" w:cstheme="minorHAnsi"/>
          <w:u w:val="single"/>
        </w:rPr>
      </w:pPr>
      <w:r w:rsidRPr="0098298C">
        <w:rPr>
          <w:rFonts w:asciiTheme="minorHAnsi" w:hAnsiTheme="minorHAnsi" w:cstheme="minorHAnsi"/>
          <w:u w:val="single"/>
        </w:rPr>
        <w:lastRenderedPageBreak/>
        <w:t xml:space="preserve">Without 360X: </w:t>
      </w:r>
    </w:p>
    <w:p w14:paraId="6513FBAD" w14:textId="77777777" w:rsidR="00D040CE" w:rsidRDefault="00D040CE" w:rsidP="00D040CE">
      <w:pPr>
        <w:spacing w:before="0" w:after="0"/>
        <w:ind w:left="360"/>
        <w:rPr>
          <w:rFonts w:asciiTheme="minorHAnsi" w:hAnsiTheme="minorHAnsi" w:cstheme="minorHAnsi"/>
        </w:rPr>
      </w:pPr>
      <w:r>
        <w:rPr>
          <w:rFonts w:asciiTheme="minorHAnsi" w:hAnsiTheme="minorHAnsi" w:cstheme="minorHAnsi"/>
        </w:rPr>
        <w:t xml:space="preserve">Dr. Allen, his PCP, orders a referral to a cardiologist, and sends a fax with Mr. Packton’s visit summary and a referral request to the cardiologist for further review. </w:t>
      </w:r>
    </w:p>
    <w:p w14:paraId="4AAB1741" w14:textId="77777777" w:rsidR="00D040CE" w:rsidRDefault="00D040CE" w:rsidP="00D040CE">
      <w:pPr>
        <w:spacing w:before="0" w:after="0"/>
        <w:ind w:left="360"/>
        <w:rPr>
          <w:rFonts w:asciiTheme="minorHAnsi" w:hAnsiTheme="minorHAnsi" w:cstheme="minorHAnsi"/>
        </w:rPr>
      </w:pPr>
    </w:p>
    <w:p w14:paraId="20A7F8AC" w14:textId="77777777" w:rsidR="00D040CE" w:rsidRDefault="00D040CE" w:rsidP="00D040CE">
      <w:pPr>
        <w:spacing w:before="0" w:after="0"/>
        <w:ind w:left="360"/>
        <w:rPr>
          <w:rFonts w:ascii="Calibri" w:hAnsi="Calibri"/>
        </w:rPr>
      </w:pPr>
      <w:r>
        <w:rPr>
          <w:rFonts w:asciiTheme="minorHAnsi" w:hAnsiTheme="minorHAnsi" w:cstheme="minorHAnsi"/>
        </w:rPr>
        <w:t>The cardiology practice receives the fax,</w:t>
      </w:r>
      <w:r>
        <w:rPr>
          <w:rFonts w:ascii="Calibri" w:hAnsi="Calibri"/>
        </w:rPr>
        <w:t xml:space="preserve"> calls Mr. Packton, and schedules an appointment for September 8th, 2016. Mr. Packton keeps the appointment with Dr. Brown, and unfortunately is diagnosed with coronary artery disease and a cardiac catheterization is scheduled. </w:t>
      </w:r>
    </w:p>
    <w:p w14:paraId="66FBB314" w14:textId="77777777" w:rsidR="00D040CE" w:rsidRDefault="00D040CE" w:rsidP="00D040CE">
      <w:pPr>
        <w:spacing w:before="0" w:after="0"/>
        <w:ind w:left="360"/>
        <w:rPr>
          <w:rFonts w:ascii="Calibri" w:hAnsi="Calibri"/>
        </w:rPr>
      </w:pPr>
    </w:p>
    <w:p w14:paraId="6111E2E0" w14:textId="77777777" w:rsidR="00D040CE" w:rsidRDefault="00D040CE" w:rsidP="00D040CE">
      <w:pPr>
        <w:spacing w:before="0" w:after="0"/>
        <w:ind w:left="360"/>
        <w:rPr>
          <w:rFonts w:asciiTheme="minorHAnsi" w:hAnsiTheme="minorHAnsi" w:cstheme="minorHAnsi"/>
        </w:rPr>
      </w:pPr>
      <w:r>
        <w:rPr>
          <w:rFonts w:ascii="Calibri" w:hAnsi="Calibri"/>
        </w:rPr>
        <w:t xml:space="preserve">Dr. Allen’s practice has no way to know whether the appointment was scheduled, whether Mr. Packton kept the appointment as scheduled, what the diagnosis was, or that a catheterization was scheduled. To track this information, members of Dr. Allen’s care team must expend resources to obtain this information, and remember to do so using manual processes. </w:t>
      </w:r>
      <w:r>
        <w:rPr>
          <w:rFonts w:ascii="Calibri" w:hAnsi="Calibri"/>
        </w:rPr>
        <w:br/>
      </w:r>
    </w:p>
    <w:p w14:paraId="063998B3" w14:textId="77777777" w:rsidR="00D040CE" w:rsidRPr="0098298C" w:rsidRDefault="00D040CE" w:rsidP="00D040CE">
      <w:pPr>
        <w:spacing w:before="0" w:after="0"/>
        <w:ind w:left="360"/>
        <w:rPr>
          <w:rFonts w:asciiTheme="minorHAnsi" w:hAnsiTheme="minorHAnsi" w:cstheme="minorHAnsi"/>
          <w:u w:val="single"/>
        </w:rPr>
      </w:pPr>
      <w:r w:rsidRPr="0098298C">
        <w:rPr>
          <w:rFonts w:asciiTheme="minorHAnsi" w:hAnsiTheme="minorHAnsi" w:cstheme="minorHAnsi"/>
          <w:u w:val="single"/>
        </w:rPr>
        <w:t>Using 360X:</w:t>
      </w:r>
      <w:r w:rsidRPr="0098298C">
        <w:rPr>
          <w:rFonts w:asciiTheme="minorHAnsi" w:hAnsiTheme="minorHAnsi" w:cstheme="minorHAnsi"/>
          <w:u w:val="single"/>
        </w:rPr>
        <w:br/>
      </w:r>
    </w:p>
    <w:p w14:paraId="6AA3BF06" w14:textId="77777777" w:rsidR="00D040CE" w:rsidRDefault="00D040CE" w:rsidP="00D040CE">
      <w:pPr>
        <w:pStyle w:val="NormalWeb"/>
        <w:ind w:left="360"/>
        <w:rPr>
          <w:rFonts w:ascii="Calibri" w:hAnsi="Calibri"/>
          <w:color w:val="000000"/>
        </w:rPr>
      </w:pPr>
      <w:r>
        <w:rPr>
          <w:rFonts w:ascii="Calibri" w:hAnsi="Calibri"/>
          <w:color w:val="000000"/>
        </w:rPr>
        <w:t>Dr. Allen, his PCP, orders a referral to a cardiologist, stating the clinical question as “Determine the origin of Mr. Packton’s shortness of breath”. Based on the practice's workflows and the PCP's system's handling of referrals, a referral package is created, which contains:</w:t>
      </w:r>
    </w:p>
    <w:p w14:paraId="26E44BA2" w14:textId="77777777" w:rsidR="00D040CE" w:rsidRDefault="00D040CE" w:rsidP="00D040CE">
      <w:pPr>
        <w:numPr>
          <w:ilvl w:val="0"/>
          <w:numId w:val="9"/>
        </w:numPr>
        <w:spacing w:before="100" w:beforeAutospacing="1" w:after="100" w:afterAutospacing="1"/>
        <w:ind w:left="1080"/>
        <w:rPr>
          <w:rFonts w:ascii="Calibri" w:hAnsi="Calibri"/>
        </w:rPr>
      </w:pPr>
      <w:r>
        <w:rPr>
          <w:rFonts w:ascii="Calibri" w:hAnsi="Calibri"/>
        </w:rPr>
        <w:t>the above noted findings</w:t>
      </w:r>
    </w:p>
    <w:p w14:paraId="1F364265" w14:textId="77777777" w:rsidR="00D040CE" w:rsidRDefault="00D040CE" w:rsidP="00D040CE">
      <w:pPr>
        <w:numPr>
          <w:ilvl w:val="0"/>
          <w:numId w:val="9"/>
        </w:numPr>
        <w:spacing w:before="100" w:beforeAutospacing="1" w:after="100" w:afterAutospacing="1"/>
        <w:ind w:left="1080"/>
        <w:rPr>
          <w:rFonts w:ascii="Calibri" w:hAnsi="Calibri"/>
        </w:rPr>
      </w:pPr>
      <w:r>
        <w:rPr>
          <w:rFonts w:ascii="Calibri" w:hAnsi="Calibri"/>
        </w:rPr>
        <w:t>demographic information</w:t>
      </w:r>
    </w:p>
    <w:p w14:paraId="7F9DED89" w14:textId="77777777" w:rsidR="00D040CE" w:rsidRDefault="00D040CE" w:rsidP="00D040CE">
      <w:pPr>
        <w:numPr>
          <w:ilvl w:val="0"/>
          <w:numId w:val="9"/>
        </w:numPr>
        <w:spacing w:before="100" w:beforeAutospacing="1" w:after="100" w:afterAutospacing="1"/>
        <w:ind w:left="1080"/>
        <w:rPr>
          <w:rFonts w:ascii="Calibri" w:hAnsi="Calibri"/>
        </w:rPr>
      </w:pPr>
      <w:r>
        <w:rPr>
          <w:rFonts w:ascii="Calibri" w:hAnsi="Calibri"/>
        </w:rPr>
        <w:t xml:space="preserve">patient history </w:t>
      </w:r>
    </w:p>
    <w:p w14:paraId="68AEA098" w14:textId="77777777" w:rsidR="00D040CE" w:rsidRDefault="00D040CE" w:rsidP="00D040CE">
      <w:pPr>
        <w:numPr>
          <w:ilvl w:val="0"/>
          <w:numId w:val="9"/>
        </w:numPr>
        <w:spacing w:before="100" w:beforeAutospacing="1" w:after="100" w:afterAutospacing="1"/>
        <w:ind w:left="1080"/>
        <w:rPr>
          <w:rFonts w:ascii="Calibri" w:hAnsi="Calibri"/>
        </w:rPr>
      </w:pPr>
      <w:r>
        <w:rPr>
          <w:rFonts w:ascii="Calibri" w:hAnsi="Calibri"/>
        </w:rPr>
        <w:t xml:space="preserve">lab results  </w:t>
      </w:r>
    </w:p>
    <w:p w14:paraId="0E53E2EE" w14:textId="77777777" w:rsidR="00D040CE" w:rsidRDefault="00D040CE" w:rsidP="00D040CE">
      <w:pPr>
        <w:numPr>
          <w:ilvl w:val="0"/>
          <w:numId w:val="9"/>
        </w:numPr>
        <w:spacing w:before="100" w:beforeAutospacing="1" w:after="100" w:afterAutospacing="1"/>
        <w:ind w:left="1080"/>
        <w:rPr>
          <w:rFonts w:ascii="Calibri" w:hAnsi="Calibri"/>
        </w:rPr>
      </w:pPr>
      <w:r>
        <w:rPr>
          <w:rFonts w:ascii="Calibri" w:hAnsi="Calibri"/>
        </w:rPr>
        <w:t xml:space="preserve">patient insurance </w:t>
      </w:r>
    </w:p>
    <w:p w14:paraId="433573AA" w14:textId="77777777" w:rsidR="00D040CE" w:rsidRDefault="00D040CE" w:rsidP="00D040CE">
      <w:pPr>
        <w:pStyle w:val="NormalWeb"/>
        <w:ind w:left="360"/>
        <w:rPr>
          <w:rFonts w:ascii="Calibri" w:hAnsi="Calibri"/>
          <w:color w:val="000000"/>
        </w:rPr>
      </w:pPr>
      <w:r>
        <w:rPr>
          <w:rFonts w:ascii="Calibri" w:hAnsi="Calibri"/>
          <w:color w:val="000000"/>
        </w:rPr>
        <w:t xml:space="preserve">The referral request is sent to the cardiologist's practice. The cardiology practice receives the referral request, sends for and receives prior authorization, and based on the practice's workflows and their system's handling of referral requests, an affirmative response to the request is sent to Dr. Allen's practice. </w:t>
      </w:r>
    </w:p>
    <w:p w14:paraId="74A32B3A" w14:textId="77777777" w:rsidR="00D040CE" w:rsidRDefault="00D040CE" w:rsidP="00D040CE">
      <w:pPr>
        <w:pStyle w:val="NormalWeb"/>
        <w:ind w:left="360"/>
        <w:rPr>
          <w:rFonts w:ascii="Calibri" w:hAnsi="Calibri"/>
          <w:color w:val="000000"/>
        </w:rPr>
      </w:pPr>
      <w:r>
        <w:rPr>
          <w:rFonts w:ascii="Calibri" w:hAnsi="Calibri"/>
          <w:color w:val="000000"/>
        </w:rPr>
        <w:br/>
        <w:t xml:space="preserve">Dr. Brown's office at the cardiology practice calls Mr. Packton, and schedules an appointment on September 8th, 2016. Based on the practice's workflows and their system's handling of referral requests, a notification is sent of the appointment date/time to Dr. Allen. Mr. Packton keeps the appointment with Dr. Brown, and unfortunately he is diagnosed with coronary artery disease and a cardiac catheterization is scheduled. </w:t>
      </w:r>
      <w:r>
        <w:rPr>
          <w:rFonts w:ascii="Calibri" w:hAnsi="Calibri"/>
          <w:color w:val="000000"/>
        </w:rPr>
        <w:br/>
      </w:r>
    </w:p>
    <w:p w14:paraId="32BE548B" w14:textId="77777777" w:rsidR="00D040CE" w:rsidRDefault="00D040CE" w:rsidP="00D040CE">
      <w:pPr>
        <w:pStyle w:val="NormalWeb"/>
        <w:ind w:left="360"/>
        <w:rPr>
          <w:rFonts w:ascii="Calibri" w:hAnsi="Calibri"/>
          <w:color w:val="000000"/>
        </w:rPr>
      </w:pPr>
      <w:r>
        <w:rPr>
          <w:rFonts w:ascii="Calibri" w:hAnsi="Calibri"/>
          <w:color w:val="000000"/>
        </w:rPr>
        <w:t xml:space="preserve">Dr. Brown's initial consultation note is completed and it is sent to Dr. Allen, answering the clinical question and stating the date of the cardiac catheterization. After the catheterization is </w:t>
      </w:r>
      <w:r>
        <w:rPr>
          <w:rFonts w:ascii="Calibri" w:hAnsi="Calibri"/>
          <w:color w:val="000000"/>
        </w:rPr>
        <w:lastRenderedPageBreak/>
        <w:t>performed, the results are reviewed by Dr. Brown, and a final consultation note is sent to Dr. Allen, including a suggested plan of care. Dr. Allen reviews the consultation notes and closes the referral loop.</w:t>
      </w:r>
    </w:p>
    <w:p w14:paraId="51B50A69" w14:textId="77777777" w:rsidR="004706FB" w:rsidRDefault="00081849">
      <w:pPr>
        <w:pStyle w:val="Heading1"/>
        <w:numPr>
          <w:ilvl w:val="0"/>
          <w:numId w:val="2"/>
        </w:numPr>
        <w:ind w:hanging="360"/>
        <w:rPr>
          <w:rFonts w:ascii="Calibri" w:eastAsia="Calibri" w:hAnsi="Calibri" w:cs="Calibri"/>
        </w:rPr>
      </w:pPr>
      <w:r>
        <w:rPr>
          <w:rFonts w:ascii="Calibri" w:eastAsia="Calibri" w:hAnsi="Calibri" w:cs="Calibri"/>
        </w:rPr>
        <w:t>Standards &amp; Systems</w:t>
      </w:r>
    </w:p>
    <w:p w14:paraId="62F767D6" w14:textId="6D4D4A34" w:rsidR="00035E65" w:rsidRPr="00D040CE" w:rsidRDefault="00D040CE" w:rsidP="00D040CE">
      <w:pPr>
        <w:pStyle w:val="NormalWeb"/>
        <w:ind w:left="360"/>
        <w:rPr>
          <w:rFonts w:ascii="Calibri" w:hAnsi="Calibri"/>
          <w:color w:val="000000"/>
        </w:rPr>
      </w:pPr>
      <w:r w:rsidRPr="00D040CE">
        <w:rPr>
          <w:rFonts w:ascii="Calibri" w:hAnsi="Calibri"/>
          <w:color w:val="000000"/>
        </w:rPr>
        <w:t>T</w:t>
      </w:r>
      <w:r w:rsidR="00035E65" w:rsidRPr="00D040CE">
        <w:rPr>
          <w:rFonts w:ascii="Calibri" w:hAnsi="Calibri"/>
          <w:color w:val="000000"/>
        </w:rPr>
        <w:t>he implementation guide focuses on point to point exchanges between organizations using EHR Technology, as defined by the US regulations regarding Meaningful Use.</w:t>
      </w:r>
    </w:p>
    <w:p w14:paraId="7E6CD599" w14:textId="15A971A3" w:rsidR="00D040CE" w:rsidRPr="00574BAB" w:rsidRDefault="00574BAB" w:rsidP="00574BAB">
      <w:pPr>
        <w:pStyle w:val="NormalWeb"/>
        <w:ind w:left="360"/>
        <w:rPr>
          <w:rFonts w:ascii="Calibri" w:hAnsi="Calibri"/>
          <w:color w:val="000000"/>
        </w:rPr>
      </w:pPr>
      <w:r>
        <w:rPr>
          <w:rFonts w:ascii="Calibri" w:hAnsi="Calibri"/>
          <w:color w:val="000000"/>
        </w:rPr>
        <w:br/>
      </w:r>
      <w:r w:rsidR="00035E65" w:rsidRPr="00D040CE">
        <w:rPr>
          <w:rFonts w:ascii="Calibri" w:hAnsi="Calibri"/>
          <w:color w:val="000000"/>
        </w:rPr>
        <w:t>The standards used are:</w:t>
      </w:r>
      <w:r>
        <w:rPr>
          <w:rFonts w:ascii="Calibri" w:hAnsi="Calibri"/>
          <w:color w:val="000000"/>
        </w:rPr>
        <w:t xml:space="preserve"> </w:t>
      </w:r>
      <w:hyperlink r:id="rId7" w:history="1">
        <w:r w:rsidR="00D040CE" w:rsidRPr="00574BAB">
          <w:rPr>
            <w:rStyle w:val="Hyperlink"/>
            <w:rFonts w:asciiTheme="minorHAnsi" w:hAnsiTheme="minorHAnsi" w:cstheme="minorHAnsi"/>
          </w:rPr>
          <w:t>XDM</w:t>
        </w:r>
      </w:hyperlink>
      <w:r w:rsidR="00D040CE" w:rsidRPr="00574BAB">
        <w:rPr>
          <w:rFonts w:asciiTheme="minorHAnsi" w:hAnsiTheme="minorHAnsi" w:cstheme="minorHAnsi"/>
        </w:rPr>
        <w:t xml:space="preserve">; </w:t>
      </w:r>
      <w:hyperlink r:id="rId8" w:history="1">
        <w:r w:rsidR="00D040CE" w:rsidRPr="00574BAB">
          <w:rPr>
            <w:rStyle w:val="Hyperlink"/>
            <w:rFonts w:asciiTheme="minorHAnsi" w:hAnsiTheme="minorHAnsi" w:cstheme="minorHAnsi"/>
          </w:rPr>
          <w:t>XD Metadata</w:t>
        </w:r>
      </w:hyperlink>
      <w:r w:rsidR="00D040CE" w:rsidRPr="00574BAB">
        <w:rPr>
          <w:rFonts w:asciiTheme="minorHAnsi" w:hAnsiTheme="minorHAnsi" w:cstheme="minorHAnsi"/>
        </w:rPr>
        <w:t xml:space="preserve">; HL7 v2.x Messaging; HL7 C-CDA (Summary of Episode Note, Consultation Note, or Referral Note preferred); </w:t>
      </w:r>
      <w:hyperlink r:id="rId9" w:history="1">
        <w:r w:rsidR="00D040CE" w:rsidRPr="00574BAB">
          <w:rPr>
            <w:rStyle w:val="Hyperlink"/>
            <w:rFonts w:asciiTheme="minorHAnsi" w:hAnsiTheme="minorHAnsi" w:cstheme="minorHAnsi"/>
          </w:rPr>
          <w:t>Direct Applicability Statement</w:t>
        </w:r>
      </w:hyperlink>
      <w:r w:rsidR="00D040CE" w:rsidRPr="00574BAB">
        <w:rPr>
          <w:rFonts w:asciiTheme="minorHAnsi" w:hAnsiTheme="minorHAnsi" w:cstheme="minorHAnsi"/>
        </w:rPr>
        <w:t xml:space="preserve">; </w:t>
      </w:r>
      <w:hyperlink r:id="rId10" w:history="1">
        <w:r w:rsidR="00D040CE" w:rsidRPr="00574BAB">
          <w:rPr>
            <w:rStyle w:val="Hyperlink"/>
            <w:rFonts w:asciiTheme="minorHAnsi" w:hAnsiTheme="minorHAnsi" w:cstheme="minorHAnsi"/>
          </w:rPr>
          <w:t>XDR / XDM for Direct Messaging Specification</w:t>
        </w:r>
      </w:hyperlink>
      <w:r w:rsidR="00D040CE" w:rsidRPr="00574BAB">
        <w:rPr>
          <w:rFonts w:asciiTheme="minorHAnsi" w:hAnsiTheme="minorHAnsi" w:cstheme="minorHAnsi"/>
        </w:rPr>
        <w:t xml:space="preserve">; </w:t>
      </w:r>
    </w:p>
    <w:p w14:paraId="3B92F41D" w14:textId="77777777" w:rsidR="004706FB" w:rsidRDefault="00081849">
      <w:pPr>
        <w:pStyle w:val="Heading1"/>
        <w:numPr>
          <w:ilvl w:val="0"/>
          <w:numId w:val="2"/>
        </w:numPr>
        <w:ind w:hanging="360"/>
        <w:rPr>
          <w:rFonts w:ascii="Calibri" w:eastAsia="Calibri" w:hAnsi="Calibri" w:cs="Calibri"/>
        </w:rPr>
      </w:pPr>
      <w:r>
        <w:rPr>
          <w:rFonts w:ascii="Calibri" w:eastAsia="Calibri" w:hAnsi="Calibri" w:cs="Calibri"/>
        </w:rPr>
        <w:t>Technical Approach</w:t>
      </w:r>
    </w:p>
    <w:p w14:paraId="0FABC572" w14:textId="77777777" w:rsidR="004706FB" w:rsidRDefault="00081849">
      <w:pPr>
        <w:pStyle w:val="Heading2"/>
        <w:numPr>
          <w:ilvl w:val="1"/>
          <w:numId w:val="2"/>
        </w:numPr>
        <w:ind w:hanging="360"/>
        <w:contextualSpacing/>
        <w:rPr>
          <w:rFonts w:ascii="Calibri" w:eastAsia="Calibri" w:hAnsi="Calibri" w:cs="Calibri"/>
        </w:rPr>
      </w:pPr>
      <w:bookmarkStart w:id="1" w:name="_x6rrz6dnocfl" w:colFirst="0" w:colLast="0"/>
      <w:bookmarkEnd w:id="1"/>
      <w:r>
        <w:rPr>
          <w:rFonts w:ascii="Calibri" w:eastAsia="Calibri" w:hAnsi="Calibri" w:cs="Calibri"/>
        </w:rPr>
        <w:t>Assumptions and Constraints</w:t>
      </w:r>
    </w:p>
    <w:p w14:paraId="4BC24FC6" w14:textId="77777777" w:rsidR="004706FB" w:rsidRPr="00574BAB" w:rsidRDefault="00081849">
      <w:pPr>
        <w:ind w:left="720"/>
        <w:rPr>
          <w:rFonts w:ascii="Calibri" w:hAnsi="Calibri"/>
        </w:rPr>
      </w:pPr>
      <w:r w:rsidRPr="00574BAB">
        <w:rPr>
          <w:rFonts w:ascii="Calibri" w:hAnsi="Calibri"/>
        </w:rPr>
        <w:t>The technical approach is based on the following goals, assumptions, and constraints:</w:t>
      </w:r>
    </w:p>
    <w:p w14:paraId="787B42F5" w14:textId="77777777" w:rsidR="004706FB" w:rsidRPr="00574BAB" w:rsidRDefault="00081849">
      <w:pPr>
        <w:numPr>
          <w:ilvl w:val="0"/>
          <w:numId w:val="4"/>
        </w:numPr>
        <w:ind w:hanging="360"/>
        <w:contextualSpacing/>
        <w:rPr>
          <w:rFonts w:ascii="Calibri" w:hAnsi="Calibri"/>
        </w:rPr>
      </w:pPr>
      <w:r w:rsidRPr="00574BAB">
        <w:rPr>
          <w:rFonts w:ascii="Calibri" w:hAnsi="Calibri"/>
        </w:rPr>
        <w:t>The focus is on sharing clinical information between the referral initiator and the referral recipient.</w:t>
      </w:r>
    </w:p>
    <w:p w14:paraId="2BC49DA7" w14:textId="77777777" w:rsidR="004706FB" w:rsidRPr="00574BAB" w:rsidRDefault="00081849">
      <w:pPr>
        <w:numPr>
          <w:ilvl w:val="0"/>
          <w:numId w:val="4"/>
        </w:numPr>
        <w:ind w:hanging="360"/>
        <w:contextualSpacing/>
        <w:rPr>
          <w:rFonts w:ascii="Calibri" w:hAnsi="Calibri"/>
        </w:rPr>
      </w:pPr>
      <w:r w:rsidRPr="00574BAB">
        <w:rPr>
          <w:rFonts w:ascii="Calibri" w:hAnsi="Calibri"/>
        </w:rPr>
        <w:t>Whenever possible, maintain separation of concerns</w:t>
      </w:r>
    </w:p>
    <w:p w14:paraId="30E0D1D5" w14:textId="77777777" w:rsidR="004706FB" w:rsidRPr="00574BAB" w:rsidRDefault="00081849">
      <w:pPr>
        <w:numPr>
          <w:ilvl w:val="0"/>
          <w:numId w:val="4"/>
        </w:numPr>
        <w:ind w:hanging="360"/>
        <w:contextualSpacing/>
        <w:rPr>
          <w:rFonts w:ascii="Calibri" w:hAnsi="Calibri"/>
        </w:rPr>
      </w:pPr>
      <w:r w:rsidRPr="00574BAB">
        <w:rPr>
          <w:rFonts w:ascii="Calibri" w:hAnsi="Calibri"/>
        </w:rPr>
        <w:t>The technical approach needs to maximize the capabilities present in existing EHR technology investments in the US, as required by MU2, MU3, and subsequent regulations</w:t>
      </w:r>
    </w:p>
    <w:p w14:paraId="3BDE9AC4" w14:textId="77777777" w:rsidR="004706FB" w:rsidRPr="00574BAB" w:rsidRDefault="00081849">
      <w:pPr>
        <w:numPr>
          <w:ilvl w:val="0"/>
          <w:numId w:val="4"/>
        </w:numPr>
        <w:ind w:hanging="360"/>
        <w:contextualSpacing/>
        <w:rPr>
          <w:rFonts w:ascii="Calibri" w:hAnsi="Calibri"/>
        </w:rPr>
      </w:pPr>
      <w:r w:rsidRPr="00574BAB">
        <w:rPr>
          <w:rFonts w:ascii="Calibri" w:hAnsi="Calibri"/>
        </w:rPr>
        <w:t>The bar for participating in a 360X exchange should be as low as possible while providing the capability for future extensions in a gradual manner, without requiring major changes to the underlying technical approach.</w:t>
      </w:r>
    </w:p>
    <w:p w14:paraId="65E4287E" w14:textId="77777777" w:rsidR="004706FB" w:rsidRDefault="00081849">
      <w:pPr>
        <w:pStyle w:val="Heading2"/>
        <w:numPr>
          <w:ilvl w:val="1"/>
          <w:numId w:val="2"/>
        </w:numPr>
        <w:ind w:hanging="360"/>
        <w:contextualSpacing/>
        <w:rPr>
          <w:rFonts w:ascii="Calibri" w:eastAsia="Calibri" w:hAnsi="Calibri" w:cs="Calibri"/>
        </w:rPr>
      </w:pPr>
      <w:bookmarkStart w:id="2" w:name="_3wl19plgcoc3" w:colFirst="0" w:colLast="0"/>
      <w:bookmarkEnd w:id="2"/>
      <w:r>
        <w:rPr>
          <w:rFonts w:ascii="Calibri" w:eastAsia="Calibri" w:hAnsi="Calibri" w:cs="Calibri"/>
        </w:rPr>
        <w:t>State Transitions for the Referral Workflow</w:t>
      </w:r>
    </w:p>
    <w:p w14:paraId="7CF25B10" w14:textId="0328B845" w:rsidR="004706FB" w:rsidRPr="00574BAB" w:rsidRDefault="00081849">
      <w:pPr>
        <w:ind w:left="720"/>
        <w:rPr>
          <w:rFonts w:ascii="Calibri" w:hAnsi="Calibri"/>
        </w:rPr>
      </w:pPr>
      <w:r w:rsidRPr="00574BAB">
        <w:rPr>
          <w:rFonts w:ascii="Calibri" w:hAnsi="Calibri"/>
        </w:rPr>
        <w:t xml:space="preserve">The exchange of information between a Referral Initiator and a Referral Recipient can </w:t>
      </w:r>
      <w:r w:rsidR="00574BAB">
        <w:rPr>
          <w:rFonts w:ascii="Calibri" w:hAnsi="Calibri"/>
        </w:rPr>
        <w:t xml:space="preserve">be generalized in the following </w:t>
      </w:r>
      <w:r w:rsidRPr="00574BAB">
        <w:rPr>
          <w:rFonts w:ascii="Calibri" w:hAnsi="Calibri"/>
        </w:rPr>
        <w:t xml:space="preserve">state transition diagrams. One of the goals of the 360X specification is to allow the workflow, in the vast majority of its instantiations, to </w:t>
      </w:r>
      <w:r w:rsidR="00574BAB" w:rsidRPr="00574BAB">
        <w:rPr>
          <w:rFonts w:ascii="Calibri" w:hAnsi="Calibri"/>
        </w:rPr>
        <w:t>reach either</w:t>
      </w:r>
      <w:r w:rsidRPr="00574BAB">
        <w:rPr>
          <w:rFonts w:ascii="Calibri" w:hAnsi="Calibri"/>
        </w:rPr>
        <w:t xml:space="preserve"> a successful, or an exceptional state without the need of manual intervention. Manual interventions, however, cannot be avoided 100% of the time, and those rare cases are called out, and considered out of scope for the specification.</w:t>
      </w:r>
    </w:p>
    <w:p w14:paraId="02B85191" w14:textId="77777777" w:rsidR="00BC3297" w:rsidRDefault="00BC3297">
      <w:pPr>
        <w:ind w:left="720"/>
        <w:rPr>
          <w:rFonts w:ascii="Calibri" w:hAnsi="Calibri"/>
        </w:rPr>
      </w:pPr>
    </w:p>
    <w:p w14:paraId="741DDF1F" w14:textId="77777777" w:rsidR="00BC3297" w:rsidRDefault="00BC3297">
      <w:pPr>
        <w:ind w:left="720"/>
        <w:rPr>
          <w:rFonts w:ascii="Calibri" w:hAnsi="Calibri"/>
        </w:rPr>
      </w:pPr>
    </w:p>
    <w:p w14:paraId="789C673A" w14:textId="77777777" w:rsidR="004706FB" w:rsidRPr="00574BAB" w:rsidRDefault="00081849">
      <w:pPr>
        <w:ind w:left="720"/>
        <w:rPr>
          <w:rFonts w:ascii="Calibri" w:hAnsi="Calibri"/>
        </w:rPr>
      </w:pPr>
      <w:r w:rsidRPr="00574BAB">
        <w:rPr>
          <w:rFonts w:ascii="Calibri" w:hAnsi="Calibri"/>
        </w:rPr>
        <w:lastRenderedPageBreak/>
        <w:t>The state transitions from the point of view of the Referral Initiator are as follows:</w:t>
      </w:r>
    </w:p>
    <w:p w14:paraId="233103FF" w14:textId="77777777" w:rsidR="004706FB" w:rsidRDefault="00081849" w:rsidP="00D8646F">
      <w:pPr>
        <w:ind w:left="720"/>
      </w:pPr>
      <w:r>
        <w:rPr>
          <w:noProof/>
        </w:rPr>
        <w:drawing>
          <wp:inline distT="114300" distB="114300" distL="114300" distR="114300" wp14:anchorId="168F335C" wp14:editId="4C31DCD9">
            <wp:extent cx="6217920" cy="3986784"/>
            <wp:effectExtent l="0" t="0" r="0" b="0"/>
            <wp:docPr id="2" name="image03.png" descr="360X_State_Diagram_SPOV_20160429.png"/>
            <wp:cNvGraphicFramePr/>
            <a:graphic xmlns:a="http://schemas.openxmlformats.org/drawingml/2006/main">
              <a:graphicData uri="http://schemas.openxmlformats.org/drawingml/2006/picture">
                <pic:pic xmlns:pic="http://schemas.openxmlformats.org/drawingml/2006/picture">
                  <pic:nvPicPr>
                    <pic:cNvPr id="0" name="image03.png" descr="360X_State_Diagram_SPOV_20160429.png"/>
                    <pic:cNvPicPr preferRelativeResize="0"/>
                  </pic:nvPicPr>
                  <pic:blipFill>
                    <a:blip r:embed="rId11"/>
                    <a:srcRect/>
                    <a:stretch>
                      <a:fillRect/>
                    </a:stretch>
                  </pic:blipFill>
                  <pic:spPr>
                    <a:xfrm>
                      <a:off x="0" y="0"/>
                      <a:ext cx="6217920" cy="3986784"/>
                    </a:xfrm>
                    <a:prstGeom prst="rect">
                      <a:avLst/>
                    </a:prstGeom>
                    <a:ln/>
                  </pic:spPr>
                </pic:pic>
              </a:graphicData>
            </a:graphic>
          </wp:inline>
        </w:drawing>
      </w:r>
    </w:p>
    <w:p w14:paraId="6CD193FE" w14:textId="77777777" w:rsidR="00574BAB" w:rsidRDefault="00574BAB">
      <w:pPr>
        <w:ind w:left="720"/>
      </w:pPr>
    </w:p>
    <w:p w14:paraId="3F2768B7" w14:textId="77777777" w:rsidR="00574BAB" w:rsidRDefault="00574BAB">
      <w:pPr>
        <w:ind w:left="720"/>
      </w:pPr>
    </w:p>
    <w:p w14:paraId="65E90E9E" w14:textId="77777777" w:rsidR="00574BAB" w:rsidRDefault="00574BAB">
      <w:pPr>
        <w:ind w:left="720"/>
      </w:pPr>
    </w:p>
    <w:p w14:paraId="38E2B0F2" w14:textId="77777777" w:rsidR="00574BAB" w:rsidRDefault="00574BAB">
      <w:pPr>
        <w:ind w:left="720"/>
      </w:pPr>
    </w:p>
    <w:p w14:paraId="6BAAFCD1" w14:textId="77777777" w:rsidR="00574BAB" w:rsidRDefault="00574BAB">
      <w:pPr>
        <w:ind w:left="720"/>
      </w:pPr>
    </w:p>
    <w:p w14:paraId="19B1D404" w14:textId="77777777" w:rsidR="00574BAB" w:rsidRDefault="00574BAB">
      <w:pPr>
        <w:ind w:left="720"/>
      </w:pPr>
    </w:p>
    <w:p w14:paraId="561F5B1E" w14:textId="77777777" w:rsidR="00574BAB" w:rsidRDefault="00574BAB">
      <w:pPr>
        <w:ind w:left="720"/>
      </w:pPr>
    </w:p>
    <w:p w14:paraId="0BF77A8C" w14:textId="77777777" w:rsidR="00574BAB" w:rsidRDefault="00574BAB">
      <w:pPr>
        <w:ind w:left="720"/>
      </w:pPr>
    </w:p>
    <w:p w14:paraId="30250EDF" w14:textId="77777777" w:rsidR="00574BAB" w:rsidRDefault="00574BAB">
      <w:pPr>
        <w:ind w:left="720"/>
      </w:pPr>
    </w:p>
    <w:p w14:paraId="18B85BD4" w14:textId="77777777" w:rsidR="00574BAB" w:rsidRDefault="00574BAB">
      <w:pPr>
        <w:ind w:left="720"/>
      </w:pPr>
    </w:p>
    <w:p w14:paraId="73A78D2F" w14:textId="77777777" w:rsidR="00574BAB" w:rsidRDefault="00574BAB">
      <w:pPr>
        <w:ind w:left="720"/>
      </w:pPr>
    </w:p>
    <w:p w14:paraId="7DE0349D" w14:textId="77777777" w:rsidR="00574BAB" w:rsidRDefault="00574BAB">
      <w:pPr>
        <w:ind w:left="720"/>
      </w:pPr>
    </w:p>
    <w:p w14:paraId="2A732514" w14:textId="77777777" w:rsidR="004706FB" w:rsidRPr="00574BAB" w:rsidRDefault="00081849">
      <w:pPr>
        <w:ind w:left="720"/>
        <w:rPr>
          <w:rFonts w:asciiTheme="minorHAnsi" w:hAnsiTheme="minorHAnsi"/>
        </w:rPr>
      </w:pPr>
      <w:r w:rsidRPr="00574BAB">
        <w:rPr>
          <w:rFonts w:asciiTheme="minorHAnsi" w:hAnsiTheme="minorHAnsi"/>
        </w:rPr>
        <w:t>The same states, but with state transitions from the point of view of the Referral Recipient:</w:t>
      </w:r>
    </w:p>
    <w:p w14:paraId="1E624922" w14:textId="77777777" w:rsidR="004706FB" w:rsidRDefault="00081849">
      <w:pPr>
        <w:ind w:left="720"/>
      </w:pPr>
      <w:r>
        <w:rPr>
          <w:noProof/>
        </w:rPr>
        <w:drawing>
          <wp:inline distT="114300" distB="114300" distL="114300" distR="114300" wp14:anchorId="62B04DA9" wp14:editId="20A025B6">
            <wp:extent cx="6217920" cy="3987800"/>
            <wp:effectExtent l="0" t="0" r="0" b="0"/>
            <wp:docPr id="3" name="image05.png" descr="360X_State_Diagram_RPOV_20160429.png"/>
            <wp:cNvGraphicFramePr/>
            <a:graphic xmlns:a="http://schemas.openxmlformats.org/drawingml/2006/main">
              <a:graphicData uri="http://schemas.openxmlformats.org/drawingml/2006/picture">
                <pic:pic xmlns:pic="http://schemas.openxmlformats.org/drawingml/2006/picture">
                  <pic:nvPicPr>
                    <pic:cNvPr id="0" name="image05.png" descr="360X_State_Diagram_RPOV_20160429.png"/>
                    <pic:cNvPicPr preferRelativeResize="0"/>
                  </pic:nvPicPr>
                  <pic:blipFill>
                    <a:blip r:embed="rId12"/>
                    <a:srcRect/>
                    <a:stretch>
                      <a:fillRect/>
                    </a:stretch>
                  </pic:blipFill>
                  <pic:spPr>
                    <a:xfrm>
                      <a:off x="0" y="0"/>
                      <a:ext cx="6217920" cy="3987800"/>
                    </a:xfrm>
                    <a:prstGeom prst="rect">
                      <a:avLst/>
                    </a:prstGeom>
                    <a:ln/>
                  </pic:spPr>
                </pic:pic>
              </a:graphicData>
            </a:graphic>
          </wp:inline>
        </w:drawing>
      </w:r>
    </w:p>
    <w:p w14:paraId="3B9C612A" w14:textId="77777777" w:rsidR="004706FB" w:rsidRPr="00574BAB" w:rsidRDefault="00081849">
      <w:pPr>
        <w:ind w:left="720"/>
        <w:rPr>
          <w:rFonts w:asciiTheme="minorHAnsi" w:hAnsiTheme="minorHAnsi"/>
        </w:rPr>
      </w:pPr>
      <w:r w:rsidRPr="00574BAB">
        <w:rPr>
          <w:rFonts w:asciiTheme="minorHAnsi" w:hAnsiTheme="minorHAnsi"/>
        </w:rPr>
        <w:t>It is important to note that the specification is concerned with the transactions, which drive the transitions from state to state, and not with the states themselves. There are no specific requirements for how these states are to be externalized/displayed (if at all) within a given EHRT’s end user interface. For example, once a newly "Created" referral package has been sent to the Referral Recipient, it may be shown as "pending" in the Referral Initiator's EHRT and may be displayed in the work queue of the Referral Recipient 's EHRT as "new" or some other suitable status. In this way, the 360X implementation guide provides a mechanism by which disparate EHRT may infer the state/status of a referral based on prior messages while retaining the ability to integrate this flexibility into a given application's workflow.</w:t>
      </w:r>
    </w:p>
    <w:p w14:paraId="79484A7E" w14:textId="77777777" w:rsidR="004706FB" w:rsidRDefault="00081849">
      <w:pPr>
        <w:pStyle w:val="Heading2"/>
        <w:numPr>
          <w:ilvl w:val="1"/>
          <w:numId w:val="2"/>
        </w:numPr>
        <w:ind w:hanging="360"/>
        <w:contextualSpacing/>
        <w:rPr>
          <w:rFonts w:ascii="Calibri" w:eastAsia="Calibri" w:hAnsi="Calibri" w:cs="Calibri"/>
        </w:rPr>
      </w:pPr>
      <w:bookmarkStart w:id="3" w:name="_d1w5mh2obk6f" w:colFirst="0" w:colLast="0"/>
      <w:bookmarkEnd w:id="3"/>
      <w:r>
        <w:rPr>
          <w:rFonts w:ascii="Calibri" w:eastAsia="Calibri" w:hAnsi="Calibri" w:cs="Calibri"/>
        </w:rPr>
        <w:lastRenderedPageBreak/>
        <w:t>Transport</w:t>
      </w:r>
    </w:p>
    <w:p w14:paraId="655EB37D" w14:textId="77777777" w:rsidR="004706FB" w:rsidRPr="00574BAB" w:rsidRDefault="00081849">
      <w:pPr>
        <w:ind w:left="720"/>
        <w:rPr>
          <w:rFonts w:asciiTheme="minorHAnsi" w:hAnsiTheme="minorHAnsi"/>
        </w:rPr>
      </w:pPr>
      <w:r w:rsidRPr="00574BAB">
        <w:rPr>
          <w:rFonts w:asciiTheme="minorHAnsi" w:hAnsiTheme="minorHAnsi"/>
        </w:rPr>
        <w:t>The transport is based on the IHE ITI XDM profile, ZIP over Email option, and ZIP over Email Response option. The profile is further constrained according to the Direct Applicability Statement, and the XDR and XDM for Direct Messaging Specification.</w:t>
      </w:r>
    </w:p>
    <w:p w14:paraId="7D18BC04" w14:textId="77777777" w:rsidR="004706FB" w:rsidRPr="00574BAB" w:rsidRDefault="00081849">
      <w:pPr>
        <w:ind w:left="720"/>
        <w:rPr>
          <w:rFonts w:asciiTheme="minorHAnsi" w:hAnsiTheme="minorHAnsi"/>
        </w:rPr>
      </w:pPr>
      <w:r w:rsidRPr="00574BAB">
        <w:rPr>
          <w:rFonts w:asciiTheme="minorHAnsi" w:hAnsiTheme="minorHAnsi"/>
        </w:rPr>
        <w:t>The choice of transport was made based on the requirement that any certified EHR Technology product in the US must support the Direct Applicability Statement, and there are no other transport mechanisms that are nationally required by MU2, MU3 or any existing subsequent regulations.</w:t>
      </w:r>
    </w:p>
    <w:p w14:paraId="38F1DE17" w14:textId="77777777" w:rsidR="004706FB" w:rsidRPr="00574BAB" w:rsidRDefault="00081849">
      <w:pPr>
        <w:ind w:left="720"/>
        <w:rPr>
          <w:rFonts w:asciiTheme="minorHAnsi" w:hAnsiTheme="minorHAnsi"/>
        </w:rPr>
      </w:pPr>
      <w:r w:rsidRPr="00574BAB">
        <w:rPr>
          <w:rFonts w:asciiTheme="minorHAnsi" w:hAnsiTheme="minorHAnsi"/>
        </w:rPr>
        <w:t>The use of XDM, and the Submission Set mechanism in particular, is necessary to provide the ability to group together multiple document entries for the purposes of the referral, thus facilitating the transmission of workflow data. The cross-profile metadata framework for document sharing also allows for further gradual extensions of the capabilities of 360X.</w:t>
      </w:r>
    </w:p>
    <w:p w14:paraId="31E1DCEB" w14:textId="77777777" w:rsidR="004706FB" w:rsidRDefault="00081849">
      <w:pPr>
        <w:pStyle w:val="Heading2"/>
        <w:numPr>
          <w:ilvl w:val="1"/>
          <w:numId w:val="2"/>
        </w:numPr>
        <w:ind w:hanging="360"/>
        <w:contextualSpacing/>
        <w:rPr>
          <w:rFonts w:ascii="Calibri" w:eastAsia="Calibri" w:hAnsi="Calibri" w:cs="Calibri"/>
        </w:rPr>
      </w:pPr>
      <w:bookmarkStart w:id="4" w:name="_pkt7ep2vayq" w:colFirst="0" w:colLast="0"/>
      <w:bookmarkEnd w:id="4"/>
      <w:r>
        <w:rPr>
          <w:rFonts w:ascii="Calibri" w:eastAsia="Calibri" w:hAnsi="Calibri" w:cs="Calibri"/>
        </w:rPr>
        <w:t>Contents of the Submission Set</w:t>
      </w:r>
    </w:p>
    <w:p w14:paraId="40E4DE91" w14:textId="77777777" w:rsidR="004706FB" w:rsidRPr="00574BAB" w:rsidRDefault="00081849">
      <w:pPr>
        <w:ind w:left="720"/>
        <w:rPr>
          <w:rFonts w:asciiTheme="minorHAnsi" w:hAnsiTheme="minorHAnsi"/>
        </w:rPr>
      </w:pPr>
      <w:r w:rsidRPr="00574BAB">
        <w:rPr>
          <w:rFonts w:asciiTheme="minorHAnsi" w:hAnsiTheme="minorHAnsi"/>
        </w:rPr>
        <w:t xml:space="preserve">We require the use of the HL7 C-CDA Implementation Guide, DSTU 2.1, for the exchange of clinical information, and small set of HL7 V2.x messages for the exchange of workflow information. These base specifications are constrained to reflect the needs of the 360X specification. </w:t>
      </w:r>
    </w:p>
    <w:p w14:paraId="273B272F" w14:textId="77777777" w:rsidR="004706FB" w:rsidRPr="00574BAB" w:rsidRDefault="00081849">
      <w:pPr>
        <w:ind w:left="720"/>
        <w:rPr>
          <w:rFonts w:asciiTheme="minorHAnsi" w:hAnsiTheme="minorHAnsi"/>
        </w:rPr>
      </w:pPr>
      <w:r w:rsidRPr="00574BAB">
        <w:rPr>
          <w:rFonts w:asciiTheme="minorHAnsi" w:hAnsiTheme="minorHAnsi"/>
        </w:rPr>
        <w:t>The choice of the C-CDA Implementation Guide was made based on the 2015 Edition of the ONC requirements supporting MU stage 3, which includes the electronic transmission of C-CDA documents. The 360X specification further describes the particular document types, and section and entry templates that support the exchange of clinical information as part of a referral workflow.</w:t>
      </w:r>
    </w:p>
    <w:p w14:paraId="235B0CFE" w14:textId="77777777" w:rsidR="004706FB" w:rsidRPr="00574BAB" w:rsidRDefault="00081849">
      <w:pPr>
        <w:ind w:left="720"/>
        <w:rPr>
          <w:rFonts w:asciiTheme="minorHAnsi" w:hAnsiTheme="minorHAnsi"/>
        </w:rPr>
      </w:pPr>
      <w:r w:rsidRPr="00574BAB">
        <w:rPr>
          <w:rFonts w:asciiTheme="minorHAnsi" w:hAnsiTheme="minorHAnsi"/>
        </w:rPr>
        <w:t>The choice of the HL7 v2.x messages was made based on the existing use of such messages to exchange laboratory orders and results between certified EHRT and reference lab systems. We believe that using a format and content that is already familiar to EHRT implementers provides a lower bar to implementing a 360X compliant solution, than using a format which is not as familiar.</w:t>
      </w:r>
    </w:p>
    <w:p w14:paraId="770E3AB8" w14:textId="77777777" w:rsidR="004706FB" w:rsidRDefault="00081849">
      <w:pPr>
        <w:pStyle w:val="Heading2"/>
        <w:numPr>
          <w:ilvl w:val="1"/>
          <w:numId w:val="2"/>
        </w:numPr>
        <w:ind w:hanging="360"/>
        <w:contextualSpacing/>
        <w:rPr>
          <w:rFonts w:ascii="Calibri" w:eastAsia="Calibri" w:hAnsi="Calibri" w:cs="Calibri"/>
        </w:rPr>
      </w:pPr>
      <w:bookmarkStart w:id="5" w:name="_ub1zlq8u45ur" w:colFirst="0" w:colLast="0"/>
      <w:bookmarkEnd w:id="5"/>
      <w:r>
        <w:rPr>
          <w:rFonts w:ascii="Calibri" w:eastAsia="Calibri" w:hAnsi="Calibri" w:cs="Calibri"/>
        </w:rPr>
        <w:t>New Actors</w:t>
      </w:r>
    </w:p>
    <w:p w14:paraId="77EFABDD" w14:textId="77777777" w:rsidR="004706FB" w:rsidRPr="00574BAB" w:rsidRDefault="00081849">
      <w:pPr>
        <w:ind w:left="720"/>
        <w:rPr>
          <w:rFonts w:asciiTheme="minorHAnsi" w:hAnsiTheme="minorHAnsi"/>
        </w:rPr>
      </w:pPr>
      <w:r w:rsidRPr="00574BAB">
        <w:rPr>
          <w:rFonts w:asciiTheme="minorHAnsi" w:hAnsiTheme="minorHAnsi"/>
        </w:rPr>
        <w:t>The specification uses the following two actors to express the combined capabilities of transport, content creation, and content consumption functionality:</w:t>
      </w:r>
    </w:p>
    <w:tbl>
      <w:tblPr>
        <w:tblStyle w:val="a"/>
        <w:tblW w:w="8175"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5"/>
        <w:gridCol w:w="2955"/>
        <w:gridCol w:w="2955"/>
      </w:tblGrid>
      <w:tr w:rsidR="004706FB" w:rsidRPr="00574BAB" w14:paraId="0DED7A60" w14:textId="77777777">
        <w:tc>
          <w:tcPr>
            <w:tcW w:w="2265" w:type="dxa"/>
            <w:tcMar>
              <w:top w:w="100" w:type="dxa"/>
              <w:left w:w="100" w:type="dxa"/>
              <w:bottom w:w="100" w:type="dxa"/>
              <w:right w:w="100" w:type="dxa"/>
            </w:tcMar>
          </w:tcPr>
          <w:p w14:paraId="40A1236A" w14:textId="77777777" w:rsidR="004706FB" w:rsidRPr="00574BAB" w:rsidRDefault="00081849">
            <w:pPr>
              <w:widowControl w:val="0"/>
              <w:spacing w:before="0" w:after="0"/>
              <w:jc w:val="center"/>
              <w:rPr>
                <w:rFonts w:asciiTheme="minorHAnsi" w:hAnsiTheme="minorHAnsi"/>
              </w:rPr>
            </w:pPr>
            <w:r w:rsidRPr="00574BAB">
              <w:rPr>
                <w:rFonts w:asciiTheme="minorHAnsi" w:hAnsiTheme="minorHAnsi"/>
                <w:b/>
              </w:rPr>
              <w:t>Actor</w:t>
            </w:r>
          </w:p>
        </w:tc>
        <w:tc>
          <w:tcPr>
            <w:tcW w:w="2955" w:type="dxa"/>
            <w:tcMar>
              <w:top w:w="100" w:type="dxa"/>
              <w:left w:w="100" w:type="dxa"/>
              <w:bottom w:w="100" w:type="dxa"/>
              <w:right w:w="100" w:type="dxa"/>
            </w:tcMar>
          </w:tcPr>
          <w:p w14:paraId="00D8632B" w14:textId="77777777" w:rsidR="004706FB" w:rsidRPr="00574BAB" w:rsidRDefault="00081849">
            <w:pPr>
              <w:widowControl w:val="0"/>
              <w:spacing w:before="0" w:after="0"/>
              <w:jc w:val="center"/>
              <w:rPr>
                <w:rFonts w:asciiTheme="minorHAnsi" w:hAnsiTheme="minorHAnsi"/>
              </w:rPr>
            </w:pPr>
            <w:r w:rsidRPr="00574BAB">
              <w:rPr>
                <w:rFonts w:asciiTheme="minorHAnsi" w:hAnsiTheme="minorHAnsi"/>
                <w:b/>
              </w:rPr>
              <w:t>Role</w:t>
            </w:r>
          </w:p>
        </w:tc>
        <w:tc>
          <w:tcPr>
            <w:tcW w:w="2955" w:type="dxa"/>
            <w:tcMar>
              <w:top w:w="100" w:type="dxa"/>
              <w:left w:w="100" w:type="dxa"/>
              <w:bottom w:w="100" w:type="dxa"/>
              <w:right w:w="100" w:type="dxa"/>
            </w:tcMar>
          </w:tcPr>
          <w:p w14:paraId="08610AF1" w14:textId="77777777" w:rsidR="004706FB" w:rsidRPr="00574BAB" w:rsidRDefault="00081849">
            <w:pPr>
              <w:widowControl w:val="0"/>
              <w:spacing w:before="0" w:after="0"/>
              <w:jc w:val="center"/>
              <w:rPr>
                <w:rFonts w:asciiTheme="minorHAnsi" w:hAnsiTheme="minorHAnsi"/>
              </w:rPr>
            </w:pPr>
            <w:r w:rsidRPr="00574BAB">
              <w:rPr>
                <w:rFonts w:asciiTheme="minorHAnsi" w:hAnsiTheme="minorHAnsi"/>
                <w:b/>
              </w:rPr>
              <w:t>Grouping of IHE actors</w:t>
            </w:r>
          </w:p>
        </w:tc>
      </w:tr>
      <w:tr w:rsidR="004706FB" w:rsidRPr="00574BAB" w14:paraId="58AD01A2" w14:textId="77777777">
        <w:tc>
          <w:tcPr>
            <w:tcW w:w="2265" w:type="dxa"/>
            <w:tcMar>
              <w:top w:w="100" w:type="dxa"/>
              <w:left w:w="100" w:type="dxa"/>
              <w:bottom w:w="100" w:type="dxa"/>
              <w:right w:w="100" w:type="dxa"/>
            </w:tcMar>
          </w:tcPr>
          <w:p w14:paraId="6A7C640A" w14:textId="77777777" w:rsidR="004706FB" w:rsidRPr="00574BAB" w:rsidRDefault="00081849">
            <w:pPr>
              <w:rPr>
                <w:rFonts w:asciiTheme="minorHAnsi" w:hAnsiTheme="minorHAnsi"/>
              </w:rPr>
            </w:pPr>
            <w:r w:rsidRPr="00574BAB">
              <w:rPr>
                <w:rFonts w:asciiTheme="minorHAnsi" w:hAnsiTheme="minorHAnsi"/>
              </w:rPr>
              <w:lastRenderedPageBreak/>
              <w:t xml:space="preserve">Referral Initiator </w:t>
            </w:r>
          </w:p>
        </w:tc>
        <w:tc>
          <w:tcPr>
            <w:tcW w:w="2955" w:type="dxa"/>
            <w:tcMar>
              <w:top w:w="100" w:type="dxa"/>
              <w:left w:w="100" w:type="dxa"/>
              <w:bottom w:w="100" w:type="dxa"/>
              <w:right w:w="100" w:type="dxa"/>
            </w:tcMar>
          </w:tcPr>
          <w:p w14:paraId="4116CDCE" w14:textId="77777777" w:rsidR="004706FB" w:rsidRPr="00574BAB" w:rsidRDefault="00081849">
            <w:pPr>
              <w:widowControl w:val="0"/>
              <w:spacing w:before="0" w:after="0" w:line="276" w:lineRule="auto"/>
              <w:rPr>
                <w:rFonts w:asciiTheme="minorHAnsi" w:hAnsiTheme="minorHAnsi"/>
              </w:rPr>
            </w:pPr>
            <w:r w:rsidRPr="00574BAB">
              <w:rPr>
                <w:rFonts w:asciiTheme="minorHAnsi" w:hAnsiTheme="minorHAnsi"/>
              </w:rPr>
              <w:t>Source of referral</w:t>
            </w:r>
          </w:p>
        </w:tc>
        <w:tc>
          <w:tcPr>
            <w:tcW w:w="2955" w:type="dxa"/>
            <w:tcMar>
              <w:top w:w="100" w:type="dxa"/>
              <w:left w:w="100" w:type="dxa"/>
              <w:bottom w:w="100" w:type="dxa"/>
              <w:right w:w="100" w:type="dxa"/>
            </w:tcMar>
          </w:tcPr>
          <w:p w14:paraId="22E224DD" w14:textId="77777777" w:rsidR="004706FB" w:rsidRPr="00574BAB" w:rsidRDefault="00081849">
            <w:pPr>
              <w:widowControl w:val="0"/>
              <w:spacing w:before="0" w:after="0" w:line="276" w:lineRule="auto"/>
              <w:rPr>
                <w:rFonts w:asciiTheme="minorHAnsi" w:hAnsiTheme="minorHAnsi"/>
              </w:rPr>
            </w:pPr>
            <w:r w:rsidRPr="00574BAB">
              <w:rPr>
                <w:rFonts w:asciiTheme="minorHAnsi" w:hAnsiTheme="minorHAnsi"/>
              </w:rPr>
              <w:t>Portable Media Creator</w:t>
            </w:r>
            <w:r w:rsidRPr="00574BAB">
              <w:rPr>
                <w:rFonts w:asciiTheme="minorHAnsi" w:hAnsiTheme="minorHAnsi"/>
              </w:rPr>
              <w:br/>
              <w:t>Portable Media Importer</w:t>
            </w:r>
            <w:r w:rsidRPr="00574BAB">
              <w:rPr>
                <w:rFonts w:asciiTheme="minorHAnsi" w:hAnsiTheme="minorHAnsi"/>
              </w:rPr>
              <w:br/>
              <w:t>Content Creator</w:t>
            </w:r>
            <w:r w:rsidRPr="00574BAB">
              <w:rPr>
                <w:rFonts w:asciiTheme="minorHAnsi" w:hAnsiTheme="minorHAnsi"/>
              </w:rPr>
              <w:br/>
              <w:t>Content Consumer</w:t>
            </w:r>
          </w:p>
        </w:tc>
      </w:tr>
      <w:tr w:rsidR="004706FB" w:rsidRPr="00574BAB" w14:paraId="19865B89" w14:textId="77777777">
        <w:tc>
          <w:tcPr>
            <w:tcW w:w="2265" w:type="dxa"/>
            <w:tcMar>
              <w:top w:w="100" w:type="dxa"/>
              <w:left w:w="100" w:type="dxa"/>
              <w:bottom w:w="100" w:type="dxa"/>
              <w:right w:w="100" w:type="dxa"/>
            </w:tcMar>
          </w:tcPr>
          <w:p w14:paraId="00248B68" w14:textId="77777777" w:rsidR="004706FB" w:rsidRPr="00574BAB" w:rsidRDefault="00081849">
            <w:pPr>
              <w:widowControl w:val="0"/>
              <w:spacing w:before="0" w:after="0" w:line="276" w:lineRule="auto"/>
              <w:rPr>
                <w:rFonts w:asciiTheme="minorHAnsi" w:hAnsiTheme="minorHAnsi"/>
              </w:rPr>
            </w:pPr>
            <w:r w:rsidRPr="00574BAB">
              <w:rPr>
                <w:rFonts w:asciiTheme="minorHAnsi" w:hAnsiTheme="minorHAnsi"/>
              </w:rPr>
              <w:t>Referral Recipient</w:t>
            </w:r>
          </w:p>
        </w:tc>
        <w:tc>
          <w:tcPr>
            <w:tcW w:w="2955" w:type="dxa"/>
            <w:tcMar>
              <w:top w:w="100" w:type="dxa"/>
              <w:left w:w="100" w:type="dxa"/>
              <w:bottom w:w="100" w:type="dxa"/>
              <w:right w:w="100" w:type="dxa"/>
            </w:tcMar>
          </w:tcPr>
          <w:p w14:paraId="1504C94F" w14:textId="77777777" w:rsidR="004706FB" w:rsidRPr="00574BAB" w:rsidRDefault="00081849">
            <w:pPr>
              <w:widowControl w:val="0"/>
              <w:spacing w:before="0" w:after="0" w:line="276" w:lineRule="auto"/>
              <w:rPr>
                <w:rFonts w:asciiTheme="minorHAnsi" w:hAnsiTheme="minorHAnsi"/>
              </w:rPr>
            </w:pPr>
            <w:r w:rsidRPr="00574BAB">
              <w:rPr>
                <w:rFonts w:asciiTheme="minorHAnsi" w:hAnsiTheme="minorHAnsi"/>
              </w:rPr>
              <w:t>Provider of referral services</w:t>
            </w:r>
          </w:p>
        </w:tc>
        <w:tc>
          <w:tcPr>
            <w:tcW w:w="2955" w:type="dxa"/>
            <w:tcMar>
              <w:top w:w="100" w:type="dxa"/>
              <w:left w:w="100" w:type="dxa"/>
              <w:bottom w:w="100" w:type="dxa"/>
              <w:right w:w="100" w:type="dxa"/>
            </w:tcMar>
          </w:tcPr>
          <w:p w14:paraId="73AB9BD6" w14:textId="77777777" w:rsidR="004706FB" w:rsidRPr="00574BAB" w:rsidRDefault="00081849">
            <w:pPr>
              <w:widowControl w:val="0"/>
              <w:spacing w:before="0" w:after="0" w:line="276" w:lineRule="auto"/>
              <w:rPr>
                <w:rFonts w:asciiTheme="minorHAnsi" w:hAnsiTheme="minorHAnsi"/>
              </w:rPr>
            </w:pPr>
            <w:r w:rsidRPr="00574BAB">
              <w:rPr>
                <w:rFonts w:asciiTheme="minorHAnsi" w:hAnsiTheme="minorHAnsi"/>
              </w:rPr>
              <w:t>Portable Media Creator</w:t>
            </w:r>
            <w:r w:rsidRPr="00574BAB">
              <w:rPr>
                <w:rFonts w:asciiTheme="minorHAnsi" w:hAnsiTheme="minorHAnsi"/>
              </w:rPr>
              <w:br/>
              <w:t>Portable Media Importer</w:t>
            </w:r>
            <w:r w:rsidRPr="00574BAB">
              <w:rPr>
                <w:rFonts w:asciiTheme="minorHAnsi" w:hAnsiTheme="minorHAnsi"/>
              </w:rPr>
              <w:br/>
              <w:t>Content Creator</w:t>
            </w:r>
            <w:r w:rsidRPr="00574BAB">
              <w:rPr>
                <w:rFonts w:asciiTheme="minorHAnsi" w:hAnsiTheme="minorHAnsi"/>
              </w:rPr>
              <w:br/>
              <w:t>Content Consumer</w:t>
            </w:r>
          </w:p>
        </w:tc>
      </w:tr>
    </w:tbl>
    <w:p w14:paraId="527246F3" w14:textId="77777777" w:rsidR="004706FB" w:rsidRPr="00574BAB" w:rsidRDefault="00081849">
      <w:pPr>
        <w:ind w:left="720"/>
        <w:rPr>
          <w:rFonts w:asciiTheme="minorHAnsi" w:hAnsiTheme="minorHAnsi"/>
        </w:rPr>
      </w:pPr>
      <w:r w:rsidRPr="00574BAB">
        <w:rPr>
          <w:rFonts w:asciiTheme="minorHAnsi" w:hAnsiTheme="minorHAnsi"/>
        </w:rPr>
        <w:t>It is not clear whether this grouping of existing IHE actors requires the creation of new actors within the PCC technical framework, or if this can be just part of the national extension.</w:t>
      </w:r>
    </w:p>
    <w:p w14:paraId="0518AA41" w14:textId="77777777" w:rsidR="004706FB" w:rsidRDefault="00081849">
      <w:pPr>
        <w:pStyle w:val="Heading2"/>
        <w:numPr>
          <w:ilvl w:val="1"/>
          <w:numId w:val="2"/>
        </w:numPr>
        <w:ind w:hanging="360"/>
        <w:contextualSpacing/>
        <w:rPr>
          <w:rFonts w:ascii="Calibri" w:eastAsia="Calibri" w:hAnsi="Calibri" w:cs="Calibri"/>
        </w:rPr>
      </w:pPr>
      <w:bookmarkStart w:id="6" w:name="_s3jrd8c6l4lh" w:colFirst="0" w:colLast="0"/>
      <w:bookmarkEnd w:id="6"/>
      <w:r>
        <w:rPr>
          <w:rFonts w:ascii="Calibri" w:eastAsia="Calibri" w:hAnsi="Calibri" w:cs="Calibri"/>
        </w:rPr>
        <w:t>Existing Actors</w:t>
      </w:r>
    </w:p>
    <w:p w14:paraId="1E482827" w14:textId="77777777" w:rsidR="004706FB" w:rsidRPr="00574BAB" w:rsidRDefault="00081849">
      <w:pPr>
        <w:ind w:left="720"/>
        <w:rPr>
          <w:rFonts w:asciiTheme="minorHAnsi" w:hAnsiTheme="minorHAnsi"/>
        </w:rPr>
      </w:pPr>
      <w:r w:rsidRPr="00574BAB">
        <w:rPr>
          <w:rFonts w:asciiTheme="minorHAnsi" w:hAnsiTheme="minorHAnsi"/>
        </w:rPr>
        <w:t>See above</w:t>
      </w:r>
    </w:p>
    <w:p w14:paraId="51391DE8" w14:textId="77777777" w:rsidR="004706FB" w:rsidRDefault="00081849">
      <w:pPr>
        <w:pStyle w:val="Heading2"/>
        <w:numPr>
          <w:ilvl w:val="1"/>
          <w:numId w:val="2"/>
        </w:numPr>
        <w:ind w:hanging="360"/>
        <w:contextualSpacing/>
        <w:rPr>
          <w:rFonts w:ascii="Calibri" w:eastAsia="Calibri" w:hAnsi="Calibri" w:cs="Calibri"/>
        </w:rPr>
      </w:pPr>
      <w:bookmarkStart w:id="7" w:name="_htzdthbltzht" w:colFirst="0" w:colLast="0"/>
      <w:bookmarkEnd w:id="7"/>
      <w:r>
        <w:rPr>
          <w:rFonts w:ascii="Calibri" w:eastAsia="Calibri" w:hAnsi="Calibri" w:cs="Calibri"/>
        </w:rPr>
        <w:t>New Transactions</w:t>
      </w:r>
    </w:p>
    <w:p w14:paraId="173D40E6" w14:textId="77777777" w:rsidR="004706FB" w:rsidRPr="00574BAB" w:rsidRDefault="00081849">
      <w:pPr>
        <w:ind w:left="720"/>
        <w:rPr>
          <w:rFonts w:asciiTheme="minorHAnsi" w:hAnsiTheme="minorHAnsi"/>
        </w:rPr>
      </w:pPr>
      <w:r w:rsidRPr="00574BAB">
        <w:rPr>
          <w:rFonts w:asciiTheme="minorHAnsi" w:hAnsiTheme="minorHAnsi"/>
        </w:rPr>
        <w:t>The specification discusses the following transactions, both in terms of processing requirements, and in terms of content:</w:t>
      </w:r>
    </w:p>
    <w:p w14:paraId="23EF7573" w14:textId="77777777" w:rsidR="004706FB" w:rsidRPr="00574BAB" w:rsidRDefault="004706FB">
      <w:pPr>
        <w:ind w:left="720"/>
        <w:rPr>
          <w:rFonts w:asciiTheme="minorHAnsi" w:hAnsiTheme="minorHAnsi"/>
        </w:rPr>
      </w:pPr>
    </w:p>
    <w:tbl>
      <w:tblPr>
        <w:tblStyle w:val="a0"/>
        <w:tblW w:w="9075"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915"/>
        <w:gridCol w:w="3210"/>
        <w:gridCol w:w="2025"/>
        <w:gridCol w:w="915"/>
      </w:tblGrid>
      <w:tr w:rsidR="004706FB" w:rsidRPr="00574BAB" w14:paraId="049D113E" w14:textId="77777777">
        <w:tc>
          <w:tcPr>
            <w:tcW w:w="2010" w:type="dxa"/>
            <w:shd w:val="clear" w:color="auto" w:fill="CCCCCC"/>
            <w:tcMar>
              <w:top w:w="100" w:type="dxa"/>
              <w:left w:w="100" w:type="dxa"/>
              <w:bottom w:w="100" w:type="dxa"/>
              <w:right w:w="100" w:type="dxa"/>
            </w:tcMar>
          </w:tcPr>
          <w:p w14:paraId="3479719A" w14:textId="77777777" w:rsidR="004706FB" w:rsidRPr="00574BAB" w:rsidRDefault="00081849">
            <w:pPr>
              <w:widowControl w:val="0"/>
              <w:spacing w:before="0" w:after="0"/>
              <w:jc w:val="center"/>
              <w:rPr>
                <w:rFonts w:asciiTheme="minorHAnsi" w:hAnsiTheme="minorHAnsi"/>
              </w:rPr>
            </w:pPr>
            <w:r w:rsidRPr="00574BAB">
              <w:rPr>
                <w:rFonts w:asciiTheme="minorHAnsi" w:hAnsiTheme="minorHAnsi"/>
                <w:b/>
              </w:rPr>
              <w:t>Portable Media Creator</w:t>
            </w:r>
          </w:p>
        </w:tc>
        <w:tc>
          <w:tcPr>
            <w:tcW w:w="915" w:type="dxa"/>
            <w:shd w:val="clear" w:color="auto" w:fill="CCCCCC"/>
            <w:tcMar>
              <w:top w:w="100" w:type="dxa"/>
              <w:left w:w="100" w:type="dxa"/>
              <w:bottom w:w="100" w:type="dxa"/>
              <w:right w:w="100" w:type="dxa"/>
            </w:tcMar>
          </w:tcPr>
          <w:p w14:paraId="3207FCF5" w14:textId="77777777" w:rsidR="004706FB" w:rsidRPr="00574BAB" w:rsidRDefault="00081849">
            <w:pPr>
              <w:widowControl w:val="0"/>
              <w:spacing w:before="0" w:after="0"/>
              <w:jc w:val="center"/>
              <w:rPr>
                <w:rFonts w:asciiTheme="minorHAnsi" w:hAnsiTheme="minorHAnsi"/>
              </w:rPr>
            </w:pPr>
            <w:r w:rsidRPr="00574BAB">
              <w:rPr>
                <w:rFonts w:asciiTheme="minorHAnsi" w:hAnsiTheme="minorHAnsi"/>
                <w:b/>
              </w:rPr>
              <w:t>Action</w:t>
            </w:r>
          </w:p>
        </w:tc>
        <w:tc>
          <w:tcPr>
            <w:tcW w:w="3210" w:type="dxa"/>
            <w:shd w:val="clear" w:color="auto" w:fill="CCCCCC"/>
            <w:tcMar>
              <w:top w:w="100" w:type="dxa"/>
              <w:left w:w="100" w:type="dxa"/>
              <w:bottom w:w="100" w:type="dxa"/>
              <w:right w:w="100" w:type="dxa"/>
            </w:tcMar>
          </w:tcPr>
          <w:p w14:paraId="77801EF0" w14:textId="77777777" w:rsidR="004706FB" w:rsidRPr="00574BAB" w:rsidRDefault="00081849">
            <w:pPr>
              <w:widowControl w:val="0"/>
              <w:spacing w:before="0" w:after="0"/>
              <w:jc w:val="center"/>
              <w:rPr>
                <w:rFonts w:asciiTheme="minorHAnsi" w:hAnsiTheme="minorHAnsi"/>
              </w:rPr>
            </w:pPr>
            <w:r w:rsidRPr="00574BAB">
              <w:rPr>
                <w:rFonts w:asciiTheme="minorHAnsi" w:hAnsiTheme="minorHAnsi"/>
                <w:b/>
              </w:rPr>
              <w:t>Event / Transaction</w:t>
            </w:r>
          </w:p>
        </w:tc>
        <w:tc>
          <w:tcPr>
            <w:tcW w:w="2025" w:type="dxa"/>
            <w:shd w:val="clear" w:color="auto" w:fill="CCCCCC"/>
            <w:tcMar>
              <w:top w:w="100" w:type="dxa"/>
              <w:left w:w="100" w:type="dxa"/>
              <w:bottom w:w="100" w:type="dxa"/>
              <w:right w:w="100" w:type="dxa"/>
            </w:tcMar>
          </w:tcPr>
          <w:p w14:paraId="092FD886" w14:textId="77777777" w:rsidR="004706FB" w:rsidRPr="00574BAB" w:rsidRDefault="00081849">
            <w:pPr>
              <w:widowControl w:val="0"/>
              <w:spacing w:before="0" w:after="0"/>
              <w:jc w:val="center"/>
              <w:rPr>
                <w:rFonts w:asciiTheme="minorHAnsi" w:hAnsiTheme="minorHAnsi"/>
              </w:rPr>
            </w:pPr>
            <w:r w:rsidRPr="00574BAB">
              <w:rPr>
                <w:rFonts w:asciiTheme="minorHAnsi" w:hAnsiTheme="minorHAnsi"/>
                <w:b/>
              </w:rPr>
              <w:t>Portable Media Importer</w:t>
            </w:r>
          </w:p>
        </w:tc>
        <w:tc>
          <w:tcPr>
            <w:tcW w:w="915" w:type="dxa"/>
            <w:shd w:val="clear" w:color="auto" w:fill="CCCCCC"/>
            <w:tcMar>
              <w:top w:w="100" w:type="dxa"/>
              <w:left w:w="100" w:type="dxa"/>
              <w:bottom w:w="100" w:type="dxa"/>
              <w:right w:w="100" w:type="dxa"/>
            </w:tcMar>
          </w:tcPr>
          <w:p w14:paraId="0B923F8F" w14:textId="77777777" w:rsidR="004706FB" w:rsidRPr="00574BAB" w:rsidRDefault="00081849">
            <w:pPr>
              <w:widowControl w:val="0"/>
              <w:spacing w:before="0" w:after="0"/>
              <w:jc w:val="center"/>
              <w:rPr>
                <w:rFonts w:asciiTheme="minorHAnsi" w:hAnsiTheme="minorHAnsi"/>
              </w:rPr>
            </w:pPr>
            <w:r w:rsidRPr="00574BAB">
              <w:rPr>
                <w:rFonts w:asciiTheme="minorHAnsi" w:hAnsiTheme="minorHAnsi"/>
                <w:b/>
              </w:rPr>
              <w:t>Action</w:t>
            </w:r>
          </w:p>
        </w:tc>
      </w:tr>
      <w:tr w:rsidR="004706FB" w:rsidRPr="00574BAB" w14:paraId="0084CB59" w14:textId="77777777">
        <w:tc>
          <w:tcPr>
            <w:tcW w:w="2010" w:type="dxa"/>
            <w:tcMar>
              <w:top w:w="100" w:type="dxa"/>
              <w:left w:w="100" w:type="dxa"/>
              <w:bottom w:w="100" w:type="dxa"/>
              <w:right w:w="100" w:type="dxa"/>
            </w:tcMar>
          </w:tcPr>
          <w:p w14:paraId="18AB2528" w14:textId="77777777" w:rsidR="004706FB" w:rsidRPr="00574BAB" w:rsidRDefault="00081849">
            <w:pPr>
              <w:widowControl w:val="0"/>
              <w:spacing w:before="0" w:after="0"/>
              <w:rPr>
                <w:rFonts w:asciiTheme="minorHAnsi" w:hAnsiTheme="minorHAnsi"/>
              </w:rPr>
            </w:pPr>
            <w:r w:rsidRPr="00574BAB">
              <w:rPr>
                <w:rFonts w:asciiTheme="minorHAnsi" w:hAnsiTheme="minorHAnsi"/>
              </w:rPr>
              <w:t>Referral Initiator</w:t>
            </w:r>
          </w:p>
        </w:tc>
        <w:tc>
          <w:tcPr>
            <w:tcW w:w="915" w:type="dxa"/>
            <w:tcMar>
              <w:top w:w="100" w:type="dxa"/>
              <w:left w:w="100" w:type="dxa"/>
              <w:bottom w:w="100" w:type="dxa"/>
              <w:right w:w="100" w:type="dxa"/>
            </w:tcMar>
          </w:tcPr>
          <w:p w14:paraId="78BD3AC2" w14:textId="77777777" w:rsidR="004706FB" w:rsidRPr="00574BAB" w:rsidRDefault="00081849">
            <w:pPr>
              <w:widowControl w:val="0"/>
              <w:spacing w:before="0" w:after="0"/>
              <w:jc w:val="center"/>
              <w:rPr>
                <w:rFonts w:asciiTheme="minorHAnsi" w:hAnsiTheme="minorHAnsi"/>
              </w:rPr>
            </w:pPr>
            <w:r w:rsidRPr="00574BAB">
              <w:rPr>
                <w:rFonts w:asciiTheme="minorHAnsi" w:hAnsiTheme="minorHAnsi"/>
              </w:rPr>
              <w:t>R</w:t>
            </w:r>
          </w:p>
        </w:tc>
        <w:tc>
          <w:tcPr>
            <w:tcW w:w="3210" w:type="dxa"/>
            <w:tcMar>
              <w:top w:w="100" w:type="dxa"/>
              <w:left w:w="100" w:type="dxa"/>
              <w:bottom w:w="100" w:type="dxa"/>
              <w:right w:w="100" w:type="dxa"/>
            </w:tcMar>
          </w:tcPr>
          <w:p w14:paraId="0E840C68" w14:textId="77777777" w:rsidR="004706FB" w:rsidRPr="00574BAB" w:rsidRDefault="00081849">
            <w:pPr>
              <w:widowControl w:val="0"/>
              <w:spacing w:before="0" w:after="0"/>
              <w:rPr>
                <w:rFonts w:asciiTheme="minorHAnsi" w:hAnsiTheme="minorHAnsi"/>
              </w:rPr>
            </w:pPr>
            <w:r w:rsidRPr="00574BAB">
              <w:rPr>
                <w:rFonts w:asciiTheme="minorHAnsi" w:hAnsiTheme="minorHAnsi"/>
              </w:rPr>
              <w:t>Send Referral Request</w:t>
            </w:r>
          </w:p>
        </w:tc>
        <w:tc>
          <w:tcPr>
            <w:tcW w:w="2025" w:type="dxa"/>
            <w:tcMar>
              <w:top w:w="100" w:type="dxa"/>
              <w:left w:w="100" w:type="dxa"/>
              <w:bottom w:w="100" w:type="dxa"/>
              <w:right w:w="100" w:type="dxa"/>
            </w:tcMar>
          </w:tcPr>
          <w:p w14:paraId="7ADCA2DB" w14:textId="77777777" w:rsidR="004706FB" w:rsidRPr="00574BAB" w:rsidRDefault="00081849">
            <w:pPr>
              <w:widowControl w:val="0"/>
              <w:spacing w:before="0" w:after="0"/>
              <w:rPr>
                <w:rFonts w:asciiTheme="minorHAnsi" w:hAnsiTheme="minorHAnsi"/>
              </w:rPr>
            </w:pPr>
            <w:r w:rsidRPr="00574BAB">
              <w:rPr>
                <w:rFonts w:asciiTheme="minorHAnsi" w:hAnsiTheme="minorHAnsi"/>
              </w:rPr>
              <w:t>Referral Recipient</w:t>
            </w:r>
          </w:p>
        </w:tc>
        <w:tc>
          <w:tcPr>
            <w:tcW w:w="915" w:type="dxa"/>
            <w:tcMar>
              <w:top w:w="100" w:type="dxa"/>
              <w:left w:w="100" w:type="dxa"/>
              <w:bottom w:w="100" w:type="dxa"/>
              <w:right w:w="100" w:type="dxa"/>
            </w:tcMar>
          </w:tcPr>
          <w:p w14:paraId="7D60AAC9" w14:textId="77777777" w:rsidR="004706FB" w:rsidRPr="00574BAB" w:rsidRDefault="00081849">
            <w:pPr>
              <w:widowControl w:val="0"/>
              <w:spacing w:before="0" w:after="0"/>
              <w:jc w:val="center"/>
              <w:rPr>
                <w:rFonts w:asciiTheme="minorHAnsi" w:hAnsiTheme="minorHAnsi"/>
              </w:rPr>
            </w:pPr>
            <w:r w:rsidRPr="00574BAB">
              <w:rPr>
                <w:rFonts w:asciiTheme="minorHAnsi" w:hAnsiTheme="minorHAnsi"/>
              </w:rPr>
              <w:t>R</w:t>
            </w:r>
          </w:p>
        </w:tc>
      </w:tr>
      <w:tr w:rsidR="004706FB" w:rsidRPr="00574BAB" w14:paraId="3617BC41" w14:textId="77777777">
        <w:tc>
          <w:tcPr>
            <w:tcW w:w="2010" w:type="dxa"/>
            <w:tcMar>
              <w:top w:w="100" w:type="dxa"/>
              <w:left w:w="100" w:type="dxa"/>
              <w:bottom w:w="100" w:type="dxa"/>
              <w:right w:w="100" w:type="dxa"/>
            </w:tcMar>
          </w:tcPr>
          <w:p w14:paraId="0179BF39" w14:textId="77777777" w:rsidR="004706FB" w:rsidRPr="00574BAB" w:rsidRDefault="00081849">
            <w:pPr>
              <w:widowControl w:val="0"/>
              <w:spacing w:before="0" w:after="0"/>
              <w:rPr>
                <w:rFonts w:asciiTheme="minorHAnsi" w:hAnsiTheme="minorHAnsi"/>
              </w:rPr>
            </w:pPr>
            <w:r w:rsidRPr="00574BAB">
              <w:rPr>
                <w:rFonts w:asciiTheme="minorHAnsi" w:hAnsiTheme="minorHAnsi"/>
              </w:rPr>
              <w:t>Referral Recipient</w:t>
            </w:r>
          </w:p>
        </w:tc>
        <w:tc>
          <w:tcPr>
            <w:tcW w:w="915" w:type="dxa"/>
            <w:tcMar>
              <w:top w:w="100" w:type="dxa"/>
              <w:left w:w="100" w:type="dxa"/>
              <w:bottom w:w="100" w:type="dxa"/>
              <w:right w:w="100" w:type="dxa"/>
            </w:tcMar>
          </w:tcPr>
          <w:p w14:paraId="36A98F6D" w14:textId="77777777" w:rsidR="004706FB" w:rsidRPr="00574BAB" w:rsidRDefault="00081849">
            <w:pPr>
              <w:widowControl w:val="0"/>
              <w:spacing w:before="0" w:after="0"/>
              <w:jc w:val="center"/>
              <w:rPr>
                <w:rFonts w:asciiTheme="minorHAnsi" w:hAnsiTheme="minorHAnsi"/>
              </w:rPr>
            </w:pPr>
            <w:r w:rsidRPr="00574BAB">
              <w:rPr>
                <w:rFonts w:asciiTheme="minorHAnsi" w:hAnsiTheme="minorHAnsi"/>
              </w:rPr>
              <w:t>R</w:t>
            </w:r>
          </w:p>
        </w:tc>
        <w:tc>
          <w:tcPr>
            <w:tcW w:w="3210" w:type="dxa"/>
            <w:tcMar>
              <w:top w:w="100" w:type="dxa"/>
              <w:left w:w="100" w:type="dxa"/>
              <w:bottom w:w="100" w:type="dxa"/>
              <w:right w:w="100" w:type="dxa"/>
            </w:tcMar>
          </w:tcPr>
          <w:p w14:paraId="21F023E6" w14:textId="77777777" w:rsidR="004706FB" w:rsidRPr="00574BAB" w:rsidRDefault="00081849">
            <w:pPr>
              <w:widowControl w:val="0"/>
              <w:spacing w:before="0" w:after="0"/>
              <w:rPr>
                <w:rFonts w:asciiTheme="minorHAnsi" w:hAnsiTheme="minorHAnsi"/>
              </w:rPr>
            </w:pPr>
            <w:r w:rsidRPr="00574BAB">
              <w:rPr>
                <w:rFonts w:asciiTheme="minorHAnsi" w:hAnsiTheme="minorHAnsi"/>
              </w:rPr>
              <w:t>Send Acceptance (of Referral Request)</w:t>
            </w:r>
          </w:p>
        </w:tc>
        <w:tc>
          <w:tcPr>
            <w:tcW w:w="2025" w:type="dxa"/>
            <w:tcMar>
              <w:top w:w="100" w:type="dxa"/>
              <w:left w:w="100" w:type="dxa"/>
              <w:bottom w:w="100" w:type="dxa"/>
              <w:right w:w="100" w:type="dxa"/>
            </w:tcMar>
          </w:tcPr>
          <w:p w14:paraId="149DEAE0" w14:textId="77777777" w:rsidR="004706FB" w:rsidRPr="00574BAB" w:rsidRDefault="00081849">
            <w:pPr>
              <w:widowControl w:val="0"/>
              <w:spacing w:before="0" w:after="0"/>
              <w:rPr>
                <w:rFonts w:asciiTheme="minorHAnsi" w:hAnsiTheme="minorHAnsi"/>
              </w:rPr>
            </w:pPr>
            <w:r w:rsidRPr="00574BAB">
              <w:rPr>
                <w:rFonts w:asciiTheme="minorHAnsi" w:hAnsiTheme="minorHAnsi"/>
              </w:rPr>
              <w:t>Referral Initiator</w:t>
            </w:r>
          </w:p>
        </w:tc>
        <w:tc>
          <w:tcPr>
            <w:tcW w:w="915" w:type="dxa"/>
            <w:tcMar>
              <w:top w:w="100" w:type="dxa"/>
              <w:left w:w="100" w:type="dxa"/>
              <w:bottom w:w="100" w:type="dxa"/>
              <w:right w:w="100" w:type="dxa"/>
            </w:tcMar>
          </w:tcPr>
          <w:p w14:paraId="09484F52" w14:textId="77777777" w:rsidR="004706FB" w:rsidRPr="00574BAB" w:rsidRDefault="00081849">
            <w:pPr>
              <w:widowControl w:val="0"/>
              <w:spacing w:before="0" w:after="0"/>
              <w:jc w:val="center"/>
              <w:rPr>
                <w:rFonts w:asciiTheme="minorHAnsi" w:hAnsiTheme="minorHAnsi"/>
              </w:rPr>
            </w:pPr>
            <w:r w:rsidRPr="00574BAB">
              <w:rPr>
                <w:rFonts w:asciiTheme="minorHAnsi" w:hAnsiTheme="minorHAnsi"/>
              </w:rPr>
              <w:t>R</w:t>
            </w:r>
          </w:p>
        </w:tc>
      </w:tr>
      <w:tr w:rsidR="004706FB" w:rsidRPr="00574BAB" w14:paraId="63A97778" w14:textId="77777777">
        <w:tc>
          <w:tcPr>
            <w:tcW w:w="2010" w:type="dxa"/>
            <w:tcMar>
              <w:top w:w="100" w:type="dxa"/>
              <w:left w:w="100" w:type="dxa"/>
              <w:bottom w:w="100" w:type="dxa"/>
              <w:right w:w="100" w:type="dxa"/>
            </w:tcMar>
          </w:tcPr>
          <w:p w14:paraId="479DDDAF" w14:textId="77777777" w:rsidR="004706FB" w:rsidRPr="00574BAB" w:rsidRDefault="00081849">
            <w:pPr>
              <w:widowControl w:val="0"/>
              <w:spacing w:before="0" w:after="0"/>
              <w:rPr>
                <w:rFonts w:asciiTheme="minorHAnsi" w:hAnsiTheme="minorHAnsi"/>
              </w:rPr>
            </w:pPr>
            <w:r w:rsidRPr="00574BAB">
              <w:rPr>
                <w:rFonts w:asciiTheme="minorHAnsi" w:hAnsiTheme="minorHAnsi"/>
              </w:rPr>
              <w:t>Referral Recipient</w:t>
            </w:r>
          </w:p>
        </w:tc>
        <w:tc>
          <w:tcPr>
            <w:tcW w:w="915" w:type="dxa"/>
            <w:tcMar>
              <w:top w:w="100" w:type="dxa"/>
              <w:left w:w="100" w:type="dxa"/>
              <w:bottom w:w="100" w:type="dxa"/>
              <w:right w:w="100" w:type="dxa"/>
            </w:tcMar>
          </w:tcPr>
          <w:p w14:paraId="0E4E54C6" w14:textId="77777777" w:rsidR="004706FB" w:rsidRPr="00574BAB" w:rsidRDefault="00081849">
            <w:pPr>
              <w:widowControl w:val="0"/>
              <w:spacing w:before="0" w:after="0"/>
              <w:jc w:val="center"/>
              <w:rPr>
                <w:rFonts w:asciiTheme="minorHAnsi" w:hAnsiTheme="minorHAnsi"/>
              </w:rPr>
            </w:pPr>
            <w:r w:rsidRPr="00574BAB">
              <w:rPr>
                <w:rFonts w:asciiTheme="minorHAnsi" w:hAnsiTheme="minorHAnsi"/>
              </w:rPr>
              <w:t>R/C</w:t>
            </w:r>
          </w:p>
        </w:tc>
        <w:tc>
          <w:tcPr>
            <w:tcW w:w="3210" w:type="dxa"/>
            <w:tcMar>
              <w:top w:w="100" w:type="dxa"/>
              <w:left w:w="100" w:type="dxa"/>
              <w:bottom w:w="100" w:type="dxa"/>
              <w:right w:w="100" w:type="dxa"/>
            </w:tcMar>
          </w:tcPr>
          <w:p w14:paraId="6E16ED5E" w14:textId="77777777" w:rsidR="004706FB" w:rsidRPr="00574BAB" w:rsidRDefault="00081849">
            <w:pPr>
              <w:widowControl w:val="0"/>
              <w:spacing w:before="0" w:after="0"/>
              <w:rPr>
                <w:rFonts w:asciiTheme="minorHAnsi" w:hAnsiTheme="minorHAnsi"/>
              </w:rPr>
            </w:pPr>
            <w:r w:rsidRPr="00574BAB">
              <w:rPr>
                <w:rFonts w:asciiTheme="minorHAnsi" w:hAnsiTheme="minorHAnsi"/>
              </w:rPr>
              <w:t>Send Decline (of Referral Request)</w:t>
            </w:r>
          </w:p>
        </w:tc>
        <w:tc>
          <w:tcPr>
            <w:tcW w:w="2025" w:type="dxa"/>
            <w:tcMar>
              <w:top w:w="100" w:type="dxa"/>
              <w:left w:w="100" w:type="dxa"/>
              <w:bottom w:w="100" w:type="dxa"/>
              <w:right w:w="100" w:type="dxa"/>
            </w:tcMar>
          </w:tcPr>
          <w:p w14:paraId="009D2D42" w14:textId="77777777" w:rsidR="004706FB" w:rsidRPr="00574BAB" w:rsidRDefault="00081849">
            <w:pPr>
              <w:widowControl w:val="0"/>
              <w:spacing w:before="0" w:after="0"/>
              <w:rPr>
                <w:rFonts w:asciiTheme="minorHAnsi" w:hAnsiTheme="minorHAnsi"/>
              </w:rPr>
            </w:pPr>
            <w:r w:rsidRPr="00574BAB">
              <w:rPr>
                <w:rFonts w:asciiTheme="minorHAnsi" w:hAnsiTheme="minorHAnsi"/>
              </w:rPr>
              <w:t>Referral Initiator</w:t>
            </w:r>
          </w:p>
        </w:tc>
        <w:tc>
          <w:tcPr>
            <w:tcW w:w="915" w:type="dxa"/>
            <w:tcMar>
              <w:top w:w="100" w:type="dxa"/>
              <w:left w:w="100" w:type="dxa"/>
              <w:bottom w:w="100" w:type="dxa"/>
              <w:right w:w="100" w:type="dxa"/>
            </w:tcMar>
          </w:tcPr>
          <w:p w14:paraId="28DDE511" w14:textId="77777777" w:rsidR="004706FB" w:rsidRPr="00574BAB" w:rsidRDefault="00081849">
            <w:pPr>
              <w:widowControl w:val="0"/>
              <w:spacing w:before="0" w:after="0"/>
              <w:jc w:val="center"/>
              <w:rPr>
                <w:rFonts w:asciiTheme="minorHAnsi" w:hAnsiTheme="minorHAnsi"/>
              </w:rPr>
            </w:pPr>
            <w:r w:rsidRPr="00574BAB">
              <w:rPr>
                <w:rFonts w:asciiTheme="minorHAnsi" w:hAnsiTheme="minorHAnsi"/>
              </w:rPr>
              <w:t>E</w:t>
            </w:r>
          </w:p>
        </w:tc>
      </w:tr>
      <w:tr w:rsidR="004706FB" w:rsidRPr="00574BAB" w14:paraId="5AAB906E" w14:textId="77777777">
        <w:tc>
          <w:tcPr>
            <w:tcW w:w="2010" w:type="dxa"/>
            <w:tcMar>
              <w:top w:w="100" w:type="dxa"/>
              <w:left w:w="100" w:type="dxa"/>
              <w:bottom w:w="100" w:type="dxa"/>
              <w:right w:w="100" w:type="dxa"/>
            </w:tcMar>
          </w:tcPr>
          <w:p w14:paraId="77592812" w14:textId="77777777" w:rsidR="004706FB" w:rsidRPr="00574BAB" w:rsidRDefault="00081849">
            <w:pPr>
              <w:widowControl w:val="0"/>
              <w:spacing w:before="0" w:after="0"/>
              <w:rPr>
                <w:rFonts w:asciiTheme="minorHAnsi" w:hAnsiTheme="minorHAnsi"/>
              </w:rPr>
            </w:pPr>
            <w:r w:rsidRPr="00574BAB">
              <w:rPr>
                <w:rFonts w:asciiTheme="minorHAnsi" w:hAnsiTheme="minorHAnsi"/>
              </w:rPr>
              <w:t>Referral Recipient</w:t>
            </w:r>
          </w:p>
        </w:tc>
        <w:tc>
          <w:tcPr>
            <w:tcW w:w="915" w:type="dxa"/>
            <w:tcMar>
              <w:top w:w="100" w:type="dxa"/>
              <w:left w:w="100" w:type="dxa"/>
              <w:bottom w:w="100" w:type="dxa"/>
              <w:right w:w="100" w:type="dxa"/>
            </w:tcMar>
          </w:tcPr>
          <w:p w14:paraId="32632B3B" w14:textId="77777777" w:rsidR="004706FB" w:rsidRPr="00574BAB" w:rsidRDefault="00081849">
            <w:pPr>
              <w:widowControl w:val="0"/>
              <w:spacing w:before="0" w:after="0"/>
              <w:jc w:val="center"/>
              <w:rPr>
                <w:rFonts w:asciiTheme="minorHAnsi" w:hAnsiTheme="minorHAnsi"/>
              </w:rPr>
            </w:pPr>
            <w:r w:rsidRPr="00574BAB">
              <w:rPr>
                <w:rFonts w:asciiTheme="minorHAnsi" w:hAnsiTheme="minorHAnsi"/>
              </w:rPr>
              <w:t>R</w:t>
            </w:r>
          </w:p>
        </w:tc>
        <w:tc>
          <w:tcPr>
            <w:tcW w:w="3210" w:type="dxa"/>
            <w:tcMar>
              <w:top w:w="100" w:type="dxa"/>
              <w:left w:w="100" w:type="dxa"/>
              <w:bottom w:w="100" w:type="dxa"/>
              <w:right w:w="100" w:type="dxa"/>
            </w:tcMar>
          </w:tcPr>
          <w:p w14:paraId="217E5778" w14:textId="77777777" w:rsidR="004706FB" w:rsidRPr="00574BAB" w:rsidRDefault="00081849">
            <w:pPr>
              <w:widowControl w:val="0"/>
              <w:spacing w:before="0" w:after="0"/>
              <w:rPr>
                <w:rFonts w:asciiTheme="minorHAnsi" w:hAnsiTheme="minorHAnsi"/>
              </w:rPr>
            </w:pPr>
            <w:r w:rsidRPr="00574BAB">
              <w:rPr>
                <w:rFonts w:asciiTheme="minorHAnsi" w:hAnsiTheme="minorHAnsi"/>
              </w:rPr>
              <w:t>Send Referral Outcome</w:t>
            </w:r>
          </w:p>
        </w:tc>
        <w:tc>
          <w:tcPr>
            <w:tcW w:w="2025" w:type="dxa"/>
            <w:tcMar>
              <w:top w:w="100" w:type="dxa"/>
              <w:left w:w="100" w:type="dxa"/>
              <w:bottom w:w="100" w:type="dxa"/>
              <w:right w:w="100" w:type="dxa"/>
            </w:tcMar>
          </w:tcPr>
          <w:p w14:paraId="06EE52B1" w14:textId="77777777" w:rsidR="004706FB" w:rsidRPr="00574BAB" w:rsidRDefault="00081849">
            <w:pPr>
              <w:widowControl w:val="0"/>
              <w:spacing w:before="0" w:after="0"/>
              <w:rPr>
                <w:rFonts w:asciiTheme="minorHAnsi" w:hAnsiTheme="minorHAnsi"/>
              </w:rPr>
            </w:pPr>
            <w:r w:rsidRPr="00574BAB">
              <w:rPr>
                <w:rFonts w:asciiTheme="minorHAnsi" w:hAnsiTheme="minorHAnsi"/>
              </w:rPr>
              <w:t>Referral Initiator</w:t>
            </w:r>
          </w:p>
        </w:tc>
        <w:tc>
          <w:tcPr>
            <w:tcW w:w="915" w:type="dxa"/>
            <w:tcMar>
              <w:top w:w="100" w:type="dxa"/>
              <w:left w:w="100" w:type="dxa"/>
              <w:bottom w:w="100" w:type="dxa"/>
              <w:right w:w="100" w:type="dxa"/>
            </w:tcMar>
          </w:tcPr>
          <w:p w14:paraId="7FE6F756" w14:textId="77777777" w:rsidR="004706FB" w:rsidRPr="00574BAB" w:rsidRDefault="00081849">
            <w:pPr>
              <w:widowControl w:val="0"/>
              <w:spacing w:before="0" w:after="0"/>
              <w:jc w:val="center"/>
              <w:rPr>
                <w:rFonts w:asciiTheme="minorHAnsi" w:hAnsiTheme="minorHAnsi"/>
              </w:rPr>
            </w:pPr>
            <w:r w:rsidRPr="00574BAB">
              <w:rPr>
                <w:rFonts w:asciiTheme="minorHAnsi" w:hAnsiTheme="minorHAnsi"/>
              </w:rPr>
              <w:t>E</w:t>
            </w:r>
          </w:p>
        </w:tc>
      </w:tr>
      <w:tr w:rsidR="004706FB" w:rsidRPr="00574BAB" w14:paraId="76D4C0ED" w14:textId="77777777">
        <w:tc>
          <w:tcPr>
            <w:tcW w:w="2010" w:type="dxa"/>
            <w:tcMar>
              <w:top w:w="100" w:type="dxa"/>
              <w:left w:w="100" w:type="dxa"/>
              <w:bottom w:w="100" w:type="dxa"/>
              <w:right w:w="100" w:type="dxa"/>
            </w:tcMar>
          </w:tcPr>
          <w:p w14:paraId="02D0C546" w14:textId="77777777" w:rsidR="004706FB" w:rsidRPr="00574BAB" w:rsidRDefault="00081849">
            <w:pPr>
              <w:widowControl w:val="0"/>
              <w:spacing w:before="0" w:after="0"/>
              <w:rPr>
                <w:rFonts w:asciiTheme="minorHAnsi" w:hAnsiTheme="minorHAnsi"/>
              </w:rPr>
            </w:pPr>
            <w:r w:rsidRPr="00574BAB">
              <w:rPr>
                <w:rFonts w:asciiTheme="minorHAnsi" w:hAnsiTheme="minorHAnsi"/>
              </w:rPr>
              <w:t>Referral Initiator</w:t>
            </w:r>
          </w:p>
        </w:tc>
        <w:tc>
          <w:tcPr>
            <w:tcW w:w="915" w:type="dxa"/>
            <w:tcMar>
              <w:top w:w="100" w:type="dxa"/>
              <w:left w:w="100" w:type="dxa"/>
              <w:bottom w:w="100" w:type="dxa"/>
              <w:right w:w="100" w:type="dxa"/>
            </w:tcMar>
          </w:tcPr>
          <w:p w14:paraId="1E2CC4D4" w14:textId="77777777" w:rsidR="004706FB" w:rsidRPr="00574BAB" w:rsidRDefault="00081849">
            <w:pPr>
              <w:widowControl w:val="0"/>
              <w:spacing w:before="0" w:after="0"/>
              <w:jc w:val="center"/>
              <w:rPr>
                <w:rFonts w:asciiTheme="minorHAnsi" w:hAnsiTheme="minorHAnsi"/>
              </w:rPr>
            </w:pPr>
            <w:r w:rsidRPr="00574BAB">
              <w:rPr>
                <w:rFonts w:asciiTheme="minorHAnsi" w:hAnsiTheme="minorHAnsi"/>
              </w:rPr>
              <w:t>C</w:t>
            </w:r>
          </w:p>
        </w:tc>
        <w:tc>
          <w:tcPr>
            <w:tcW w:w="3210" w:type="dxa"/>
            <w:tcMar>
              <w:top w:w="100" w:type="dxa"/>
              <w:left w:w="100" w:type="dxa"/>
              <w:bottom w:w="100" w:type="dxa"/>
              <w:right w:w="100" w:type="dxa"/>
            </w:tcMar>
          </w:tcPr>
          <w:p w14:paraId="3687CDEA" w14:textId="77777777" w:rsidR="004706FB" w:rsidRPr="00574BAB" w:rsidRDefault="00081849">
            <w:pPr>
              <w:widowControl w:val="0"/>
              <w:spacing w:before="0" w:after="0"/>
              <w:rPr>
                <w:rFonts w:asciiTheme="minorHAnsi" w:hAnsiTheme="minorHAnsi"/>
              </w:rPr>
            </w:pPr>
            <w:r w:rsidRPr="00574BAB">
              <w:rPr>
                <w:rFonts w:asciiTheme="minorHAnsi" w:hAnsiTheme="minorHAnsi"/>
              </w:rPr>
              <w:t>Send Request for Cancellation</w:t>
            </w:r>
          </w:p>
        </w:tc>
        <w:tc>
          <w:tcPr>
            <w:tcW w:w="2025" w:type="dxa"/>
            <w:tcMar>
              <w:top w:w="100" w:type="dxa"/>
              <w:left w:w="100" w:type="dxa"/>
              <w:bottom w:w="100" w:type="dxa"/>
              <w:right w:w="100" w:type="dxa"/>
            </w:tcMar>
          </w:tcPr>
          <w:p w14:paraId="12F34CC6" w14:textId="77777777" w:rsidR="004706FB" w:rsidRPr="00574BAB" w:rsidRDefault="00081849">
            <w:pPr>
              <w:widowControl w:val="0"/>
              <w:spacing w:before="0" w:after="0"/>
              <w:rPr>
                <w:rFonts w:asciiTheme="minorHAnsi" w:hAnsiTheme="minorHAnsi"/>
              </w:rPr>
            </w:pPr>
            <w:r w:rsidRPr="00574BAB">
              <w:rPr>
                <w:rFonts w:asciiTheme="minorHAnsi" w:hAnsiTheme="minorHAnsi"/>
              </w:rPr>
              <w:t>Referral Recipient</w:t>
            </w:r>
          </w:p>
        </w:tc>
        <w:tc>
          <w:tcPr>
            <w:tcW w:w="915" w:type="dxa"/>
            <w:tcMar>
              <w:top w:w="100" w:type="dxa"/>
              <w:left w:w="100" w:type="dxa"/>
              <w:bottom w:w="100" w:type="dxa"/>
              <w:right w:w="100" w:type="dxa"/>
            </w:tcMar>
          </w:tcPr>
          <w:p w14:paraId="1AD4F557" w14:textId="77777777" w:rsidR="004706FB" w:rsidRPr="00574BAB" w:rsidRDefault="00081849">
            <w:pPr>
              <w:widowControl w:val="0"/>
              <w:spacing w:before="0" w:after="0"/>
              <w:jc w:val="center"/>
              <w:rPr>
                <w:rFonts w:asciiTheme="minorHAnsi" w:hAnsiTheme="minorHAnsi"/>
              </w:rPr>
            </w:pPr>
            <w:r w:rsidRPr="00574BAB">
              <w:rPr>
                <w:rFonts w:asciiTheme="minorHAnsi" w:hAnsiTheme="minorHAnsi"/>
              </w:rPr>
              <w:t>C</w:t>
            </w:r>
          </w:p>
        </w:tc>
      </w:tr>
      <w:tr w:rsidR="004706FB" w:rsidRPr="00574BAB" w14:paraId="630839B4" w14:textId="77777777">
        <w:tc>
          <w:tcPr>
            <w:tcW w:w="2010" w:type="dxa"/>
            <w:tcMar>
              <w:top w:w="100" w:type="dxa"/>
              <w:left w:w="100" w:type="dxa"/>
              <w:bottom w:w="100" w:type="dxa"/>
              <w:right w:w="100" w:type="dxa"/>
            </w:tcMar>
          </w:tcPr>
          <w:p w14:paraId="5AFA3863" w14:textId="77777777" w:rsidR="004706FB" w:rsidRPr="00574BAB" w:rsidRDefault="00081849">
            <w:pPr>
              <w:widowControl w:val="0"/>
              <w:spacing w:before="0" w:after="0"/>
              <w:rPr>
                <w:rFonts w:asciiTheme="minorHAnsi" w:hAnsiTheme="minorHAnsi"/>
              </w:rPr>
            </w:pPr>
            <w:r w:rsidRPr="00574BAB">
              <w:rPr>
                <w:rFonts w:asciiTheme="minorHAnsi" w:hAnsiTheme="minorHAnsi"/>
              </w:rPr>
              <w:t>Referral Recipient</w:t>
            </w:r>
          </w:p>
        </w:tc>
        <w:tc>
          <w:tcPr>
            <w:tcW w:w="915" w:type="dxa"/>
            <w:tcMar>
              <w:top w:w="100" w:type="dxa"/>
              <w:left w:w="100" w:type="dxa"/>
              <w:bottom w:w="100" w:type="dxa"/>
              <w:right w:w="100" w:type="dxa"/>
            </w:tcMar>
          </w:tcPr>
          <w:p w14:paraId="4C520435" w14:textId="77777777" w:rsidR="004706FB" w:rsidRPr="00574BAB" w:rsidRDefault="00081849">
            <w:pPr>
              <w:widowControl w:val="0"/>
              <w:spacing w:before="0" w:after="0"/>
              <w:jc w:val="center"/>
              <w:rPr>
                <w:rFonts w:asciiTheme="minorHAnsi" w:hAnsiTheme="minorHAnsi"/>
              </w:rPr>
            </w:pPr>
            <w:r w:rsidRPr="00574BAB">
              <w:rPr>
                <w:rFonts w:asciiTheme="minorHAnsi" w:hAnsiTheme="minorHAnsi"/>
              </w:rPr>
              <w:t>C</w:t>
            </w:r>
          </w:p>
        </w:tc>
        <w:tc>
          <w:tcPr>
            <w:tcW w:w="3210" w:type="dxa"/>
            <w:tcMar>
              <w:top w:w="100" w:type="dxa"/>
              <w:left w:w="100" w:type="dxa"/>
              <w:bottom w:w="100" w:type="dxa"/>
              <w:right w:w="100" w:type="dxa"/>
            </w:tcMar>
          </w:tcPr>
          <w:p w14:paraId="017841B8" w14:textId="77777777" w:rsidR="004706FB" w:rsidRPr="00574BAB" w:rsidRDefault="00081849">
            <w:pPr>
              <w:widowControl w:val="0"/>
              <w:spacing w:before="0" w:after="0"/>
              <w:rPr>
                <w:rFonts w:asciiTheme="minorHAnsi" w:hAnsiTheme="minorHAnsi"/>
              </w:rPr>
            </w:pPr>
            <w:r w:rsidRPr="00574BAB">
              <w:rPr>
                <w:rFonts w:asciiTheme="minorHAnsi" w:hAnsiTheme="minorHAnsi"/>
              </w:rPr>
              <w:t xml:space="preserve">Send Cancellation </w:t>
            </w:r>
            <w:r w:rsidRPr="00574BAB">
              <w:rPr>
                <w:rFonts w:asciiTheme="minorHAnsi" w:hAnsiTheme="minorHAnsi"/>
              </w:rPr>
              <w:lastRenderedPageBreak/>
              <w:t>Confirmation</w:t>
            </w:r>
          </w:p>
        </w:tc>
        <w:tc>
          <w:tcPr>
            <w:tcW w:w="2025" w:type="dxa"/>
            <w:tcMar>
              <w:top w:w="100" w:type="dxa"/>
              <w:left w:w="100" w:type="dxa"/>
              <w:bottom w:w="100" w:type="dxa"/>
              <w:right w:w="100" w:type="dxa"/>
            </w:tcMar>
          </w:tcPr>
          <w:p w14:paraId="7D7DE8DC" w14:textId="77777777" w:rsidR="004706FB" w:rsidRPr="00574BAB" w:rsidRDefault="00081849">
            <w:pPr>
              <w:widowControl w:val="0"/>
              <w:spacing w:before="0" w:after="0"/>
              <w:rPr>
                <w:rFonts w:asciiTheme="minorHAnsi" w:hAnsiTheme="minorHAnsi"/>
              </w:rPr>
            </w:pPr>
            <w:r w:rsidRPr="00574BAB">
              <w:rPr>
                <w:rFonts w:asciiTheme="minorHAnsi" w:hAnsiTheme="minorHAnsi"/>
              </w:rPr>
              <w:lastRenderedPageBreak/>
              <w:t>Referral Initiator</w:t>
            </w:r>
          </w:p>
        </w:tc>
        <w:tc>
          <w:tcPr>
            <w:tcW w:w="915" w:type="dxa"/>
            <w:tcMar>
              <w:top w:w="100" w:type="dxa"/>
              <w:left w:w="100" w:type="dxa"/>
              <w:bottom w:w="100" w:type="dxa"/>
              <w:right w:w="100" w:type="dxa"/>
            </w:tcMar>
          </w:tcPr>
          <w:p w14:paraId="625B48E4" w14:textId="77777777" w:rsidR="004706FB" w:rsidRPr="00574BAB" w:rsidRDefault="00081849">
            <w:pPr>
              <w:widowControl w:val="0"/>
              <w:spacing w:before="0" w:after="0"/>
              <w:jc w:val="center"/>
              <w:rPr>
                <w:rFonts w:asciiTheme="minorHAnsi" w:hAnsiTheme="minorHAnsi"/>
              </w:rPr>
            </w:pPr>
            <w:r w:rsidRPr="00574BAB">
              <w:rPr>
                <w:rFonts w:asciiTheme="minorHAnsi" w:hAnsiTheme="minorHAnsi"/>
              </w:rPr>
              <w:t>E</w:t>
            </w:r>
          </w:p>
        </w:tc>
      </w:tr>
      <w:tr w:rsidR="004706FB" w:rsidRPr="00574BAB" w14:paraId="1CDBEFD3" w14:textId="77777777">
        <w:tc>
          <w:tcPr>
            <w:tcW w:w="2010" w:type="dxa"/>
            <w:tcMar>
              <w:top w:w="100" w:type="dxa"/>
              <w:left w:w="100" w:type="dxa"/>
              <w:bottom w:w="100" w:type="dxa"/>
              <w:right w:w="100" w:type="dxa"/>
            </w:tcMar>
          </w:tcPr>
          <w:p w14:paraId="4D9A974A" w14:textId="77777777" w:rsidR="004706FB" w:rsidRPr="00574BAB" w:rsidRDefault="00081849">
            <w:pPr>
              <w:widowControl w:val="0"/>
              <w:spacing w:before="0" w:after="0"/>
              <w:rPr>
                <w:rFonts w:asciiTheme="minorHAnsi" w:hAnsiTheme="minorHAnsi"/>
              </w:rPr>
            </w:pPr>
            <w:r w:rsidRPr="00574BAB">
              <w:rPr>
                <w:rFonts w:asciiTheme="minorHAnsi" w:hAnsiTheme="minorHAnsi"/>
              </w:rPr>
              <w:t>Referral Recipient</w:t>
            </w:r>
          </w:p>
        </w:tc>
        <w:tc>
          <w:tcPr>
            <w:tcW w:w="915" w:type="dxa"/>
            <w:tcMar>
              <w:top w:w="100" w:type="dxa"/>
              <w:left w:w="100" w:type="dxa"/>
              <w:bottom w:w="100" w:type="dxa"/>
              <w:right w:w="100" w:type="dxa"/>
            </w:tcMar>
          </w:tcPr>
          <w:p w14:paraId="3EAAD71D" w14:textId="77777777" w:rsidR="004706FB" w:rsidRPr="00574BAB" w:rsidRDefault="00081849">
            <w:pPr>
              <w:widowControl w:val="0"/>
              <w:spacing w:before="0" w:after="0"/>
              <w:jc w:val="center"/>
              <w:rPr>
                <w:rFonts w:asciiTheme="minorHAnsi" w:hAnsiTheme="minorHAnsi"/>
              </w:rPr>
            </w:pPr>
            <w:r w:rsidRPr="00574BAB">
              <w:rPr>
                <w:rFonts w:asciiTheme="minorHAnsi" w:hAnsiTheme="minorHAnsi"/>
              </w:rPr>
              <w:t>O</w:t>
            </w:r>
          </w:p>
        </w:tc>
        <w:tc>
          <w:tcPr>
            <w:tcW w:w="3210" w:type="dxa"/>
            <w:tcMar>
              <w:top w:w="100" w:type="dxa"/>
              <w:left w:w="100" w:type="dxa"/>
              <w:bottom w:w="100" w:type="dxa"/>
              <w:right w:w="100" w:type="dxa"/>
            </w:tcMar>
          </w:tcPr>
          <w:p w14:paraId="3B0B3639" w14:textId="77777777" w:rsidR="004706FB" w:rsidRPr="00574BAB" w:rsidRDefault="00081849">
            <w:pPr>
              <w:widowControl w:val="0"/>
              <w:spacing w:before="0" w:after="0"/>
              <w:rPr>
                <w:rFonts w:asciiTheme="minorHAnsi" w:hAnsiTheme="minorHAnsi"/>
              </w:rPr>
            </w:pPr>
            <w:r w:rsidRPr="00574BAB">
              <w:rPr>
                <w:rFonts w:asciiTheme="minorHAnsi" w:hAnsiTheme="minorHAnsi"/>
              </w:rPr>
              <w:t>Send Interim Consultation Note</w:t>
            </w:r>
          </w:p>
        </w:tc>
        <w:tc>
          <w:tcPr>
            <w:tcW w:w="2025" w:type="dxa"/>
            <w:tcMar>
              <w:top w:w="100" w:type="dxa"/>
              <w:left w:w="100" w:type="dxa"/>
              <w:bottom w:w="100" w:type="dxa"/>
              <w:right w:w="100" w:type="dxa"/>
            </w:tcMar>
          </w:tcPr>
          <w:p w14:paraId="382BF582" w14:textId="77777777" w:rsidR="004706FB" w:rsidRPr="00574BAB" w:rsidRDefault="00081849">
            <w:pPr>
              <w:widowControl w:val="0"/>
              <w:spacing w:before="0" w:after="0"/>
              <w:rPr>
                <w:rFonts w:asciiTheme="minorHAnsi" w:hAnsiTheme="minorHAnsi"/>
              </w:rPr>
            </w:pPr>
            <w:r w:rsidRPr="00574BAB">
              <w:rPr>
                <w:rFonts w:asciiTheme="minorHAnsi" w:hAnsiTheme="minorHAnsi"/>
              </w:rPr>
              <w:t>Referral Initiator</w:t>
            </w:r>
          </w:p>
        </w:tc>
        <w:tc>
          <w:tcPr>
            <w:tcW w:w="915" w:type="dxa"/>
            <w:tcMar>
              <w:top w:w="100" w:type="dxa"/>
              <w:left w:w="100" w:type="dxa"/>
              <w:bottom w:w="100" w:type="dxa"/>
              <w:right w:w="100" w:type="dxa"/>
            </w:tcMar>
          </w:tcPr>
          <w:p w14:paraId="09765D0A" w14:textId="77777777" w:rsidR="004706FB" w:rsidRPr="00574BAB" w:rsidRDefault="00081849">
            <w:pPr>
              <w:widowControl w:val="0"/>
              <w:spacing w:before="0" w:after="0"/>
              <w:jc w:val="center"/>
              <w:rPr>
                <w:rFonts w:asciiTheme="minorHAnsi" w:hAnsiTheme="minorHAnsi"/>
              </w:rPr>
            </w:pPr>
            <w:r w:rsidRPr="00574BAB">
              <w:rPr>
                <w:rFonts w:asciiTheme="minorHAnsi" w:hAnsiTheme="minorHAnsi"/>
              </w:rPr>
              <w:t>R</w:t>
            </w:r>
          </w:p>
        </w:tc>
      </w:tr>
      <w:tr w:rsidR="004706FB" w:rsidRPr="00574BAB" w14:paraId="2B664DA7" w14:textId="77777777">
        <w:tc>
          <w:tcPr>
            <w:tcW w:w="2010" w:type="dxa"/>
            <w:tcMar>
              <w:top w:w="100" w:type="dxa"/>
              <w:left w:w="100" w:type="dxa"/>
              <w:bottom w:w="100" w:type="dxa"/>
              <w:right w:w="100" w:type="dxa"/>
            </w:tcMar>
          </w:tcPr>
          <w:p w14:paraId="3C8C250E" w14:textId="77777777" w:rsidR="004706FB" w:rsidRPr="00574BAB" w:rsidRDefault="00081849">
            <w:pPr>
              <w:widowControl w:val="0"/>
              <w:spacing w:before="0" w:after="0"/>
              <w:rPr>
                <w:rFonts w:asciiTheme="minorHAnsi" w:hAnsiTheme="minorHAnsi"/>
              </w:rPr>
            </w:pPr>
            <w:r w:rsidRPr="00574BAB">
              <w:rPr>
                <w:rFonts w:asciiTheme="minorHAnsi" w:hAnsiTheme="minorHAnsi"/>
              </w:rPr>
              <w:t>Referral Recipient</w:t>
            </w:r>
          </w:p>
        </w:tc>
        <w:tc>
          <w:tcPr>
            <w:tcW w:w="915" w:type="dxa"/>
            <w:tcMar>
              <w:top w:w="100" w:type="dxa"/>
              <w:left w:w="100" w:type="dxa"/>
              <w:bottom w:w="100" w:type="dxa"/>
              <w:right w:w="100" w:type="dxa"/>
            </w:tcMar>
          </w:tcPr>
          <w:p w14:paraId="677654CA" w14:textId="77777777" w:rsidR="004706FB" w:rsidRPr="00574BAB" w:rsidRDefault="00081849">
            <w:pPr>
              <w:widowControl w:val="0"/>
              <w:spacing w:before="0" w:after="0"/>
              <w:jc w:val="center"/>
              <w:rPr>
                <w:rFonts w:asciiTheme="minorHAnsi" w:hAnsiTheme="minorHAnsi"/>
              </w:rPr>
            </w:pPr>
            <w:r w:rsidRPr="00574BAB">
              <w:rPr>
                <w:rFonts w:asciiTheme="minorHAnsi" w:hAnsiTheme="minorHAnsi"/>
              </w:rPr>
              <w:t>O</w:t>
            </w:r>
          </w:p>
        </w:tc>
        <w:tc>
          <w:tcPr>
            <w:tcW w:w="3210" w:type="dxa"/>
            <w:tcMar>
              <w:top w:w="100" w:type="dxa"/>
              <w:left w:w="100" w:type="dxa"/>
              <w:bottom w:w="100" w:type="dxa"/>
              <w:right w:w="100" w:type="dxa"/>
            </w:tcMar>
          </w:tcPr>
          <w:p w14:paraId="419FA6E5" w14:textId="77777777" w:rsidR="004706FB" w:rsidRPr="00574BAB" w:rsidRDefault="00081849">
            <w:pPr>
              <w:widowControl w:val="0"/>
              <w:spacing w:before="0" w:after="0"/>
              <w:rPr>
                <w:rFonts w:asciiTheme="minorHAnsi" w:hAnsiTheme="minorHAnsi"/>
              </w:rPr>
            </w:pPr>
            <w:r w:rsidRPr="00574BAB">
              <w:rPr>
                <w:rFonts w:asciiTheme="minorHAnsi" w:hAnsiTheme="minorHAnsi"/>
              </w:rPr>
              <w:t>Send “Scheduled Appointment” Notification</w:t>
            </w:r>
          </w:p>
        </w:tc>
        <w:tc>
          <w:tcPr>
            <w:tcW w:w="2025" w:type="dxa"/>
            <w:tcMar>
              <w:top w:w="100" w:type="dxa"/>
              <w:left w:w="100" w:type="dxa"/>
              <w:bottom w:w="100" w:type="dxa"/>
              <w:right w:w="100" w:type="dxa"/>
            </w:tcMar>
          </w:tcPr>
          <w:p w14:paraId="24D26D0B" w14:textId="77777777" w:rsidR="004706FB" w:rsidRPr="00574BAB" w:rsidRDefault="00081849">
            <w:pPr>
              <w:widowControl w:val="0"/>
              <w:spacing w:before="0" w:after="0"/>
              <w:rPr>
                <w:rFonts w:asciiTheme="minorHAnsi" w:hAnsiTheme="minorHAnsi"/>
              </w:rPr>
            </w:pPr>
            <w:r w:rsidRPr="00574BAB">
              <w:rPr>
                <w:rFonts w:asciiTheme="minorHAnsi" w:hAnsiTheme="minorHAnsi"/>
              </w:rPr>
              <w:t>Referral Initiator</w:t>
            </w:r>
          </w:p>
        </w:tc>
        <w:tc>
          <w:tcPr>
            <w:tcW w:w="915" w:type="dxa"/>
            <w:tcMar>
              <w:top w:w="100" w:type="dxa"/>
              <w:left w:w="100" w:type="dxa"/>
              <w:bottom w:w="100" w:type="dxa"/>
              <w:right w:w="100" w:type="dxa"/>
            </w:tcMar>
          </w:tcPr>
          <w:p w14:paraId="37AE0E45" w14:textId="77777777" w:rsidR="004706FB" w:rsidRPr="00574BAB" w:rsidRDefault="00081849">
            <w:pPr>
              <w:widowControl w:val="0"/>
              <w:spacing w:before="0" w:after="0"/>
              <w:jc w:val="center"/>
              <w:rPr>
                <w:rFonts w:asciiTheme="minorHAnsi" w:hAnsiTheme="minorHAnsi"/>
              </w:rPr>
            </w:pPr>
            <w:r w:rsidRPr="00574BAB">
              <w:rPr>
                <w:rFonts w:asciiTheme="minorHAnsi" w:hAnsiTheme="minorHAnsi"/>
              </w:rPr>
              <w:t>O</w:t>
            </w:r>
          </w:p>
        </w:tc>
      </w:tr>
      <w:tr w:rsidR="004706FB" w:rsidRPr="00574BAB" w14:paraId="7E4002CD" w14:textId="77777777">
        <w:tc>
          <w:tcPr>
            <w:tcW w:w="2010" w:type="dxa"/>
            <w:tcMar>
              <w:top w:w="100" w:type="dxa"/>
              <w:left w:w="100" w:type="dxa"/>
              <w:bottom w:w="100" w:type="dxa"/>
              <w:right w:w="100" w:type="dxa"/>
            </w:tcMar>
          </w:tcPr>
          <w:p w14:paraId="0EBDB851" w14:textId="77777777" w:rsidR="004706FB" w:rsidRPr="00574BAB" w:rsidRDefault="00081849">
            <w:pPr>
              <w:widowControl w:val="0"/>
              <w:spacing w:before="0" w:after="0"/>
              <w:rPr>
                <w:rFonts w:asciiTheme="minorHAnsi" w:hAnsiTheme="minorHAnsi"/>
              </w:rPr>
            </w:pPr>
            <w:r w:rsidRPr="00574BAB">
              <w:rPr>
                <w:rFonts w:asciiTheme="minorHAnsi" w:hAnsiTheme="minorHAnsi"/>
              </w:rPr>
              <w:t>Referral Recipient</w:t>
            </w:r>
          </w:p>
        </w:tc>
        <w:tc>
          <w:tcPr>
            <w:tcW w:w="915" w:type="dxa"/>
            <w:tcMar>
              <w:top w:w="100" w:type="dxa"/>
              <w:left w:w="100" w:type="dxa"/>
              <w:bottom w:w="100" w:type="dxa"/>
              <w:right w:w="100" w:type="dxa"/>
            </w:tcMar>
          </w:tcPr>
          <w:p w14:paraId="1F54BB31" w14:textId="77777777" w:rsidR="004706FB" w:rsidRPr="00574BAB" w:rsidRDefault="00081849">
            <w:pPr>
              <w:widowControl w:val="0"/>
              <w:spacing w:before="0" w:after="0"/>
              <w:jc w:val="center"/>
              <w:rPr>
                <w:rFonts w:asciiTheme="minorHAnsi" w:hAnsiTheme="minorHAnsi"/>
              </w:rPr>
            </w:pPr>
            <w:r w:rsidRPr="00574BAB">
              <w:rPr>
                <w:rFonts w:asciiTheme="minorHAnsi" w:hAnsiTheme="minorHAnsi"/>
              </w:rPr>
              <w:t>O</w:t>
            </w:r>
          </w:p>
        </w:tc>
        <w:tc>
          <w:tcPr>
            <w:tcW w:w="3210" w:type="dxa"/>
            <w:tcMar>
              <w:top w:w="100" w:type="dxa"/>
              <w:left w:w="100" w:type="dxa"/>
              <w:bottom w:w="100" w:type="dxa"/>
              <w:right w:w="100" w:type="dxa"/>
            </w:tcMar>
          </w:tcPr>
          <w:p w14:paraId="109E1062" w14:textId="77777777" w:rsidR="004706FB" w:rsidRPr="00574BAB" w:rsidRDefault="00081849">
            <w:pPr>
              <w:widowControl w:val="0"/>
              <w:spacing w:before="0" w:after="0"/>
              <w:rPr>
                <w:rFonts w:asciiTheme="minorHAnsi" w:hAnsiTheme="minorHAnsi"/>
              </w:rPr>
            </w:pPr>
            <w:r w:rsidRPr="00574BAB">
              <w:rPr>
                <w:rFonts w:asciiTheme="minorHAnsi" w:hAnsiTheme="minorHAnsi"/>
              </w:rPr>
              <w:t>Send “No Show” Notification</w:t>
            </w:r>
          </w:p>
        </w:tc>
        <w:tc>
          <w:tcPr>
            <w:tcW w:w="2025" w:type="dxa"/>
            <w:tcMar>
              <w:top w:w="100" w:type="dxa"/>
              <w:left w:w="100" w:type="dxa"/>
              <w:bottom w:w="100" w:type="dxa"/>
              <w:right w:w="100" w:type="dxa"/>
            </w:tcMar>
          </w:tcPr>
          <w:p w14:paraId="1AE74151" w14:textId="77777777" w:rsidR="004706FB" w:rsidRPr="00574BAB" w:rsidRDefault="00081849">
            <w:pPr>
              <w:widowControl w:val="0"/>
              <w:spacing w:before="0" w:after="0"/>
              <w:rPr>
                <w:rFonts w:asciiTheme="minorHAnsi" w:hAnsiTheme="minorHAnsi"/>
              </w:rPr>
            </w:pPr>
            <w:r w:rsidRPr="00574BAB">
              <w:rPr>
                <w:rFonts w:asciiTheme="minorHAnsi" w:hAnsiTheme="minorHAnsi"/>
              </w:rPr>
              <w:t>Referral Initiator</w:t>
            </w:r>
          </w:p>
        </w:tc>
        <w:tc>
          <w:tcPr>
            <w:tcW w:w="915" w:type="dxa"/>
            <w:tcMar>
              <w:top w:w="100" w:type="dxa"/>
              <w:left w:w="100" w:type="dxa"/>
              <w:bottom w:w="100" w:type="dxa"/>
              <w:right w:w="100" w:type="dxa"/>
            </w:tcMar>
          </w:tcPr>
          <w:p w14:paraId="34C17F5E" w14:textId="77777777" w:rsidR="004706FB" w:rsidRPr="00574BAB" w:rsidRDefault="00081849">
            <w:pPr>
              <w:widowControl w:val="0"/>
              <w:spacing w:before="0" w:after="0"/>
              <w:jc w:val="center"/>
              <w:rPr>
                <w:rFonts w:asciiTheme="minorHAnsi" w:hAnsiTheme="minorHAnsi"/>
              </w:rPr>
            </w:pPr>
            <w:r w:rsidRPr="00574BAB">
              <w:rPr>
                <w:rFonts w:asciiTheme="minorHAnsi" w:hAnsiTheme="minorHAnsi"/>
              </w:rPr>
              <w:t>O</w:t>
            </w:r>
          </w:p>
        </w:tc>
      </w:tr>
    </w:tbl>
    <w:p w14:paraId="78B86183" w14:textId="77777777" w:rsidR="004706FB" w:rsidRDefault="004706FB">
      <w:pPr>
        <w:ind w:left="720"/>
      </w:pPr>
    </w:p>
    <w:p w14:paraId="5481E649" w14:textId="77777777" w:rsidR="004706FB" w:rsidRPr="00574BAB" w:rsidRDefault="00081849">
      <w:pPr>
        <w:ind w:left="720"/>
        <w:rPr>
          <w:rFonts w:asciiTheme="minorHAnsi" w:hAnsiTheme="minorHAnsi"/>
        </w:rPr>
      </w:pPr>
      <w:r w:rsidRPr="00574BAB">
        <w:rPr>
          <w:rFonts w:asciiTheme="minorHAnsi" w:hAnsiTheme="minorHAnsi"/>
        </w:rPr>
        <w:t>The requirements in “Action” columns refer to the preceding actor column:</w:t>
      </w:r>
    </w:p>
    <w:p w14:paraId="166C5690" w14:textId="77777777" w:rsidR="004706FB" w:rsidRPr="00574BAB" w:rsidRDefault="00081849">
      <w:pPr>
        <w:numPr>
          <w:ilvl w:val="0"/>
          <w:numId w:val="3"/>
        </w:numPr>
        <w:ind w:hanging="360"/>
        <w:contextualSpacing/>
        <w:rPr>
          <w:rFonts w:asciiTheme="minorHAnsi" w:hAnsiTheme="minorHAnsi"/>
        </w:rPr>
      </w:pPr>
      <w:r w:rsidRPr="00574BAB">
        <w:rPr>
          <w:rFonts w:asciiTheme="minorHAnsi" w:hAnsiTheme="minorHAnsi"/>
        </w:rPr>
        <w:t xml:space="preserve">A Portable Media Creator </w:t>
      </w:r>
    </w:p>
    <w:p w14:paraId="55419632" w14:textId="77777777" w:rsidR="004706FB" w:rsidRPr="00574BAB" w:rsidRDefault="00081849">
      <w:pPr>
        <w:numPr>
          <w:ilvl w:val="1"/>
          <w:numId w:val="3"/>
        </w:numPr>
        <w:ind w:hanging="360"/>
        <w:contextualSpacing/>
        <w:rPr>
          <w:rFonts w:asciiTheme="minorHAnsi" w:hAnsiTheme="minorHAnsi"/>
        </w:rPr>
      </w:pPr>
      <w:r w:rsidRPr="00574BAB">
        <w:rPr>
          <w:rFonts w:asciiTheme="minorHAnsi" w:hAnsiTheme="minorHAnsi"/>
        </w:rPr>
        <w:t>must be able to send the transactions marked as (R)equired from every state where the transaction occurs in the State Transition Diagram</w:t>
      </w:r>
    </w:p>
    <w:p w14:paraId="502BEBBB" w14:textId="77777777" w:rsidR="004706FB" w:rsidRPr="00574BAB" w:rsidRDefault="00081849">
      <w:pPr>
        <w:numPr>
          <w:ilvl w:val="1"/>
          <w:numId w:val="3"/>
        </w:numPr>
        <w:ind w:hanging="360"/>
        <w:contextualSpacing/>
        <w:rPr>
          <w:rFonts w:asciiTheme="minorHAnsi" w:hAnsiTheme="minorHAnsi"/>
        </w:rPr>
      </w:pPr>
      <w:r w:rsidRPr="00574BAB">
        <w:rPr>
          <w:rFonts w:asciiTheme="minorHAnsi" w:hAnsiTheme="minorHAnsi"/>
        </w:rPr>
        <w:t>depending on processing and  workflow rules, and practice requirements, must be able to send the transactions marked (C)onditional in certain circumstances (of their choice)</w:t>
      </w:r>
    </w:p>
    <w:p w14:paraId="3FFF5088" w14:textId="77777777" w:rsidR="004706FB" w:rsidRPr="00574BAB" w:rsidRDefault="00081849">
      <w:pPr>
        <w:numPr>
          <w:ilvl w:val="1"/>
          <w:numId w:val="3"/>
        </w:numPr>
        <w:ind w:hanging="360"/>
        <w:contextualSpacing/>
        <w:rPr>
          <w:rFonts w:asciiTheme="minorHAnsi" w:hAnsiTheme="minorHAnsi"/>
        </w:rPr>
      </w:pPr>
      <w:r w:rsidRPr="00574BAB">
        <w:rPr>
          <w:rFonts w:asciiTheme="minorHAnsi" w:hAnsiTheme="minorHAnsi"/>
        </w:rPr>
        <w:t>may send the transactions marked as (O)ptional from the appropriate states in the State Transition Diagram.</w:t>
      </w:r>
    </w:p>
    <w:p w14:paraId="40C144F4" w14:textId="77777777" w:rsidR="004706FB" w:rsidRPr="00574BAB" w:rsidRDefault="00081849">
      <w:pPr>
        <w:numPr>
          <w:ilvl w:val="0"/>
          <w:numId w:val="3"/>
        </w:numPr>
        <w:ind w:hanging="360"/>
        <w:contextualSpacing/>
        <w:rPr>
          <w:rFonts w:asciiTheme="minorHAnsi" w:hAnsiTheme="minorHAnsi"/>
        </w:rPr>
      </w:pPr>
      <w:r w:rsidRPr="00574BAB">
        <w:rPr>
          <w:rFonts w:asciiTheme="minorHAnsi" w:hAnsiTheme="minorHAnsi"/>
        </w:rPr>
        <w:t>A Portable Media Importer</w:t>
      </w:r>
    </w:p>
    <w:p w14:paraId="517F0C6C" w14:textId="77777777" w:rsidR="004706FB" w:rsidRPr="00574BAB" w:rsidRDefault="00081849">
      <w:pPr>
        <w:numPr>
          <w:ilvl w:val="1"/>
          <w:numId w:val="3"/>
        </w:numPr>
        <w:ind w:hanging="360"/>
        <w:contextualSpacing/>
        <w:rPr>
          <w:rFonts w:asciiTheme="minorHAnsi" w:hAnsiTheme="minorHAnsi"/>
        </w:rPr>
      </w:pPr>
      <w:r w:rsidRPr="00574BAB">
        <w:rPr>
          <w:rFonts w:asciiTheme="minorHAnsi" w:hAnsiTheme="minorHAnsi"/>
        </w:rPr>
        <w:t>must process the transactions marked as (R)required in any of the states of the State Transition Diagram where that transaction occurs.</w:t>
      </w:r>
    </w:p>
    <w:p w14:paraId="120C6587" w14:textId="77777777" w:rsidR="004706FB" w:rsidRPr="00574BAB" w:rsidRDefault="00081849">
      <w:pPr>
        <w:numPr>
          <w:ilvl w:val="1"/>
          <w:numId w:val="3"/>
        </w:numPr>
        <w:ind w:hanging="360"/>
        <w:contextualSpacing/>
        <w:rPr>
          <w:rFonts w:asciiTheme="minorHAnsi" w:hAnsiTheme="minorHAnsi"/>
        </w:rPr>
      </w:pPr>
      <w:r w:rsidRPr="00574BAB">
        <w:rPr>
          <w:rFonts w:asciiTheme="minorHAnsi" w:hAnsiTheme="minorHAnsi"/>
        </w:rPr>
        <w:t>must process the transaction marked a (E)nd of workflow and present that to the appropriate users of its system</w:t>
      </w:r>
    </w:p>
    <w:p w14:paraId="009F9ACD" w14:textId="77777777" w:rsidR="004706FB" w:rsidRPr="00574BAB" w:rsidRDefault="00081849">
      <w:pPr>
        <w:numPr>
          <w:ilvl w:val="1"/>
          <w:numId w:val="3"/>
        </w:numPr>
        <w:ind w:hanging="360"/>
        <w:contextualSpacing/>
        <w:rPr>
          <w:rFonts w:asciiTheme="minorHAnsi" w:hAnsiTheme="minorHAnsi"/>
        </w:rPr>
      </w:pPr>
      <w:r w:rsidRPr="00574BAB">
        <w:rPr>
          <w:rFonts w:asciiTheme="minorHAnsi" w:hAnsiTheme="minorHAnsi"/>
        </w:rPr>
        <w:t>depending on processing and workflow rules, and practice requirements, must process the transactions marked (C)onditional in at least one of the states it is received according to the State Transition Diagram, but under certain conditions it may choose not to act on it.</w:t>
      </w:r>
    </w:p>
    <w:p w14:paraId="06026B24" w14:textId="77777777" w:rsidR="004706FB" w:rsidRPr="00574BAB" w:rsidRDefault="00081849">
      <w:pPr>
        <w:numPr>
          <w:ilvl w:val="1"/>
          <w:numId w:val="3"/>
        </w:numPr>
        <w:ind w:hanging="360"/>
        <w:contextualSpacing/>
        <w:rPr>
          <w:rFonts w:asciiTheme="minorHAnsi" w:hAnsiTheme="minorHAnsi"/>
        </w:rPr>
      </w:pPr>
      <w:r w:rsidRPr="00574BAB">
        <w:rPr>
          <w:rFonts w:asciiTheme="minorHAnsi" w:hAnsiTheme="minorHAnsi"/>
        </w:rPr>
        <w:t>may ignore transactions marked as (O)ptional, however, must not error out if they receive an optional transaction.</w:t>
      </w:r>
    </w:p>
    <w:p w14:paraId="25D4EE31" w14:textId="77777777" w:rsidR="004706FB" w:rsidRPr="00574BAB" w:rsidRDefault="00081849">
      <w:pPr>
        <w:ind w:left="720"/>
        <w:rPr>
          <w:rFonts w:asciiTheme="minorHAnsi" w:hAnsiTheme="minorHAnsi"/>
        </w:rPr>
      </w:pPr>
      <w:r w:rsidRPr="00574BAB">
        <w:rPr>
          <w:rFonts w:asciiTheme="minorHAnsi" w:hAnsiTheme="minorHAnsi"/>
        </w:rPr>
        <w:t>Note: The Referral Recipient must be able to send a Decline as a response to an initial referral request. The ability to send a decline from any other state is conditional upon local policies and workflow rules. That is why this transaction is marked as R/C for the Portable Media Creator.</w:t>
      </w:r>
    </w:p>
    <w:p w14:paraId="74C28FEB" w14:textId="77777777" w:rsidR="004706FB" w:rsidRDefault="00081849">
      <w:pPr>
        <w:pStyle w:val="Heading2"/>
        <w:numPr>
          <w:ilvl w:val="1"/>
          <w:numId w:val="2"/>
        </w:numPr>
        <w:ind w:hanging="360"/>
        <w:contextualSpacing/>
        <w:rPr>
          <w:rFonts w:ascii="Calibri" w:eastAsia="Calibri" w:hAnsi="Calibri" w:cs="Calibri"/>
        </w:rPr>
      </w:pPr>
      <w:bookmarkStart w:id="8" w:name="_b2syehw3bysc" w:colFirst="0" w:colLast="0"/>
      <w:bookmarkEnd w:id="8"/>
      <w:r>
        <w:rPr>
          <w:rFonts w:ascii="Calibri" w:eastAsia="Calibri" w:hAnsi="Calibri" w:cs="Calibri"/>
        </w:rPr>
        <w:lastRenderedPageBreak/>
        <w:t>Impact on Existing Integration Profiles</w:t>
      </w:r>
    </w:p>
    <w:p w14:paraId="67181B2C" w14:textId="77777777" w:rsidR="004706FB" w:rsidRPr="00574BAB" w:rsidRDefault="00081849">
      <w:pPr>
        <w:ind w:left="720"/>
        <w:rPr>
          <w:rFonts w:asciiTheme="minorHAnsi" w:hAnsiTheme="minorHAnsi"/>
        </w:rPr>
      </w:pPr>
      <w:r w:rsidRPr="00574BAB">
        <w:rPr>
          <w:rFonts w:asciiTheme="minorHAnsi" w:hAnsiTheme="minorHAnsi"/>
        </w:rPr>
        <w:t>This specification covers some of the functionality present in the Cross Enterprise Basic eReferral Workflow Definition (XBeR-WD) and Referral Order Linking (ROL) profiles. It is not clear how the 360X specification can be expressed as a constraint to one or both of them, and whether there may be a need to update one or both of them.</w:t>
      </w:r>
    </w:p>
    <w:p w14:paraId="22D765B1" w14:textId="77777777" w:rsidR="004706FB" w:rsidRDefault="00081849">
      <w:pPr>
        <w:pStyle w:val="Heading2"/>
        <w:numPr>
          <w:ilvl w:val="1"/>
          <w:numId w:val="2"/>
        </w:numPr>
        <w:ind w:hanging="360"/>
        <w:contextualSpacing/>
        <w:rPr>
          <w:rFonts w:ascii="Calibri" w:eastAsia="Calibri" w:hAnsi="Calibri" w:cs="Calibri"/>
        </w:rPr>
      </w:pPr>
      <w:bookmarkStart w:id="9" w:name="_m8cym6vi4s2s" w:colFirst="0" w:colLast="0"/>
      <w:bookmarkEnd w:id="9"/>
      <w:r>
        <w:rPr>
          <w:rFonts w:ascii="Calibri" w:eastAsia="Calibri" w:hAnsi="Calibri" w:cs="Calibri"/>
        </w:rPr>
        <w:t>New Integration Profiles Needed</w:t>
      </w:r>
    </w:p>
    <w:p w14:paraId="3C64F0B2" w14:textId="1D4F64A5" w:rsidR="004706FB" w:rsidRPr="00574BAB" w:rsidRDefault="00081849">
      <w:pPr>
        <w:ind w:left="720"/>
        <w:rPr>
          <w:rFonts w:asciiTheme="minorHAnsi" w:hAnsiTheme="minorHAnsi"/>
        </w:rPr>
      </w:pPr>
      <w:r w:rsidRPr="00574BAB">
        <w:rPr>
          <w:rFonts w:asciiTheme="minorHAnsi" w:hAnsiTheme="minorHAnsi"/>
        </w:rPr>
        <w:t>The 360X specification is US- centric, and it is proposed as a National Extension of the PCC Technical Framework. Parts of it may be universally applicable, however (e.g</w:t>
      </w:r>
      <w:r w:rsidR="00574BAB">
        <w:rPr>
          <w:rFonts w:asciiTheme="minorHAnsi" w:hAnsiTheme="minorHAnsi"/>
        </w:rPr>
        <w:t>.,</w:t>
      </w:r>
      <w:r w:rsidRPr="00574BAB">
        <w:rPr>
          <w:rFonts w:asciiTheme="minorHAnsi" w:hAnsiTheme="minorHAnsi"/>
        </w:rPr>
        <w:t xml:space="preserve"> the state transition diagrams). It is not clear if that would lead to creation of a new profile, or updates to existing profiles.</w:t>
      </w:r>
    </w:p>
    <w:p w14:paraId="0772BBC0" w14:textId="77777777" w:rsidR="004706FB" w:rsidRDefault="00081849">
      <w:pPr>
        <w:pStyle w:val="Heading2"/>
        <w:numPr>
          <w:ilvl w:val="1"/>
          <w:numId w:val="2"/>
        </w:numPr>
        <w:ind w:hanging="360"/>
        <w:contextualSpacing/>
        <w:rPr>
          <w:rFonts w:ascii="Calibri" w:eastAsia="Calibri" w:hAnsi="Calibri" w:cs="Calibri"/>
        </w:rPr>
      </w:pPr>
      <w:bookmarkStart w:id="10" w:name="_ituz67ucrjrq" w:colFirst="0" w:colLast="0"/>
      <w:bookmarkEnd w:id="10"/>
      <w:r>
        <w:rPr>
          <w:rFonts w:ascii="Calibri" w:eastAsia="Calibri" w:hAnsi="Calibri" w:cs="Calibri"/>
        </w:rPr>
        <w:t>Breakdown of Tasks That Need To Be Accomplished</w:t>
      </w:r>
    </w:p>
    <w:p w14:paraId="57997B7B" w14:textId="77777777" w:rsidR="004706FB" w:rsidRPr="00574BAB" w:rsidRDefault="00081849">
      <w:pPr>
        <w:ind w:left="720"/>
        <w:rPr>
          <w:rFonts w:asciiTheme="minorHAnsi" w:hAnsiTheme="minorHAnsi"/>
        </w:rPr>
      </w:pPr>
      <w:r w:rsidRPr="00574BAB">
        <w:rPr>
          <w:rFonts w:asciiTheme="minorHAnsi" w:hAnsiTheme="minorHAnsi"/>
        </w:rPr>
        <w:t>The following tasks are envisioned as part of making the 360X specification a US National Extension to the PCC Technical Framework:</w:t>
      </w:r>
    </w:p>
    <w:p w14:paraId="36230982" w14:textId="09D4E04B" w:rsidR="004706FB" w:rsidRPr="00574BAB" w:rsidRDefault="00D41435">
      <w:pPr>
        <w:numPr>
          <w:ilvl w:val="0"/>
          <w:numId w:val="1"/>
        </w:numPr>
        <w:ind w:hanging="360"/>
        <w:contextualSpacing/>
        <w:rPr>
          <w:rFonts w:asciiTheme="minorHAnsi" w:hAnsiTheme="minorHAnsi"/>
        </w:rPr>
      </w:pPr>
      <w:r w:rsidRPr="00574BAB">
        <w:rPr>
          <w:rFonts w:asciiTheme="minorHAnsi" w:hAnsiTheme="minorHAnsi"/>
        </w:rPr>
        <w:t>Review and improve existing work</w:t>
      </w:r>
    </w:p>
    <w:p w14:paraId="7930824F" w14:textId="46AD4243" w:rsidR="004706FB" w:rsidRPr="00574BAB" w:rsidRDefault="00D41435">
      <w:pPr>
        <w:numPr>
          <w:ilvl w:val="0"/>
          <w:numId w:val="1"/>
        </w:numPr>
        <w:ind w:hanging="360"/>
        <w:contextualSpacing/>
        <w:rPr>
          <w:rFonts w:asciiTheme="minorHAnsi" w:hAnsiTheme="minorHAnsi"/>
        </w:rPr>
      </w:pPr>
      <w:r w:rsidRPr="00574BAB">
        <w:rPr>
          <w:rFonts w:asciiTheme="minorHAnsi" w:hAnsiTheme="minorHAnsi"/>
        </w:rPr>
        <w:t>Add relevant value sets (where available) around the reason for referral/referral question</w:t>
      </w:r>
    </w:p>
    <w:p w14:paraId="4B92CD01" w14:textId="77777777" w:rsidR="00D41435" w:rsidRPr="00574BAB" w:rsidRDefault="00D41435" w:rsidP="00D8646F">
      <w:pPr>
        <w:numPr>
          <w:ilvl w:val="0"/>
          <w:numId w:val="1"/>
        </w:numPr>
        <w:ind w:hanging="360"/>
        <w:contextualSpacing/>
        <w:rPr>
          <w:rFonts w:asciiTheme="minorHAnsi" w:hAnsiTheme="minorHAnsi"/>
        </w:rPr>
      </w:pPr>
      <w:r w:rsidRPr="00574BAB">
        <w:rPr>
          <w:rFonts w:asciiTheme="minorHAnsi" w:hAnsiTheme="minorHAnsi"/>
        </w:rPr>
        <w:t>Find the best alignment with existing profiles</w:t>
      </w:r>
    </w:p>
    <w:p w14:paraId="550418D8" w14:textId="7FD3D3D6" w:rsidR="004706FB" w:rsidRDefault="00D41435" w:rsidP="00D8646F">
      <w:pPr>
        <w:numPr>
          <w:ilvl w:val="0"/>
          <w:numId w:val="1"/>
        </w:numPr>
        <w:ind w:hanging="360"/>
        <w:contextualSpacing/>
      </w:pPr>
      <w:r w:rsidRPr="00574BAB">
        <w:rPr>
          <w:rFonts w:asciiTheme="minorHAnsi" w:hAnsiTheme="minorHAnsi"/>
        </w:rPr>
        <w:t>Determine the best approach to publish as a national extension</w:t>
      </w:r>
    </w:p>
    <w:p w14:paraId="1939F1F5" w14:textId="77777777" w:rsidR="004706FB" w:rsidRDefault="004706FB">
      <w:pPr>
        <w:ind w:left="360"/>
      </w:pPr>
    </w:p>
    <w:p w14:paraId="5F041586" w14:textId="77777777" w:rsidR="004706FB" w:rsidRDefault="00081849">
      <w:pPr>
        <w:pStyle w:val="Heading1"/>
        <w:numPr>
          <w:ilvl w:val="0"/>
          <w:numId w:val="2"/>
        </w:numPr>
        <w:ind w:hanging="360"/>
        <w:rPr>
          <w:rFonts w:ascii="Calibri" w:eastAsia="Calibri" w:hAnsi="Calibri" w:cs="Calibri"/>
        </w:rPr>
      </w:pPr>
      <w:r>
        <w:rPr>
          <w:rFonts w:ascii="Calibri" w:eastAsia="Calibri" w:hAnsi="Calibri" w:cs="Calibri"/>
        </w:rPr>
        <w:t>Risks</w:t>
      </w:r>
    </w:p>
    <w:p w14:paraId="411D8BB4" w14:textId="5692E014" w:rsidR="005B5BAC" w:rsidRPr="00574BAB" w:rsidRDefault="005B5BAC">
      <w:pPr>
        <w:ind w:left="360"/>
        <w:rPr>
          <w:rFonts w:asciiTheme="minorHAnsi" w:hAnsiTheme="minorHAnsi"/>
        </w:rPr>
      </w:pPr>
      <w:r w:rsidRPr="00574BAB">
        <w:rPr>
          <w:rFonts w:asciiTheme="minorHAnsi" w:hAnsiTheme="minorHAnsi"/>
        </w:rPr>
        <w:t>If this national extension</w:t>
      </w:r>
      <w:r w:rsidR="00D41435" w:rsidRPr="00574BAB">
        <w:rPr>
          <w:rFonts w:asciiTheme="minorHAnsi" w:hAnsiTheme="minorHAnsi"/>
        </w:rPr>
        <w:t xml:space="preserve"> is not created and published, there will be no specification in the USA that builds upon the existing regulations</w:t>
      </w:r>
      <w:r w:rsidRPr="00574BAB">
        <w:rPr>
          <w:rFonts w:asciiTheme="minorHAnsi" w:hAnsiTheme="minorHAnsi"/>
        </w:rPr>
        <w:t xml:space="preserve"> and which could be referenced in future regulations</w:t>
      </w:r>
      <w:r w:rsidR="00574BAB" w:rsidRPr="00574BAB">
        <w:rPr>
          <w:rFonts w:asciiTheme="minorHAnsi" w:hAnsiTheme="minorHAnsi"/>
        </w:rPr>
        <w:t>.</w:t>
      </w:r>
      <w:r w:rsidR="00D41435" w:rsidRPr="00574BAB">
        <w:rPr>
          <w:rFonts w:asciiTheme="minorHAnsi" w:hAnsiTheme="minorHAnsi"/>
        </w:rPr>
        <w:t xml:space="preserve"> </w:t>
      </w:r>
      <w:r w:rsidRPr="00574BAB">
        <w:rPr>
          <w:rFonts w:asciiTheme="minorHAnsi" w:hAnsiTheme="minorHAnsi"/>
        </w:rPr>
        <w:t>It is likely that a</w:t>
      </w:r>
      <w:r w:rsidR="00D41435" w:rsidRPr="00574BAB">
        <w:rPr>
          <w:rFonts w:asciiTheme="minorHAnsi" w:hAnsiTheme="minorHAnsi"/>
        </w:rPr>
        <w:t xml:space="preserve"> similar implementation guide built on newer specifications will be </w:t>
      </w:r>
      <w:r w:rsidRPr="00574BAB">
        <w:rPr>
          <w:rFonts w:asciiTheme="minorHAnsi" w:hAnsiTheme="minorHAnsi"/>
        </w:rPr>
        <w:t>5 to 10 years in the future.</w:t>
      </w:r>
      <w:r w:rsidR="00D41435" w:rsidRPr="00574BAB">
        <w:rPr>
          <w:rFonts w:asciiTheme="minorHAnsi" w:hAnsiTheme="minorHAnsi"/>
        </w:rPr>
        <w:t xml:space="preserve"> </w:t>
      </w:r>
    </w:p>
    <w:p w14:paraId="39D7DE52" w14:textId="258545F1" w:rsidR="005B5BAC" w:rsidRPr="00574BAB" w:rsidRDefault="0044237B">
      <w:pPr>
        <w:ind w:left="360"/>
        <w:rPr>
          <w:rFonts w:asciiTheme="minorHAnsi" w:hAnsiTheme="minorHAnsi"/>
        </w:rPr>
      </w:pPr>
      <w:r w:rsidRPr="00574BAB">
        <w:rPr>
          <w:rFonts w:asciiTheme="minorHAnsi" w:hAnsiTheme="minorHAnsi"/>
        </w:rPr>
        <w:t>Other IHE profiles exist for referral workflow management, but these have not seen a high level of adoption in the United States. 360X supports these same use cases, but does so using existing standards that can be implemented easier than several of the other resources we have been pointed to.</w:t>
      </w:r>
    </w:p>
    <w:p w14:paraId="3ABAA77F" w14:textId="38E9232E" w:rsidR="004706FB" w:rsidRPr="00574BAB" w:rsidRDefault="005B5BAC">
      <w:pPr>
        <w:ind w:left="360"/>
        <w:rPr>
          <w:rFonts w:asciiTheme="minorHAnsi" w:hAnsiTheme="minorHAnsi"/>
        </w:rPr>
      </w:pPr>
      <w:r w:rsidRPr="00574BAB">
        <w:rPr>
          <w:rFonts w:asciiTheme="minorHAnsi" w:hAnsiTheme="minorHAnsi"/>
        </w:rPr>
        <w:t xml:space="preserve"> </w:t>
      </w:r>
      <w:r w:rsidR="0044237B" w:rsidRPr="00574BAB">
        <w:rPr>
          <w:rFonts w:asciiTheme="minorHAnsi" w:hAnsiTheme="minorHAnsi"/>
        </w:rPr>
        <w:t xml:space="preserve"> </w:t>
      </w:r>
    </w:p>
    <w:p w14:paraId="25B8899B" w14:textId="77777777" w:rsidR="004706FB" w:rsidRPr="00574BAB" w:rsidRDefault="00081849">
      <w:pPr>
        <w:pStyle w:val="Heading1"/>
        <w:numPr>
          <w:ilvl w:val="0"/>
          <w:numId w:val="2"/>
        </w:numPr>
        <w:ind w:hanging="360"/>
        <w:rPr>
          <w:rFonts w:asciiTheme="minorHAnsi" w:eastAsia="Calibri" w:hAnsiTheme="minorHAnsi" w:cs="Calibri"/>
        </w:rPr>
      </w:pPr>
      <w:r w:rsidRPr="00574BAB">
        <w:rPr>
          <w:rFonts w:asciiTheme="minorHAnsi" w:eastAsia="Calibri" w:hAnsiTheme="minorHAnsi" w:cs="Calibri"/>
        </w:rPr>
        <w:lastRenderedPageBreak/>
        <w:t>Open Issues</w:t>
      </w:r>
    </w:p>
    <w:p w14:paraId="092FF738" w14:textId="713341D1" w:rsidR="00035E65" w:rsidRPr="00574BAB" w:rsidRDefault="00035E65" w:rsidP="00574BAB">
      <w:pPr>
        <w:pStyle w:val="ListParagraph"/>
        <w:numPr>
          <w:ilvl w:val="0"/>
          <w:numId w:val="8"/>
        </w:numPr>
        <w:rPr>
          <w:rFonts w:asciiTheme="minorHAnsi" w:eastAsia="Calibri" w:hAnsiTheme="minorHAnsi"/>
        </w:rPr>
      </w:pPr>
      <w:r w:rsidRPr="00574BAB">
        <w:rPr>
          <w:rFonts w:asciiTheme="minorHAnsi" w:eastAsia="Calibri" w:hAnsiTheme="minorHAnsi"/>
        </w:rPr>
        <w:t>Relationship with existing profiles</w:t>
      </w:r>
    </w:p>
    <w:p w14:paraId="26FDC9CB" w14:textId="74823630" w:rsidR="00035E65" w:rsidRPr="00574BAB" w:rsidRDefault="00035E65" w:rsidP="00574BAB">
      <w:pPr>
        <w:pStyle w:val="ListParagraph"/>
        <w:numPr>
          <w:ilvl w:val="0"/>
          <w:numId w:val="8"/>
        </w:numPr>
        <w:rPr>
          <w:rFonts w:asciiTheme="minorHAnsi" w:eastAsia="Calibri" w:hAnsiTheme="minorHAnsi"/>
        </w:rPr>
      </w:pPr>
      <w:r w:rsidRPr="00574BAB">
        <w:rPr>
          <w:rFonts w:asciiTheme="minorHAnsi" w:eastAsia="Calibri" w:hAnsiTheme="minorHAnsi"/>
        </w:rPr>
        <w:t>Format of the national extension</w:t>
      </w:r>
    </w:p>
    <w:p w14:paraId="0921E606" w14:textId="2B6E7C71" w:rsidR="00035E65" w:rsidRPr="00574BAB" w:rsidRDefault="00035E65" w:rsidP="00574BAB">
      <w:pPr>
        <w:pStyle w:val="ListParagraph"/>
        <w:numPr>
          <w:ilvl w:val="0"/>
          <w:numId w:val="8"/>
        </w:numPr>
        <w:rPr>
          <w:rFonts w:asciiTheme="minorHAnsi" w:eastAsia="Calibri" w:hAnsiTheme="minorHAnsi"/>
        </w:rPr>
      </w:pPr>
      <w:r w:rsidRPr="00574BAB">
        <w:rPr>
          <w:rFonts w:asciiTheme="minorHAnsi" w:eastAsia="Calibri" w:hAnsiTheme="minorHAnsi"/>
        </w:rPr>
        <w:t>Level of specificity for the C-CDA content</w:t>
      </w:r>
    </w:p>
    <w:p w14:paraId="493BEE8B" w14:textId="77777777" w:rsidR="00D41435" w:rsidRPr="00574BAB" w:rsidRDefault="00D41435" w:rsidP="00574BAB">
      <w:pPr>
        <w:rPr>
          <w:rFonts w:eastAsia="Calibri"/>
        </w:rPr>
      </w:pPr>
    </w:p>
    <w:p w14:paraId="3383CA50" w14:textId="77777777" w:rsidR="004706FB" w:rsidRDefault="00081849">
      <w:pPr>
        <w:pStyle w:val="Heading1"/>
        <w:numPr>
          <w:ilvl w:val="0"/>
          <w:numId w:val="2"/>
        </w:numPr>
        <w:ind w:hanging="360"/>
        <w:rPr>
          <w:rFonts w:ascii="Calibri" w:eastAsia="Calibri" w:hAnsi="Calibri" w:cs="Calibri"/>
        </w:rPr>
      </w:pPr>
      <w:r>
        <w:rPr>
          <w:rFonts w:ascii="Calibri" w:eastAsia="Calibri" w:hAnsi="Calibri" w:cs="Calibri"/>
        </w:rPr>
        <w:t>Effort Estimates</w:t>
      </w:r>
    </w:p>
    <w:p w14:paraId="61F53215" w14:textId="77777777" w:rsidR="004706FB" w:rsidRDefault="00081849">
      <w:pPr>
        <w:ind w:left="360"/>
      </w:pPr>
      <w:r>
        <w:rPr>
          <w:rFonts w:ascii="Calibri" w:eastAsia="Calibri" w:hAnsi="Calibri" w:cs="Calibri"/>
        </w:rPr>
        <w:t>&lt;The technical committee will use this area to record details of the effort estimation.&gt;</w:t>
      </w:r>
    </w:p>
    <w:sectPr w:rsidR="004706FB">
      <w:headerReference w:type="default" r:id="rId13"/>
      <w:footerReference w:type="default" r:id="rId14"/>
      <w:pgSz w:w="12240" w:h="15840"/>
      <w:pgMar w:top="1008" w:right="1008" w:bottom="1008"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5C6E6EF" w14:textId="77777777" w:rsidR="00E831EA" w:rsidRDefault="00E831EA">
      <w:pPr>
        <w:spacing w:before="0" w:after="0"/>
      </w:pPr>
      <w:r>
        <w:separator/>
      </w:r>
    </w:p>
  </w:endnote>
  <w:endnote w:type="continuationSeparator" w:id="0">
    <w:p w14:paraId="12E5A274" w14:textId="77777777" w:rsidR="00E831EA" w:rsidRDefault="00E831E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E46122" w14:textId="3B611D79" w:rsidR="0044498F" w:rsidRPr="0044498F" w:rsidRDefault="00081849">
    <w:pPr>
      <w:tabs>
        <w:tab w:val="right" w:pos="9810"/>
      </w:tabs>
      <w:spacing w:before="0" w:after="720"/>
      <w:rPr>
        <w:rFonts w:ascii="Calibri" w:eastAsia="Calibri" w:hAnsi="Calibri" w:cs="Calibri"/>
      </w:rPr>
    </w:pPr>
    <w:r>
      <w:rPr>
        <w:rFonts w:ascii="Calibri" w:eastAsia="Calibri" w:hAnsi="Calibri" w:cs="Calibri"/>
      </w:rPr>
      <w:t>IHE_Profile_Proposal_Template-Detailed.docx</w:t>
    </w:r>
    <w:r>
      <w:rPr>
        <w:rFonts w:ascii="Calibri" w:eastAsia="Calibri" w:hAnsi="Calibri" w:cs="Calibri"/>
      </w:rPr>
      <w:tab/>
      <w:t xml:space="preserve">       </w:t>
    </w:r>
    <w:r w:rsidRPr="00574BAB">
      <w:rPr>
        <w:rFonts w:asciiTheme="minorHAnsi" w:eastAsia="Calibri" w:hAnsiTheme="minorHAnsi" w:cs="Calibri"/>
      </w:rPr>
      <w:t xml:space="preserve">Page </w:t>
    </w:r>
    <w:r w:rsidRPr="00574BAB">
      <w:rPr>
        <w:rFonts w:asciiTheme="minorHAnsi" w:hAnsiTheme="minorHAnsi"/>
      </w:rPr>
      <w:fldChar w:fldCharType="begin"/>
    </w:r>
    <w:r w:rsidRPr="00574BAB">
      <w:rPr>
        <w:rFonts w:asciiTheme="minorHAnsi" w:hAnsiTheme="minorHAnsi"/>
      </w:rPr>
      <w:instrText>PAGE</w:instrText>
    </w:r>
    <w:r w:rsidRPr="00574BAB">
      <w:rPr>
        <w:rFonts w:asciiTheme="minorHAnsi" w:hAnsiTheme="minorHAnsi"/>
      </w:rPr>
      <w:fldChar w:fldCharType="separate"/>
    </w:r>
    <w:r w:rsidR="004900A4">
      <w:rPr>
        <w:rFonts w:asciiTheme="minorHAnsi" w:hAnsiTheme="minorHAnsi"/>
        <w:noProof/>
      </w:rPr>
      <w:t>1</w:t>
    </w:r>
    <w:r w:rsidRPr="00574BAB">
      <w:rPr>
        <w:rFonts w:asciiTheme="minorHAnsi" w:hAnsiTheme="minorHAnsi"/>
      </w:rPr>
      <w:fldChar w:fldCharType="end"/>
    </w:r>
    <w:r w:rsidRPr="00574BAB">
      <w:rPr>
        <w:rFonts w:asciiTheme="minorHAnsi" w:eastAsia="Calibri" w:hAnsiTheme="minorHAnsi" w:cs="Calibri"/>
      </w:rPr>
      <w:t xml:space="preserve"> of </w:t>
    </w:r>
    <w:r w:rsidR="00574BAB" w:rsidRPr="00574BAB">
      <w:rPr>
        <w:rFonts w:asciiTheme="minorHAnsi" w:eastAsia="Calibri" w:hAnsiTheme="minorHAnsi" w:cs="Calibri"/>
      </w:rPr>
      <w:t>11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86CB86E" w14:textId="77777777" w:rsidR="00E831EA" w:rsidRDefault="00E831EA">
      <w:pPr>
        <w:spacing w:before="0" w:after="0"/>
      </w:pPr>
      <w:r>
        <w:separator/>
      </w:r>
    </w:p>
  </w:footnote>
  <w:footnote w:type="continuationSeparator" w:id="0">
    <w:p w14:paraId="06572DBA" w14:textId="77777777" w:rsidR="00E831EA" w:rsidRDefault="00E831EA">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89CEC8" w14:textId="77777777" w:rsidR="004706FB" w:rsidRDefault="00081849">
    <w:pPr>
      <w:tabs>
        <w:tab w:val="center" w:pos="4680"/>
        <w:tab w:val="right" w:pos="9360"/>
      </w:tabs>
      <w:spacing w:before="720" w:after="0"/>
      <w:jc w:val="center"/>
    </w:pPr>
    <w:r>
      <w:rPr>
        <w:noProof/>
      </w:rPr>
      <w:drawing>
        <wp:inline distT="0" distB="0" distL="0" distR="0" wp14:anchorId="08F47F4E" wp14:editId="26C47E0C">
          <wp:extent cx="2803547" cy="762952"/>
          <wp:effectExtent l="0" t="0" r="0" b="0"/>
          <wp:docPr id="5" name="image02.jpg"/>
          <wp:cNvGraphicFramePr/>
          <a:graphic xmlns:a="http://schemas.openxmlformats.org/drawingml/2006/main">
            <a:graphicData uri="http://schemas.openxmlformats.org/drawingml/2006/picture">
              <pic:pic xmlns:pic="http://schemas.openxmlformats.org/drawingml/2006/picture">
                <pic:nvPicPr>
                  <pic:cNvPr id="0" name="image02.jpg"/>
                  <pic:cNvPicPr preferRelativeResize="0"/>
                </pic:nvPicPr>
                <pic:blipFill>
                  <a:blip r:embed="rId1"/>
                  <a:srcRect/>
                  <a:stretch>
                    <a:fillRect/>
                  </a:stretch>
                </pic:blipFill>
                <pic:spPr>
                  <a:xfrm>
                    <a:off x="0" y="0"/>
                    <a:ext cx="2803547" cy="762952"/>
                  </a:xfrm>
                  <a:prstGeom prst="rect">
                    <a:avLst/>
                  </a:prstGeom>
                  <a:ln/>
                </pic:spPr>
              </pic:pic>
            </a:graphicData>
          </a:graphic>
        </wp:inline>
      </w:drawing>
    </w:r>
  </w:p>
  <w:p w14:paraId="20CEAE1E" w14:textId="77777777" w:rsidR="004706FB" w:rsidRDefault="004706FB">
    <w:pPr>
      <w:tabs>
        <w:tab w:val="center" w:pos="4680"/>
        <w:tab w:val="right" w:pos="9360"/>
      </w:tabs>
      <w:spacing w:before="0" w:after="0"/>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A5C0E"/>
    <w:multiLevelType w:val="hybridMultilevel"/>
    <w:tmpl w:val="B894A9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47D6949"/>
    <w:multiLevelType w:val="multilevel"/>
    <w:tmpl w:val="C1D6D6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7F1AE7"/>
    <w:multiLevelType w:val="hybridMultilevel"/>
    <w:tmpl w:val="B254BD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12020E2"/>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4" w15:restartNumberingAfterBreak="0">
    <w:nsid w:val="46206DE9"/>
    <w:multiLevelType w:val="multilevel"/>
    <w:tmpl w:val="C65648BC"/>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5" w15:restartNumberingAfterBreak="0">
    <w:nsid w:val="5C905425"/>
    <w:multiLevelType w:val="multilevel"/>
    <w:tmpl w:val="A42E195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6" w15:restartNumberingAfterBreak="0">
    <w:nsid w:val="5FA179A1"/>
    <w:multiLevelType w:val="multilevel"/>
    <w:tmpl w:val="CB12056A"/>
    <w:lvl w:ilvl="0">
      <w:start w:val="1"/>
      <w:numFmt w:val="decimal"/>
      <w:lvlText w:val="%1."/>
      <w:lvlJc w:val="right"/>
      <w:pPr>
        <w:ind w:left="720" w:firstLine="360"/>
      </w:pPr>
    </w:lvl>
    <w:lvl w:ilvl="1">
      <w:start w:val="1"/>
      <w:numFmt w:val="decimal"/>
      <w:lvlText w:val="%1.%2."/>
      <w:lvlJc w:val="right"/>
      <w:pPr>
        <w:ind w:left="1440" w:firstLine="1080"/>
      </w:pPr>
      <w:rPr>
        <w:rFonts w:ascii="Arial" w:eastAsia="Arial" w:hAnsi="Arial" w:cs="Arial"/>
      </w:rPr>
    </w:lvl>
    <w:lvl w:ilvl="2">
      <w:start w:val="1"/>
      <w:numFmt w:val="decimal"/>
      <w:lvlText w:val="%1.%2.%3."/>
      <w:lvlJc w:val="right"/>
      <w:pPr>
        <w:ind w:left="2160" w:firstLine="1980"/>
      </w:pPr>
    </w:lvl>
    <w:lvl w:ilvl="3">
      <w:start w:val="1"/>
      <w:numFmt w:val="decimal"/>
      <w:lvlText w:val="%1.%2.%3.%4."/>
      <w:lvlJc w:val="right"/>
      <w:pPr>
        <w:ind w:left="2880" w:firstLine="2520"/>
      </w:pPr>
    </w:lvl>
    <w:lvl w:ilvl="4">
      <w:start w:val="1"/>
      <w:numFmt w:val="decimal"/>
      <w:lvlText w:val="%1.%2.%3.%4.%5."/>
      <w:lvlJc w:val="right"/>
      <w:pPr>
        <w:ind w:left="3600" w:firstLine="3240"/>
      </w:pPr>
    </w:lvl>
    <w:lvl w:ilvl="5">
      <w:start w:val="1"/>
      <w:numFmt w:val="decimal"/>
      <w:lvlText w:val="%1.%2.%3.%4.%5.%6."/>
      <w:lvlJc w:val="right"/>
      <w:pPr>
        <w:ind w:left="4320" w:firstLine="4140"/>
      </w:pPr>
    </w:lvl>
    <w:lvl w:ilvl="6">
      <w:start w:val="1"/>
      <w:numFmt w:val="decimal"/>
      <w:lvlText w:val="%1.%2.%3.%4.%5.%6.%7."/>
      <w:lvlJc w:val="right"/>
      <w:pPr>
        <w:ind w:left="5040" w:firstLine="4680"/>
      </w:pPr>
    </w:lvl>
    <w:lvl w:ilvl="7">
      <w:start w:val="1"/>
      <w:numFmt w:val="decimal"/>
      <w:lvlText w:val="%1.%2.%3.%4.%5.%6.%7.%8."/>
      <w:lvlJc w:val="right"/>
      <w:pPr>
        <w:ind w:left="5760" w:firstLine="5400"/>
      </w:pPr>
    </w:lvl>
    <w:lvl w:ilvl="8">
      <w:start w:val="1"/>
      <w:numFmt w:val="decimal"/>
      <w:lvlText w:val="%1.%2.%3.%4.%5.%6.%7.%8.%9."/>
      <w:lvlJc w:val="right"/>
      <w:pPr>
        <w:ind w:left="6480" w:firstLine="6300"/>
      </w:pPr>
    </w:lvl>
  </w:abstractNum>
  <w:abstractNum w:abstractNumId="7" w15:restartNumberingAfterBreak="0">
    <w:nsid w:val="79191175"/>
    <w:multiLevelType w:val="hybridMultilevel"/>
    <w:tmpl w:val="CEF295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7B8502BD"/>
    <w:multiLevelType w:val="multilevel"/>
    <w:tmpl w:val="81BC804C"/>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5"/>
  </w:num>
  <w:num w:numId="2">
    <w:abstractNumId w:val="6"/>
  </w:num>
  <w:num w:numId="3">
    <w:abstractNumId w:val="8"/>
  </w:num>
  <w:num w:numId="4">
    <w:abstractNumId w:val="4"/>
  </w:num>
  <w:num w:numId="5">
    <w:abstractNumId w:val="7"/>
  </w:num>
  <w:num w:numId="6">
    <w:abstractNumId w:val="2"/>
  </w:num>
  <w:num w:numId="7">
    <w:abstractNumId w:val="3"/>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06FB"/>
    <w:rsid w:val="00035E65"/>
    <w:rsid w:val="00081849"/>
    <w:rsid w:val="001A332E"/>
    <w:rsid w:val="00212BA2"/>
    <w:rsid w:val="0022223D"/>
    <w:rsid w:val="00341712"/>
    <w:rsid w:val="003A5504"/>
    <w:rsid w:val="004376A2"/>
    <w:rsid w:val="0044237B"/>
    <w:rsid w:val="0044498F"/>
    <w:rsid w:val="004706FB"/>
    <w:rsid w:val="004900A4"/>
    <w:rsid w:val="00574BAB"/>
    <w:rsid w:val="005A7032"/>
    <w:rsid w:val="005B5BAC"/>
    <w:rsid w:val="00734852"/>
    <w:rsid w:val="009C71A1"/>
    <w:rsid w:val="00A30751"/>
    <w:rsid w:val="00BC3297"/>
    <w:rsid w:val="00BE3295"/>
    <w:rsid w:val="00BE3855"/>
    <w:rsid w:val="00C64263"/>
    <w:rsid w:val="00D040CE"/>
    <w:rsid w:val="00D41435"/>
    <w:rsid w:val="00D8646F"/>
    <w:rsid w:val="00E831EA"/>
    <w:rsid w:val="00FE6A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AB90FB"/>
  <w15:docId w15:val="{7BD007AC-1884-4E0B-9231-974FAE61A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color w:val="000000"/>
        <w:sz w:val="24"/>
        <w:szCs w:val="24"/>
        <w:lang w:val="en-US" w:eastAsia="en-US" w:bidi="ar-SA"/>
      </w:rPr>
    </w:rPrDefault>
    <w:pPrDefault>
      <w:pPr>
        <w:spacing w:before="120" w:after="120"/>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Heading1">
    <w:name w:val="heading 1"/>
    <w:basedOn w:val="Normal"/>
    <w:next w:val="Normal"/>
    <w:pPr>
      <w:keepNext/>
      <w:keepLines/>
      <w:spacing w:before="240" w:after="60"/>
      <w:ind w:left="720" w:hanging="360"/>
      <w:outlineLvl w:val="0"/>
    </w:pPr>
    <w:rPr>
      <w:b/>
      <w:sz w:val="28"/>
      <w:szCs w:val="28"/>
    </w:rPr>
  </w:style>
  <w:style w:type="paragraph" w:styleId="Heading2">
    <w:name w:val="heading 2"/>
    <w:basedOn w:val="Normal"/>
    <w:next w:val="Normal"/>
    <w:pPr>
      <w:keepNext/>
      <w:keepLines/>
      <w:spacing w:before="240" w:after="60"/>
      <w:outlineLvl w:val="1"/>
    </w:pPr>
    <w:rPr>
      <w:rFonts w:ascii="Arial" w:eastAsia="Arial" w:hAnsi="Arial" w:cs="Arial"/>
      <w:b/>
      <w:i/>
      <w:sz w:val="28"/>
      <w:szCs w:val="28"/>
    </w:rPr>
  </w:style>
  <w:style w:type="paragraph" w:styleId="Heading3">
    <w:name w:val="heading 3"/>
    <w:basedOn w:val="Normal"/>
    <w:next w:val="Normal"/>
    <w:pPr>
      <w:keepNext/>
      <w:keepLines/>
      <w:ind w:left="720"/>
      <w:outlineLvl w:val="2"/>
    </w:pPr>
    <w:rPr>
      <w:sz w:val="36"/>
      <w:szCs w:val="36"/>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240" w:after="60"/>
      <w:jc w:val="center"/>
    </w:pPr>
    <w:rPr>
      <w:rFonts w:ascii="Arial" w:eastAsia="Arial" w:hAnsi="Arial" w:cs="Arial"/>
      <w:b/>
      <w:sz w:val="32"/>
      <w:szCs w:val="3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paragraph" w:styleId="BalloonText">
    <w:name w:val="Balloon Text"/>
    <w:basedOn w:val="Normal"/>
    <w:link w:val="BalloonTextChar"/>
    <w:uiPriority w:val="99"/>
    <w:semiHidden/>
    <w:unhideWhenUsed/>
    <w:rsid w:val="00212BA2"/>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2BA2"/>
    <w:rPr>
      <w:rFonts w:ascii="Tahoma" w:hAnsi="Tahoma" w:cs="Tahoma"/>
      <w:sz w:val="16"/>
      <w:szCs w:val="16"/>
    </w:rPr>
  </w:style>
  <w:style w:type="paragraph" w:styleId="ListParagraph">
    <w:name w:val="List Paragraph"/>
    <w:basedOn w:val="Normal"/>
    <w:uiPriority w:val="34"/>
    <w:qFormat/>
    <w:rsid w:val="00BE3295"/>
    <w:pPr>
      <w:ind w:left="720"/>
      <w:contextualSpacing/>
    </w:pPr>
    <w:rPr>
      <w:color w:val="auto"/>
    </w:rPr>
  </w:style>
  <w:style w:type="character" w:styleId="CommentReference">
    <w:name w:val="annotation reference"/>
    <w:basedOn w:val="DefaultParagraphFont"/>
    <w:uiPriority w:val="99"/>
    <w:semiHidden/>
    <w:unhideWhenUsed/>
    <w:rsid w:val="005A7032"/>
    <w:rPr>
      <w:sz w:val="16"/>
      <w:szCs w:val="16"/>
    </w:rPr>
  </w:style>
  <w:style w:type="paragraph" w:styleId="CommentText">
    <w:name w:val="annotation text"/>
    <w:basedOn w:val="Normal"/>
    <w:link w:val="CommentTextChar"/>
    <w:uiPriority w:val="99"/>
    <w:semiHidden/>
    <w:unhideWhenUsed/>
    <w:rsid w:val="005A7032"/>
    <w:rPr>
      <w:sz w:val="20"/>
      <w:szCs w:val="20"/>
    </w:rPr>
  </w:style>
  <w:style w:type="character" w:customStyle="1" w:styleId="CommentTextChar">
    <w:name w:val="Comment Text Char"/>
    <w:basedOn w:val="DefaultParagraphFont"/>
    <w:link w:val="CommentText"/>
    <w:uiPriority w:val="99"/>
    <w:semiHidden/>
    <w:rsid w:val="005A7032"/>
    <w:rPr>
      <w:sz w:val="20"/>
      <w:szCs w:val="20"/>
    </w:rPr>
  </w:style>
  <w:style w:type="paragraph" w:styleId="CommentSubject">
    <w:name w:val="annotation subject"/>
    <w:basedOn w:val="CommentText"/>
    <w:next w:val="CommentText"/>
    <w:link w:val="CommentSubjectChar"/>
    <w:uiPriority w:val="99"/>
    <w:semiHidden/>
    <w:unhideWhenUsed/>
    <w:rsid w:val="005A7032"/>
    <w:rPr>
      <w:b/>
      <w:bCs/>
    </w:rPr>
  </w:style>
  <w:style w:type="character" w:customStyle="1" w:styleId="CommentSubjectChar">
    <w:name w:val="Comment Subject Char"/>
    <w:basedOn w:val="CommentTextChar"/>
    <w:link w:val="CommentSubject"/>
    <w:uiPriority w:val="99"/>
    <w:semiHidden/>
    <w:rsid w:val="005A7032"/>
    <w:rPr>
      <w:b/>
      <w:bCs/>
      <w:sz w:val="20"/>
      <w:szCs w:val="20"/>
    </w:rPr>
  </w:style>
  <w:style w:type="paragraph" w:styleId="Header">
    <w:name w:val="header"/>
    <w:basedOn w:val="Normal"/>
    <w:link w:val="HeaderChar"/>
    <w:uiPriority w:val="99"/>
    <w:unhideWhenUsed/>
    <w:rsid w:val="0044498F"/>
    <w:pPr>
      <w:tabs>
        <w:tab w:val="center" w:pos="4680"/>
        <w:tab w:val="right" w:pos="9360"/>
      </w:tabs>
      <w:spacing w:before="0" w:after="0"/>
    </w:pPr>
  </w:style>
  <w:style w:type="character" w:customStyle="1" w:styleId="HeaderChar">
    <w:name w:val="Header Char"/>
    <w:basedOn w:val="DefaultParagraphFont"/>
    <w:link w:val="Header"/>
    <w:uiPriority w:val="99"/>
    <w:rsid w:val="0044498F"/>
  </w:style>
  <w:style w:type="paragraph" w:styleId="Footer">
    <w:name w:val="footer"/>
    <w:basedOn w:val="Normal"/>
    <w:link w:val="FooterChar"/>
    <w:uiPriority w:val="99"/>
    <w:unhideWhenUsed/>
    <w:rsid w:val="0044498F"/>
    <w:pPr>
      <w:tabs>
        <w:tab w:val="center" w:pos="4680"/>
        <w:tab w:val="right" w:pos="9360"/>
      </w:tabs>
      <w:spacing w:before="0" w:after="0"/>
    </w:pPr>
  </w:style>
  <w:style w:type="character" w:customStyle="1" w:styleId="FooterChar">
    <w:name w:val="Footer Char"/>
    <w:basedOn w:val="DefaultParagraphFont"/>
    <w:link w:val="Footer"/>
    <w:uiPriority w:val="99"/>
    <w:rsid w:val="0044498F"/>
  </w:style>
  <w:style w:type="paragraph" w:styleId="NormalWeb">
    <w:name w:val="Normal (Web)"/>
    <w:basedOn w:val="Normal"/>
    <w:uiPriority w:val="99"/>
    <w:unhideWhenUsed/>
    <w:rsid w:val="00D040CE"/>
    <w:pPr>
      <w:spacing w:before="0" w:after="0"/>
    </w:pPr>
    <w:rPr>
      <w:rFonts w:eastAsiaTheme="minorHAnsi"/>
      <w:color w:val="auto"/>
    </w:rPr>
  </w:style>
  <w:style w:type="character" w:styleId="Hyperlink">
    <w:name w:val="Hyperlink"/>
    <w:basedOn w:val="DefaultParagraphFont"/>
    <w:rsid w:val="00D040C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www.ihe.net/uploadedFiles/Documents/ITI/IHE_ITI_TF_Vol3.pdf"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ihe.net/uploadedFiles/Documents/ITI/IHE_ITI_TF_Vol2b.pdf" TargetMode="External"/><Relationship Id="rId12" Type="http://schemas.openxmlformats.org/officeDocument/2006/relationships/image" Target="media/image2.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iki.directproject.org/file/view/2011-03-09%20PDF%20-%20XDR%20and%20XDM%20for%20Direct%20Messaging%20Specification_FINAL.pdf" TargetMode="External"/><Relationship Id="rId4" Type="http://schemas.openxmlformats.org/officeDocument/2006/relationships/webSettings" Target="webSettings.xml"/><Relationship Id="rId9" Type="http://schemas.openxmlformats.org/officeDocument/2006/relationships/hyperlink" Target="http://wiki.directproject.org/file/view/Applicability+Statement+for+Secure+Health+Transport+v1.1.pdf"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2526</Words>
  <Characters>14404</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Epic</Company>
  <LinksUpToDate>false</LinksUpToDate>
  <CharactersWithSpaces>16897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Vassil Peytchev</dc:creator>
  <cp:lastModifiedBy>Jones, Emma</cp:lastModifiedBy>
  <cp:revision>2</cp:revision>
  <dcterms:created xsi:type="dcterms:W3CDTF">2016-11-09T15:52:00Z</dcterms:created>
  <dcterms:modified xsi:type="dcterms:W3CDTF">2016-11-09T15:52:00Z</dcterms:modified>
</cp:coreProperties>
</file>