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B7" w:rsidRDefault="00D732B7">
      <w:pPr>
        <w:pStyle w:val="Title"/>
      </w:pPr>
      <w:r>
        <w:t>IHE Change Proposal</w:t>
      </w:r>
    </w:p>
    <w:p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3"/>
        <w:gridCol w:w="4677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 w:rsidRPr="00EC09EB">
              <w:t>PCC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PCC-CP</w:t>
            </w:r>
            <w:r w:rsidR="00BF647F">
              <w:t>-222-0</w:t>
            </w:r>
            <w:r w:rsidR="00150765">
              <w:t>4</w:t>
            </w:r>
            <w:bookmarkStart w:id="0" w:name="_GoBack"/>
            <w:bookmarkEnd w:id="0"/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:rsidR="00D732B7" w:rsidRPr="00EC09EB" w:rsidRDefault="0057054B">
            <w:pPr>
              <w:pStyle w:val="TableEntry"/>
            </w:pPr>
            <w:r>
              <w:t>Assigned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:rsidR="00D732B7" w:rsidRPr="00EC09EB" w:rsidRDefault="00150765">
            <w:pPr>
              <w:pStyle w:val="TableEntry"/>
            </w:pPr>
            <w:r>
              <w:t>2018.04</w:t>
            </w:r>
            <w:r w:rsidR="00565104">
              <w:t>.1</w:t>
            </w:r>
            <w:r>
              <w:t>3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:rsidR="00D732B7" w:rsidRPr="00EC09EB" w:rsidRDefault="00565104">
            <w:pPr>
              <w:pStyle w:val="TableEntry"/>
            </w:pPr>
            <w:r>
              <w:t>Denise Downing</w:t>
            </w:r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1"/>
        <w:gridCol w:w="4699"/>
      </w:tblGrid>
      <w:tr w:rsidR="00D732B7" w:rsidTr="00765B10">
        <w:trPr>
          <w:cantSplit/>
        </w:trPr>
        <w:tc>
          <w:tcPr>
            <w:tcW w:w="9350" w:type="dxa"/>
            <w:gridSpan w:val="2"/>
          </w:tcPr>
          <w:p w:rsidR="00D732B7" w:rsidRPr="00EC09EB" w:rsidRDefault="00EC09EB">
            <w:pPr>
              <w:pStyle w:val="TableEntryHeader"/>
            </w:pPr>
            <w:r>
              <w:t>RPM Transaction Numbers</w:t>
            </w:r>
          </w:p>
        </w:tc>
      </w:tr>
      <w:tr w:rsidR="00D732B7" w:rsidTr="00765B10">
        <w:tc>
          <w:tcPr>
            <w:tcW w:w="4651" w:type="dxa"/>
          </w:tcPr>
          <w:p w:rsidR="00D732B7" w:rsidRPr="00EC09EB" w:rsidRDefault="00D732B7">
            <w:pPr>
              <w:pStyle w:val="TableEntry"/>
            </w:pPr>
            <w:r w:rsidRPr="00EC09EB">
              <w:t>Submitter’s Name(s) and e-mail address(es):</w:t>
            </w:r>
          </w:p>
        </w:tc>
        <w:tc>
          <w:tcPr>
            <w:tcW w:w="4699" w:type="dxa"/>
          </w:tcPr>
          <w:p w:rsidR="00D732B7" w:rsidRPr="00EC09EB" w:rsidRDefault="00EC09EB">
            <w:pPr>
              <w:pStyle w:val="TableEntry"/>
            </w:pPr>
            <w:r>
              <w:t xml:space="preserve">Steve Moore, </w:t>
            </w:r>
            <w:hyperlink r:id="rId7" w:history="1">
              <w:r w:rsidRPr="00E602F6">
                <w:rPr>
                  <w:rStyle w:val="Hyperlink"/>
                </w:rPr>
                <w:t>moore.stephen.m@wustl.edu</w:t>
              </w:r>
            </w:hyperlink>
          </w:p>
        </w:tc>
      </w:tr>
      <w:tr w:rsidR="00D732B7" w:rsidTr="00765B10">
        <w:tc>
          <w:tcPr>
            <w:tcW w:w="4651" w:type="dxa"/>
          </w:tcPr>
          <w:p w:rsidR="00D732B7" w:rsidRPr="00EC09EB" w:rsidRDefault="00D732B7">
            <w:pPr>
              <w:pStyle w:val="TableEntry"/>
            </w:pPr>
            <w:r w:rsidRPr="00EC09EB">
              <w:t>Submission Date:</w:t>
            </w:r>
          </w:p>
        </w:tc>
        <w:tc>
          <w:tcPr>
            <w:tcW w:w="4699" w:type="dxa"/>
          </w:tcPr>
          <w:p w:rsidR="00D732B7" w:rsidRPr="00EC09EB" w:rsidRDefault="00EC09EB">
            <w:pPr>
              <w:pStyle w:val="TableEntry"/>
            </w:pPr>
            <w:r>
              <w:t>2016.07.11</w:t>
            </w:r>
          </w:p>
        </w:tc>
      </w:tr>
      <w:tr w:rsidR="00D732B7" w:rsidTr="00765B10">
        <w:tc>
          <w:tcPr>
            <w:tcW w:w="4651" w:type="dxa"/>
          </w:tcPr>
          <w:p w:rsidR="00D732B7" w:rsidRPr="00EC09EB" w:rsidRDefault="00D732B7">
            <w:pPr>
              <w:pStyle w:val="TableEntry"/>
            </w:pPr>
            <w:r w:rsidRPr="00EC09EB">
              <w:t>Integration Profile</w:t>
            </w:r>
            <w:r w:rsidR="002D46B1" w:rsidRPr="00EC09EB">
              <w:t>(s)</w:t>
            </w:r>
            <w:r w:rsidRPr="00EC09EB">
              <w:t xml:space="preserve"> affected:</w:t>
            </w:r>
          </w:p>
        </w:tc>
        <w:tc>
          <w:tcPr>
            <w:tcW w:w="4699" w:type="dxa"/>
          </w:tcPr>
          <w:p w:rsidR="00D732B7" w:rsidRPr="00EC09EB" w:rsidRDefault="00EC09EB">
            <w:pPr>
              <w:pStyle w:val="TableEntry"/>
            </w:pPr>
            <w:r>
              <w:t>RPM</w:t>
            </w:r>
          </w:p>
        </w:tc>
      </w:tr>
      <w:tr w:rsidR="00766FFD" w:rsidTr="00765B10">
        <w:tc>
          <w:tcPr>
            <w:tcW w:w="4651" w:type="dxa"/>
          </w:tcPr>
          <w:p w:rsidR="00766FFD" w:rsidRPr="00EC09EB" w:rsidRDefault="00766FFD">
            <w:pPr>
              <w:pStyle w:val="TableEntry"/>
            </w:pPr>
            <w:r w:rsidRPr="00EC09EB">
              <w:t>Actor(s) affected:</w:t>
            </w:r>
          </w:p>
        </w:tc>
        <w:tc>
          <w:tcPr>
            <w:tcW w:w="4699" w:type="dxa"/>
          </w:tcPr>
          <w:p w:rsidR="00766FFD" w:rsidRPr="00EC09EB" w:rsidRDefault="00EC09EB">
            <w:pPr>
              <w:pStyle w:val="TableEntry"/>
            </w:pPr>
            <w:r>
              <w:t>Sensor Data Source, Sensor Data Consumer</w:t>
            </w:r>
          </w:p>
        </w:tc>
      </w:tr>
      <w:tr w:rsidR="00D732B7" w:rsidTr="00765B10">
        <w:trPr>
          <w:cantSplit/>
        </w:trPr>
        <w:tc>
          <w:tcPr>
            <w:tcW w:w="4651" w:type="dxa"/>
          </w:tcPr>
          <w:p w:rsidR="00D732B7" w:rsidRPr="00EC09EB" w:rsidRDefault="00D732B7">
            <w:pPr>
              <w:pStyle w:val="TableEntry"/>
            </w:pPr>
            <w:r w:rsidRPr="00EC09EB">
              <w:t>IHE Technical Framework</w:t>
            </w:r>
            <w:r w:rsidR="008F1355" w:rsidRPr="00EC09EB">
              <w:t xml:space="preserve"> or Supplement</w:t>
            </w:r>
            <w:r w:rsidR="00EE3EC0" w:rsidRPr="00EC09EB">
              <w:t xml:space="preserve"> modified</w:t>
            </w:r>
            <w:r w:rsidRPr="00EC09EB">
              <w:t>:</w:t>
            </w:r>
          </w:p>
        </w:tc>
        <w:tc>
          <w:tcPr>
            <w:tcW w:w="4699" w:type="dxa"/>
          </w:tcPr>
          <w:p w:rsidR="00D732B7" w:rsidRPr="00EC09EB" w:rsidRDefault="00EC09EB">
            <w:pPr>
              <w:pStyle w:val="TableEntry"/>
            </w:pPr>
            <w:r>
              <w:t>RPM Supplement</w:t>
            </w:r>
          </w:p>
        </w:tc>
      </w:tr>
      <w:tr w:rsidR="00D732B7" w:rsidTr="00765B10">
        <w:tc>
          <w:tcPr>
            <w:tcW w:w="4651" w:type="dxa"/>
          </w:tcPr>
          <w:p w:rsidR="00D732B7" w:rsidRPr="00EC09EB" w:rsidRDefault="00D732B7">
            <w:pPr>
              <w:pStyle w:val="TableEntry"/>
            </w:pPr>
            <w:r w:rsidRPr="00EC09EB">
              <w:t>Volume(s) and Section(s) affected:</w:t>
            </w:r>
          </w:p>
        </w:tc>
        <w:tc>
          <w:tcPr>
            <w:tcW w:w="4699" w:type="dxa"/>
          </w:tcPr>
          <w:p w:rsidR="00D732B7" w:rsidRPr="00EC09EB" w:rsidRDefault="00EC09EB">
            <w:pPr>
              <w:pStyle w:val="TableEntry"/>
            </w:pPr>
            <w:r>
              <w:t>RPM Supplement, Volumes 1 and 2</w:t>
            </w:r>
          </w:p>
        </w:tc>
      </w:tr>
      <w:tr w:rsidR="00D732B7" w:rsidTr="00765B10">
        <w:trPr>
          <w:cantSplit/>
        </w:trPr>
        <w:tc>
          <w:tcPr>
            <w:tcW w:w="9350" w:type="dxa"/>
            <w:gridSpan w:val="2"/>
          </w:tcPr>
          <w:p w:rsidR="00D732B7" w:rsidRPr="00EC09EB" w:rsidRDefault="00D732B7">
            <w:pPr>
              <w:pStyle w:val="TableEntry"/>
            </w:pPr>
            <w:r w:rsidRPr="00EC09EB">
              <w:t>Rationale for Change:</w:t>
            </w:r>
          </w:p>
          <w:p w:rsidR="00D732B7" w:rsidRDefault="00EC09EB">
            <w:pPr>
              <w:pStyle w:val="TableEntry"/>
            </w:pPr>
            <w:r>
              <w:t xml:space="preserve">RPM supplement uses transaction 12 for </w:t>
            </w:r>
            <w:r>
              <w:rPr>
                <w:i/>
              </w:rPr>
              <w:t xml:space="preserve">Communicate PCHA Data </w:t>
            </w:r>
            <w:r>
              <w:t>from a Sensor Data Source to a Sensor Data Consumer. It also uses transactions 13 and 14.</w:t>
            </w:r>
          </w:p>
          <w:p w:rsidR="00EC09EB" w:rsidRDefault="00EC09EB">
            <w:pPr>
              <w:pStyle w:val="TableEntry"/>
            </w:pPr>
            <w:r>
              <w:t>Transaction 12 is already defined in the Request for Clinical Guidance (RCG) supplement and is not related to the requirements in the RPM supplement.</w:t>
            </w:r>
          </w:p>
          <w:p w:rsidR="00EC09EB" w:rsidRDefault="00EC09EB">
            <w:pPr>
              <w:pStyle w:val="TableEntry"/>
            </w:pPr>
            <w:r>
              <w:t>Transactions 13 and 14 are already defined in the RCK supplement.</w:t>
            </w:r>
          </w:p>
          <w:p w:rsidR="00EC09EB" w:rsidRDefault="00EC09EB">
            <w:pPr>
              <w:pStyle w:val="TableEntry"/>
            </w:pPr>
          </w:p>
          <w:p w:rsidR="00EC09EB" w:rsidRPr="00EC09EB" w:rsidRDefault="00EC09EB">
            <w:pPr>
              <w:pStyle w:val="TableEntry"/>
            </w:pPr>
            <w:r>
              <w:t>So, all three transactions in RPM should be remapped.</w:t>
            </w:r>
          </w:p>
          <w:p w:rsidR="00D732B7" w:rsidRPr="00EC09EB" w:rsidRDefault="00D732B7">
            <w:pPr>
              <w:pStyle w:val="TableEntry"/>
            </w:pPr>
          </w:p>
        </w:tc>
      </w:tr>
    </w:tbl>
    <w:p w:rsidR="00765B10" w:rsidRDefault="00765B10" w:rsidP="00765B10">
      <w:pPr>
        <w:pStyle w:val="BodyText"/>
      </w:pPr>
    </w:p>
    <w:p w:rsidR="0096532F" w:rsidRDefault="000F524F">
      <w:pPr>
        <w:pStyle w:val="BodyText"/>
        <w:rPr>
          <w:color w:val="FF0000"/>
        </w:rPr>
      </w:pPr>
      <w:r>
        <w:rPr>
          <w:color w:val="FF0000"/>
        </w:rPr>
        <w:t xml:space="preserve">Rejected Ballot April 6, 2018 because CP didn’t include content where changes needed to be made. </w:t>
      </w:r>
    </w:p>
    <w:p w:rsidR="000F524F" w:rsidRDefault="000F524F" w:rsidP="000F524F">
      <w:pPr>
        <w:pStyle w:val="BodyText"/>
      </w:pPr>
    </w:p>
    <w:p w:rsidR="000F524F" w:rsidRDefault="000F524F" w:rsidP="000F524F">
      <w:pPr>
        <w:pStyle w:val="BodyText"/>
      </w:pPr>
      <w:r>
        <w:t>See the below rows for changes (they appear to have been completed already- DMD 4-13-2018):</w:t>
      </w:r>
    </w:p>
    <w:p w:rsidR="00940159" w:rsidRDefault="00EC5622">
      <w:pPr>
        <w:pStyle w:val="BodyText"/>
        <w:rPr>
          <w:color w:val="FF0000"/>
        </w:rPr>
      </w:pPr>
      <w:r>
        <w:rPr>
          <w:color w:val="FF0000"/>
        </w:rPr>
        <w:t>Where Transaction 12 is used, it needs to change to 15</w:t>
      </w:r>
    </w:p>
    <w:p w:rsidR="00765B10" w:rsidRPr="0056630F" w:rsidRDefault="00765B10" w:rsidP="00765B10">
      <w:pPr>
        <w:pStyle w:val="TOC1"/>
        <w:numPr>
          <w:ilvl w:val="0"/>
          <w:numId w:val="21"/>
        </w:numPr>
        <w:rPr>
          <w:rFonts w:asciiTheme="minorHAnsi" w:eastAsiaTheme="minorEastAsia" w:hAnsiTheme="minorHAnsi" w:cstheme="minorBidi"/>
          <w:b/>
          <w:sz w:val="22"/>
          <w:szCs w:val="22"/>
        </w:rPr>
      </w:pPr>
      <w:r>
        <w:t xml:space="preserve">Row 90 </w:t>
      </w:r>
      <w:hyperlink w:anchor="_Toc483511415" w:history="1">
        <w:r w:rsidRPr="0056630F">
          <w:rPr>
            <w:rStyle w:val="Hyperlink"/>
            <w:b/>
          </w:rPr>
          <w:t>Volume 2 – Transactions</w:t>
        </w:r>
        <w:r w:rsidRPr="0056630F">
          <w:rPr>
            <w:b/>
            <w:webHidden/>
          </w:rPr>
          <w:tab/>
        </w:r>
      </w:hyperlink>
      <w:r>
        <w:rPr>
          <w:b/>
        </w:rPr>
        <w:t>32</w:t>
      </w:r>
    </w:p>
    <w:p w:rsidR="00765B10" w:rsidRPr="00765B10" w:rsidRDefault="001E7915" w:rsidP="00765B10">
      <w:pPr>
        <w:pStyle w:val="TOC2"/>
        <w:numPr>
          <w:ilvl w:val="1"/>
          <w:numId w:val="22"/>
        </w:numPr>
        <w:rPr>
          <w:rFonts w:asciiTheme="minorHAnsi" w:eastAsiaTheme="minorEastAsia" w:hAnsiTheme="minorHAnsi" w:cstheme="minorBidi"/>
          <w:sz w:val="22"/>
          <w:szCs w:val="22"/>
        </w:rPr>
      </w:pPr>
      <w:hyperlink w:anchor="_Toc483511416" w:history="1">
        <w:r w:rsidR="00765B10" w:rsidRPr="00DC4BA0">
          <w:rPr>
            <w:rStyle w:val="Hyperlink"/>
          </w:rPr>
          <w:t>Communicate PCHA Data Transaction [PCC-15]</w:t>
        </w:r>
        <w:r w:rsidR="00765B10">
          <w:rPr>
            <w:webHidden/>
          </w:rPr>
          <w:tab/>
        </w:r>
        <w:r w:rsidR="00765B10">
          <w:rPr>
            <w:webHidden/>
          </w:rPr>
          <w:fldChar w:fldCharType="begin"/>
        </w:r>
        <w:r w:rsidR="00765B10">
          <w:rPr>
            <w:webHidden/>
          </w:rPr>
          <w:instrText xml:space="preserve"> PAGEREF _Toc483511416 \h </w:instrText>
        </w:r>
        <w:r w:rsidR="00765B10">
          <w:rPr>
            <w:webHidden/>
          </w:rPr>
        </w:r>
        <w:r w:rsidR="00765B10">
          <w:rPr>
            <w:webHidden/>
          </w:rPr>
          <w:fldChar w:fldCharType="separate"/>
        </w:r>
        <w:r w:rsidR="00765B10">
          <w:rPr>
            <w:webHidden/>
          </w:rPr>
          <w:t>32</w:t>
        </w:r>
        <w:r w:rsidR="00765B10">
          <w:rPr>
            <w:webHidden/>
          </w:rPr>
          <w:fldChar w:fldCharType="end"/>
        </w:r>
      </w:hyperlink>
    </w:p>
    <w:p w:rsidR="00765B10" w:rsidRPr="00765B10" w:rsidRDefault="00765B10" w:rsidP="00765B10">
      <w:pPr>
        <w:pStyle w:val="TOC2"/>
        <w:numPr>
          <w:ilvl w:val="0"/>
          <w:numId w:val="2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765B10">
        <w:t xml:space="preserve">Row 230 </w:t>
      </w:r>
      <w:r w:rsidRPr="00765B10">
        <w:rPr>
          <w:color w:val="FF0000"/>
        </w:rPr>
        <w:t xml:space="preserve">- </w:t>
      </w:r>
      <w:r w:rsidRPr="00765B10">
        <w:rPr>
          <w:b/>
        </w:rPr>
        <w:t>Communicate PCHA Data Transaction (RPM)</w:t>
      </w:r>
      <w:r>
        <w:t xml:space="preserve"> [</w:t>
      </w:r>
      <w:r w:rsidRPr="00565EA4">
        <w:t>PCC-15</w:t>
      </w:r>
      <w:r>
        <w:t>]</w:t>
      </w:r>
    </w:p>
    <w:p w:rsidR="00765B10" w:rsidRPr="00765B10" w:rsidRDefault="00765B10" w:rsidP="00765B10">
      <w:pPr>
        <w:pStyle w:val="BodyText"/>
        <w:numPr>
          <w:ilvl w:val="0"/>
          <w:numId w:val="21"/>
        </w:numPr>
        <w:spacing w:before="0"/>
      </w:pPr>
      <w:r w:rsidRPr="00940159">
        <w:rPr>
          <w:szCs w:val="24"/>
        </w:rPr>
        <w:t>Rows 275</w:t>
      </w:r>
      <w:r>
        <w:rPr>
          <w:szCs w:val="24"/>
        </w:rPr>
        <w:t xml:space="preserve"> - </w:t>
      </w:r>
      <w:r w:rsidRPr="00565EA4">
        <w:rPr>
          <w:b/>
        </w:rPr>
        <w:t>Communicate PCHA Data</w:t>
      </w:r>
      <w:r w:rsidRPr="00565EA4">
        <w:t xml:space="preserve"> </w:t>
      </w:r>
      <w:r>
        <w:t>[</w:t>
      </w:r>
      <w:r w:rsidRPr="00565EA4">
        <w:rPr>
          <w:szCs w:val="24"/>
        </w:rPr>
        <w:t>PCC-15</w:t>
      </w:r>
      <w:r>
        <w:rPr>
          <w:szCs w:val="24"/>
        </w:rPr>
        <w:t>]</w:t>
      </w:r>
    </w:p>
    <w:p w:rsidR="00765B10" w:rsidRPr="00765B10" w:rsidRDefault="00765B10" w:rsidP="00765B10">
      <w:pPr>
        <w:pStyle w:val="BodyText"/>
        <w:numPr>
          <w:ilvl w:val="0"/>
          <w:numId w:val="21"/>
        </w:numPr>
        <w:spacing w:before="0"/>
      </w:pPr>
      <w:r w:rsidRPr="00765B10">
        <w:rPr>
          <w:szCs w:val="24"/>
        </w:rPr>
        <w:t xml:space="preserve">Row 800 – </w:t>
      </w:r>
      <w:bookmarkStart w:id="1" w:name="_Toc483511416"/>
      <w:r w:rsidRPr="00765B10">
        <w:rPr>
          <w:noProof w:val="0"/>
          <w:szCs w:val="24"/>
        </w:rPr>
        <w:t>3.15 Communicate PCHA Data Transaction [PCC-15]</w:t>
      </w:r>
      <w:bookmarkEnd w:id="1"/>
    </w:p>
    <w:p w:rsidR="00765B10" w:rsidRDefault="00765B10" w:rsidP="00765B10">
      <w:pPr>
        <w:pStyle w:val="FigureTitle"/>
        <w:numPr>
          <w:ilvl w:val="0"/>
          <w:numId w:val="20"/>
        </w:numPr>
        <w:spacing w:before="0" w:after="0"/>
        <w:jc w:val="left"/>
        <w:rPr>
          <w:rFonts w:ascii="Times New Roman" w:hAnsi="Times New Roman"/>
          <w:b w:val="0"/>
          <w:sz w:val="24"/>
          <w:szCs w:val="24"/>
        </w:rPr>
      </w:pPr>
      <w:r w:rsidRPr="00765B10">
        <w:rPr>
          <w:rFonts w:ascii="Times New Roman" w:hAnsi="Times New Roman"/>
          <w:b w:val="0"/>
          <w:sz w:val="24"/>
          <w:szCs w:val="24"/>
        </w:rPr>
        <w:t>Row 825</w:t>
      </w:r>
      <w:r>
        <w:rPr>
          <w:rFonts w:ascii="Times New Roman" w:hAnsi="Times New Roman"/>
          <w:b w:val="0"/>
          <w:sz w:val="24"/>
          <w:szCs w:val="24"/>
        </w:rPr>
        <w:t xml:space="preserve"> -</w:t>
      </w:r>
      <w:r w:rsidRPr="00716DD5">
        <w:rPr>
          <w:rFonts w:ascii="Times New Roman" w:hAnsi="Times New Roman"/>
          <w:b w:val="0"/>
          <w:sz w:val="24"/>
          <w:szCs w:val="24"/>
        </w:rPr>
        <w:t xml:space="preserve"> Figure 3.15.2-1: Use Case Diagram</w:t>
      </w:r>
    </w:p>
    <w:p w:rsidR="00765B10" w:rsidRPr="00765B10" w:rsidRDefault="00765B10" w:rsidP="00765B10">
      <w:pPr>
        <w:pStyle w:val="BodyText"/>
        <w:numPr>
          <w:ilvl w:val="0"/>
          <w:numId w:val="21"/>
        </w:numPr>
        <w:spacing w:before="0"/>
      </w:pPr>
    </w:p>
    <w:p w:rsidR="00EC5622" w:rsidRDefault="00EC5622">
      <w:pPr>
        <w:pStyle w:val="BodyText"/>
        <w:rPr>
          <w:color w:val="FF0000"/>
        </w:rPr>
      </w:pPr>
      <w:r>
        <w:rPr>
          <w:color w:val="FF0000"/>
        </w:rPr>
        <w:t>Where Transaction 13 is used, it needs to change to 21</w:t>
      </w:r>
    </w:p>
    <w:p w:rsidR="0066009F" w:rsidRDefault="0066009F" w:rsidP="0066009F">
      <w:pPr>
        <w:pStyle w:val="TOC2"/>
        <w:numPr>
          <w:ilvl w:val="0"/>
          <w:numId w:val="21"/>
        </w:numPr>
        <w:rPr>
          <w:rFonts w:asciiTheme="minorHAnsi" w:eastAsiaTheme="minorEastAsia" w:hAnsiTheme="minorHAnsi" w:cstheme="minorBidi"/>
          <w:sz w:val="22"/>
          <w:szCs w:val="22"/>
        </w:rPr>
      </w:pPr>
      <w:r>
        <w:lastRenderedPageBreak/>
        <w:t xml:space="preserve">Row 110 - </w:t>
      </w:r>
      <w:hyperlink w:anchor="_Toc483511437" w:history="1">
        <w:r w:rsidRPr="00DC4BA0">
          <w:rPr>
            <w:rStyle w:val="Hyperlink"/>
          </w:rPr>
          <w:t>3.21 PCD Communicate PCD Data-hData Transaction [PCC-21]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_Toc483511437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66009F" w:rsidRPr="00565EA4" w:rsidRDefault="0066009F" w:rsidP="0066009F">
      <w:pPr>
        <w:pStyle w:val="ListBullet1"/>
        <w:numPr>
          <w:ilvl w:val="0"/>
          <w:numId w:val="21"/>
        </w:numPr>
      </w:pPr>
      <w:r>
        <w:t xml:space="preserve">Row 233 - </w:t>
      </w:r>
      <w:r w:rsidRPr="00565EA4">
        <w:t>Communicate PCD Data-hData (RPM)</w:t>
      </w:r>
      <w:r>
        <w:t xml:space="preserve"> [</w:t>
      </w:r>
      <w:r w:rsidRPr="00565EA4">
        <w:t>PCC-21</w:t>
      </w:r>
      <w:r>
        <w:t>]</w:t>
      </w:r>
    </w:p>
    <w:p w:rsidR="00765B10" w:rsidRPr="0066009F" w:rsidRDefault="00765B10" w:rsidP="0066009F">
      <w:pPr>
        <w:pStyle w:val="BodyText"/>
        <w:numPr>
          <w:ilvl w:val="0"/>
          <w:numId w:val="23"/>
        </w:numPr>
        <w:spacing w:before="0"/>
      </w:pPr>
      <w:r>
        <w:t xml:space="preserve">Row 280 - </w:t>
      </w:r>
      <w:r w:rsidRPr="00565EA4">
        <w:rPr>
          <w:b/>
        </w:rPr>
        <w:t xml:space="preserve">Communicate PCD Data-hData </w:t>
      </w:r>
      <w:r>
        <w:rPr>
          <w:b/>
        </w:rPr>
        <w:t>[</w:t>
      </w:r>
      <w:r w:rsidRPr="00565EA4">
        <w:rPr>
          <w:szCs w:val="24"/>
        </w:rPr>
        <w:t>PCC-21</w:t>
      </w:r>
      <w:r>
        <w:rPr>
          <w:szCs w:val="24"/>
        </w:rPr>
        <w:t>]</w:t>
      </w:r>
    </w:p>
    <w:p w:rsidR="0066009F" w:rsidRDefault="0066009F" w:rsidP="00765B10">
      <w:pPr>
        <w:pStyle w:val="BodyText"/>
        <w:numPr>
          <w:ilvl w:val="0"/>
          <w:numId w:val="23"/>
        </w:numPr>
      </w:pPr>
      <w:r>
        <w:t xml:space="preserve">Row 289 – </w:t>
      </w:r>
    </w:p>
    <w:p w:rsidR="0066009F" w:rsidRPr="00565EA4" w:rsidRDefault="0066009F" w:rsidP="0066009F">
      <w:pPr>
        <w:pStyle w:val="BodyText"/>
        <w:ind w:left="720"/>
      </w:pPr>
      <w:r w:rsidRPr="00565EA4">
        <w:rPr>
          <w:b/>
        </w:rPr>
        <w:t xml:space="preserve">Communicate FHIR Data-hData </w:t>
      </w:r>
      <w:r>
        <w:rPr>
          <w:b/>
        </w:rPr>
        <w:t>[</w:t>
      </w:r>
      <w:r w:rsidRPr="00565EA4">
        <w:rPr>
          <w:szCs w:val="24"/>
        </w:rPr>
        <w:t>PCC-42</w:t>
      </w:r>
      <w:r>
        <w:rPr>
          <w:szCs w:val="24"/>
        </w:rPr>
        <w:t>]</w:t>
      </w:r>
      <w:r w:rsidRPr="00565EA4">
        <w:rPr>
          <w:szCs w:val="24"/>
        </w:rPr>
        <w:t xml:space="preserve"> – </w:t>
      </w:r>
      <w:r w:rsidRPr="00565EA4">
        <w:t>This transaction contains a complete FHIR bundle generated from sensor data using REST</w:t>
      </w:r>
      <w:r>
        <w:t>f</w:t>
      </w:r>
      <w:r w:rsidRPr="00565EA4">
        <w:t xml:space="preserve">ul POST transports. By ‘complete’ is meant that is has all the information content that would have been present in the </w:t>
      </w:r>
      <w:r w:rsidRPr="0066009F">
        <w:rPr>
          <w:highlight w:val="yellow"/>
        </w:rPr>
        <w:t>PCC-21</w:t>
      </w:r>
      <w:r w:rsidRPr="00565EA4">
        <w:t xml:space="preserve"> transaction PCD-01 message. The uploading side of the transaction cannot assume that the consumer persists data.</w:t>
      </w:r>
    </w:p>
    <w:p w:rsidR="0066009F" w:rsidRPr="0066009F" w:rsidRDefault="0066009F" w:rsidP="0066009F">
      <w:pPr>
        <w:pStyle w:val="BodyText"/>
        <w:numPr>
          <w:ilvl w:val="0"/>
          <w:numId w:val="23"/>
        </w:numPr>
      </w:pPr>
      <w:bookmarkStart w:id="2" w:name="_Toc483511437"/>
      <w:r w:rsidRPr="0066009F">
        <w:rPr>
          <w:szCs w:val="24"/>
        </w:rPr>
        <w:t>Row 395 - Figure X.1-1: RPM Actor Diagram</w:t>
      </w:r>
    </w:p>
    <w:p w:rsidR="00765B10" w:rsidRPr="0066009F" w:rsidRDefault="0066009F" w:rsidP="00765B10">
      <w:pPr>
        <w:pStyle w:val="BodyText"/>
        <w:numPr>
          <w:ilvl w:val="0"/>
          <w:numId w:val="23"/>
        </w:numPr>
      </w:pPr>
      <w:r w:rsidRPr="00716DD5">
        <w:rPr>
          <w:noProof w:val="0"/>
          <w:szCs w:val="24"/>
        </w:rPr>
        <w:t>Row 105</w:t>
      </w:r>
      <w:r>
        <w:rPr>
          <w:noProof w:val="0"/>
          <w:szCs w:val="24"/>
        </w:rPr>
        <w:t>6 -</w:t>
      </w:r>
      <w:r w:rsidRPr="00716DD5">
        <w:rPr>
          <w:noProof w:val="0"/>
          <w:szCs w:val="24"/>
        </w:rPr>
        <w:t xml:space="preserve"> Section - 3.21 PCD Communicate PCD Data-hData Transaction [PCC-21]</w:t>
      </w:r>
      <w:bookmarkEnd w:id="2"/>
    </w:p>
    <w:p w:rsidR="0066009F" w:rsidRPr="0066009F" w:rsidRDefault="0066009F" w:rsidP="00765B10">
      <w:pPr>
        <w:pStyle w:val="BodyText"/>
        <w:numPr>
          <w:ilvl w:val="0"/>
          <w:numId w:val="23"/>
        </w:numPr>
      </w:pPr>
      <w:r>
        <w:t xml:space="preserve">Row 1060 - </w:t>
      </w:r>
      <w:r w:rsidRPr="00716DD5">
        <w:rPr>
          <w:szCs w:val="24"/>
        </w:rPr>
        <w:t>Figure 3.21.2-1: Use Case Diagram</w:t>
      </w:r>
    </w:p>
    <w:p w:rsidR="0066009F" w:rsidRPr="00765B10" w:rsidRDefault="0066009F" w:rsidP="0066009F">
      <w:pPr>
        <w:pStyle w:val="BodyText"/>
        <w:ind w:left="720"/>
      </w:pPr>
      <w:r w:rsidRPr="00565EA4">
        <mc:AlternateContent>
          <mc:Choice Requires="wpc">
            <w:drawing>
              <wp:inline distT="0" distB="0" distL="0" distR="0" wp14:anchorId="4DDC59D9" wp14:editId="196FC43C">
                <wp:extent cx="3726180" cy="1539240"/>
                <wp:effectExtent l="0" t="0" r="0" b="3810"/>
                <wp:docPr id="239" name="Canvas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4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1110826" y="776897"/>
                            <a:ext cx="1544320" cy="7132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6009F" w:rsidRDefault="0066009F" w:rsidP="0066009F">
                              <w:pPr>
                                <w:spacing w:befor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PCD Communicate PCD</w:t>
                              </w:r>
                              <w:r w:rsidRPr="00CB5606">
                                <w:rPr>
                                  <w:sz w:val="18"/>
                                </w:rPr>
                                <w:t xml:space="preserve"> Data</w:t>
                              </w:r>
                              <w:r>
                                <w:rPr>
                                  <w:sz w:val="18"/>
                                </w:rPr>
                                <w:t>-hData</w:t>
                              </w:r>
                              <w:r w:rsidRPr="00CB5606">
                                <w:rPr>
                                  <w:sz w:val="18"/>
                                </w:rPr>
                                <w:t xml:space="preserve"> Transaction</w:t>
                              </w:r>
                              <w:r>
                                <w:rPr>
                                  <w:sz w:val="18"/>
                                </w:rPr>
                                <w:t xml:space="preserve"> [</w:t>
                              </w:r>
                              <w:r w:rsidRPr="00CB5606">
                                <w:rPr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z w:val="18"/>
                                </w:rPr>
                                <w:t>CD</w:t>
                              </w:r>
                              <w:r w:rsidRPr="00CB5606">
                                <w:rPr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z w:val="18"/>
                                </w:rPr>
                                <w:t>21]</w:t>
                              </w:r>
                            </w:p>
                            <w:p w:rsidR="0066009F" w:rsidRDefault="0066009F" w:rsidP="0066009F"/>
                            <w:p w:rsidR="0066009F" w:rsidRDefault="0066009F" w:rsidP="0066009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Transaction Name [DOM-#]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71698" y="168367"/>
                            <a:ext cx="1161802" cy="457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009F" w:rsidRDefault="0066009F" w:rsidP="0066009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Device Observation Reporter</w:t>
                              </w:r>
                            </w:p>
                            <w:p w:rsidR="0066009F" w:rsidRDefault="0066009F" w:rsidP="0066009F"/>
                            <w:p w:rsidR="0066009F" w:rsidRDefault="0066009F" w:rsidP="0066009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Actor ABC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Line 155"/>
                        <wps:cNvCnPr>
                          <a:cxnSpLocks noChangeShapeType="1"/>
                          <a:endCxn id="234" idx="1"/>
                        </wps:cNvCnPr>
                        <wps:spPr bwMode="auto">
                          <a:xfrm>
                            <a:off x="1086321" y="625600"/>
                            <a:ext cx="250665" cy="255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509434" y="168367"/>
                            <a:ext cx="1121072" cy="457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009F" w:rsidRDefault="0066009F" w:rsidP="0066009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Device Observation Consumer</w:t>
                              </w:r>
                            </w:p>
                            <w:p w:rsidR="0066009F" w:rsidRDefault="0066009F" w:rsidP="0066009F"/>
                            <w:p w:rsidR="0066009F" w:rsidRDefault="0066009F" w:rsidP="0066009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Actor DEF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Line 157"/>
                        <wps:cNvCnPr>
                          <a:cxnSpLocks noChangeShapeType="1"/>
                          <a:endCxn id="234" idx="7"/>
                        </wps:cNvCnPr>
                        <wps:spPr bwMode="auto">
                          <a:xfrm flipH="1">
                            <a:off x="2428986" y="625600"/>
                            <a:ext cx="219130" cy="255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DC59D9" id="Canvas 239" o:spid="_x0000_s1026" editas="canvas" style="width:293.4pt;height:121.2pt;mso-position-horizontal-relative:char;mso-position-vertical-relative:line" coordsize="37261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261;height:15392;visibility:visible;mso-wrap-style:square">
                  <v:fill o:detectmouseclick="t"/>
                  <v:path o:connecttype="none"/>
                </v:shape>
                <v:oval id="Oval 153" o:spid="_x0000_s1028" style="position:absolute;left:11108;top:7768;width:15443;height:7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FDn8IA&#10;AADcAAAADwAAAGRycy9kb3ducmV2LnhtbESPQWsCMRSE70L/Q3hCb5p1KyKrUVpR7K24iufn5jVZ&#10;3Lwsm1TXf98UCh6HmfmGWa5714gbdaH2rGAyzkAQV17XbBScjrvRHESIyBobz6TgQQHWq5fBEgvt&#10;73ygWxmNSBAOBSqwMbaFlKGy5DCMfUucvG/fOYxJdkbqDu8J7hqZZ9lMOqw5LVhsaWOpupY/TsG1&#10;uezjDmdlvp9+fRhr3JYfZ6Veh/37AkSkPj7D/+1PrSB/m8LfmXQ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8UOfwgAAANwAAAAPAAAAAAAAAAAAAAAAAJgCAABkcnMvZG93&#10;bnJldi54bWxQSwUGAAAAAAQABAD1AAAAhwMAAAAA&#10;">
                  <v:textbox inset="0,0,0,0">
                    <w:txbxContent>
                      <w:p w:rsidR="0066009F" w:rsidRDefault="0066009F" w:rsidP="0066009F">
                        <w:pPr>
                          <w:spacing w:befor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PCD Communicate PCD</w:t>
                        </w:r>
                        <w:r w:rsidRPr="00CB5606">
                          <w:rPr>
                            <w:sz w:val="18"/>
                          </w:rPr>
                          <w:t xml:space="preserve"> Data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proofErr w:type="spellStart"/>
                        <w:r>
                          <w:rPr>
                            <w:sz w:val="18"/>
                          </w:rPr>
                          <w:t>hData</w:t>
                        </w:r>
                        <w:proofErr w:type="spellEnd"/>
                        <w:r w:rsidRPr="00CB5606">
                          <w:rPr>
                            <w:sz w:val="18"/>
                          </w:rPr>
                          <w:t xml:space="preserve"> Transaction</w:t>
                        </w:r>
                        <w:r>
                          <w:rPr>
                            <w:sz w:val="18"/>
                          </w:rPr>
                          <w:t xml:space="preserve"> [</w:t>
                        </w:r>
                        <w:r w:rsidRPr="00CB5606">
                          <w:rPr>
                            <w:sz w:val="18"/>
                          </w:rPr>
                          <w:t>P</w:t>
                        </w:r>
                        <w:r>
                          <w:rPr>
                            <w:sz w:val="18"/>
                          </w:rPr>
                          <w:t>CD</w:t>
                        </w:r>
                        <w:r w:rsidRPr="00CB5606"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z w:val="18"/>
                          </w:rPr>
                          <w:t>21]</w:t>
                        </w:r>
                      </w:p>
                      <w:p w:rsidR="0066009F" w:rsidRDefault="0066009F" w:rsidP="0066009F"/>
                      <w:p w:rsidR="0066009F" w:rsidRDefault="0066009F" w:rsidP="0066009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Transaction Name [DOM-#]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4" o:spid="_x0000_s1029" type="#_x0000_t202" style="position:absolute;left:1716;top:1683;width:11619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40f8YA&#10;AADcAAAADwAAAGRycy9kb3ducmV2LnhtbESPT2sCMRTE70K/Q3hCL6LZaqt2NUoRWvRW/2Cvj81z&#10;d+nmZZvEdf32piB4HGbmN8x82ZpKNOR8aVnByyABQZxZXXKu4LD/7E9B+ICssbJMCq7kYbl46swx&#10;1fbCW2p2IRcRwj5FBUUIdSqlzwoy6Ae2Jo7eyTqDIUqXS+3wEuGmksMkGUuDJceFAmtaFZT97s5G&#10;wfR13fz4zej7mI1P1XvoTZqvP6fUc7f9mIEI1IZH+N5eawXD0Rv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40f8YAAADcAAAADwAAAAAAAAAAAAAAAACYAgAAZHJz&#10;L2Rvd25yZXYueG1sUEsFBgAAAAAEAAQA9QAAAIsDAAAAAA==&#10;">
                  <v:textbox>
                    <w:txbxContent>
                      <w:p w:rsidR="0066009F" w:rsidRDefault="0066009F" w:rsidP="0066009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Device Observation Reporter</w:t>
                        </w:r>
                      </w:p>
                      <w:p w:rsidR="0066009F" w:rsidRDefault="0066009F" w:rsidP="0066009F"/>
                      <w:p w:rsidR="0066009F" w:rsidRDefault="0066009F" w:rsidP="0066009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Actor ABC</w:t>
                        </w:r>
                      </w:p>
                    </w:txbxContent>
                  </v:textbox>
                </v:shape>
                <v:line id="Line 155" o:spid="_x0000_s1030" style="position:absolute;visibility:visible;mso-wrap-style:square" from="10863,6256" to="13369,8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<v:shape id="Text Box 156" o:spid="_x0000_s1031" type="#_x0000_t202" style="position:absolute;left:25094;top:1683;width:11211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Pk8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oGwwn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APk8YAAADcAAAADwAAAAAAAAAAAAAAAACYAgAAZHJz&#10;L2Rvd25yZXYueG1sUEsFBgAAAAAEAAQA9QAAAIsDAAAAAA==&#10;">
                  <v:textbox>
                    <w:txbxContent>
                      <w:p w:rsidR="0066009F" w:rsidRDefault="0066009F" w:rsidP="0066009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Device Observation Consumer</w:t>
                        </w:r>
                      </w:p>
                      <w:p w:rsidR="0066009F" w:rsidRDefault="0066009F" w:rsidP="0066009F"/>
                      <w:p w:rsidR="0066009F" w:rsidRDefault="0066009F" w:rsidP="0066009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Actor DEF</w:t>
                        </w:r>
                      </w:p>
                    </w:txbxContent>
                  </v:textbox>
                </v:shape>
                <v:line id="Line 157" o:spid="_x0000_s1032" style="position:absolute;flip:x;visibility:visible;mso-wrap-style:square" from="24289,6256" to="26481,8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ImZsQAAADcAAAADwAAAGRycy9kb3ducmV2LnhtbERPy2oCMRTdC/2HcAvdFM3UFtGpUUQQ&#10;unDjgxF318ntZJjJzTRJdfr3zUJweTjv+bK3rbiSD7VjBW+jDARx6XTNlYLjYTOcgggRWWPrmBT8&#10;UYDl4mkwx1y7G+/ouo+VSCEcclRgYuxyKUNpyGIYuY44cd/OW4wJ+kpqj7cUbls5zrKJtFhzajDY&#10;0dpQ2ex/rQI53b7++NXloyma02lmirLozlulXp771SeISH18iO/uL61g/J7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4iZmxAAAANwAAAAPAAAAAAAAAAAA&#10;AAAAAKECAABkcnMvZG93bnJldi54bWxQSwUGAAAAAAQABAD5AAAAkgMAAAAA&#10;"/>
                <w10:anchorlock/>
              </v:group>
            </w:pict>
          </mc:Fallback>
        </mc:AlternateContent>
      </w:r>
    </w:p>
    <w:p w:rsidR="0066009F" w:rsidRDefault="0066009F" w:rsidP="00EC5622">
      <w:pPr>
        <w:pStyle w:val="BodyText"/>
        <w:rPr>
          <w:color w:val="FF0000"/>
        </w:rPr>
      </w:pPr>
    </w:p>
    <w:p w:rsidR="00EC5622" w:rsidRDefault="00EC5622" w:rsidP="00EC5622">
      <w:pPr>
        <w:pStyle w:val="BodyText"/>
        <w:rPr>
          <w:color w:val="FF0000"/>
        </w:rPr>
      </w:pPr>
      <w:r>
        <w:rPr>
          <w:color w:val="FF0000"/>
        </w:rPr>
        <w:t>Where Transaction 14 is used, it needs to change to 22</w:t>
      </w:r>
    </w:p>
    <w:p w:rsidR="0066009F" w:rsidRDefault="0066009F" w:rsidP="0066009F">
      <w:pPr>
        <w:pStyle w:val="TOC2"/>
        <w:numPr>
          <w:ilvl w:val="0"/>
          <w:numId w:val="25"/>
        </w:numPr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Row 134 - </w:t>
      </w:r>
      <w:hyperlink w:anchor="_Toc483511458" w:history="1">
        <w:r w:rsidRPr="00DC4BA0">
          <w:rPr>
            <w:rStyle w:val="Hyperlink"/>
          </w:rPr>
          <w:t>3.22 PCD Communicate PCD Data-SOAP Transaction [PCC-22]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_Toc483511458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:rsidR="00765B10" w:rsidRPr="00765B10" w:rsidRDefault="00765B10" w:rsidP="00765B10">
      <w:pPr>
        <w:pStyle w:val="BodyText"/>
        <w:numPr>
          <w:ilvl w:val="0"/>
          <w:numId w:val="24"/>
        </w:numPr>
      </w:pPr>
      <w:r>
        <w:t>Row 2</w:t>
      </w:r>
      <w:r w:rsidR="00C160D6">
        <w:t>33</w:t>
      </w:r>
      <w:r>
        <w:t xml:space="preserve"> - </w:t>
      </w:r>
      <w:r w:rsidRPr="00C160D6">
        <w:rPr>
          <w:b/>
        </w:rPr>
        <w:t>Communicate PCD Data-SOAP</w:t>
      </w:r>
      <w:r w:rsidRPr="00565EA4">
        <w:rPr>
          <w:b/>
        </w:rPr>
        <w:t xml:space="preserve"> </w:t>
      </w:r>
      <w:r>
        <w:rPr>
          <w:b/>
        </w:rPr>
        <w:t>[</w:t>
      </w:r>
      <w:r w:rsidRPr="00565EA4">
        <w:rPr>
          <w:szCs w:val="24"/>
        </w:rPr>
        <w:t>PCC-22</w:t>
      </w:r>
      <w:r>
        <w:rPr>
          <w:szCs w:val="24"/>
        </w:rPr>
        <w:t>]</w:t>
      </w:r>
    </w:p>
    <w:p w:rsidR="00C160D6" w:rsidRPr="00C160D6" w:rsidRDefault="00C160D6" w:rsidP="00C160D6">
      <w:pPr>
        <w:pStyle w:val="BodyText"/>
        <w:numPr>
          <w:ilvl w:val="0"/>
          <w:numId w:val="24"/>
        </w:numPr>
      </w:pPr>
      <w:r>
        <w:t xml:space="preserve">Row 284 - </w:t>
      </w:r>
      <w:r w:rsidRPr="00565EA4">
        <w:rPr>
          <w:b/>
        </w:rPr>
        <w:t xml:space="preserve">Communicate PCD Data-SOAP </w:t>
      </w:r>
      <w:r>
        <w:rPr>
          <w:b/>
        </w:rPr>
        <w:t>[</w:t>
      </w:r>
      <w:r w:rsidRPr="00565EA4">
        <w:rPr>
          <w:szCs w:val="24"/>
        </w:rPr>
        <w:t>PCC-22</w:t>
      </w:r>
      <w:r>
        <w:rPr>
          <w:szCs w:val="24"/>
        </w:rPr>
        <w:t xml:space="preserve">] </w:t>
      </w:r>
    </w:p>
    <w:p w:rsidR="00C160D6" w:rsidRPr="00C160D6" w:rsidRDefault="00C160D6" w:rsidP="00C160D6">
      <w:pPr>
        <w:pStyle w:val="BodyText"/>
        <w:numPr>
          <w:ilvl w:val="0"/>
          <w:numId w:val="24"/>
        </w:numPr>
      </w:pPr>
      <w:r>
        <w:t xml:space="preserve">Row 395 - </w:t>
      </w:r>
      <w:r w:rsidRPr="0066009F">
        <w:rPr>
          <w:szCs w:val="24"/>
        </w:rPr>
        <w:t>Figure X.1-1: RPM Actor Diagram</w:t>
      </w:r>
    </w:p>
    <w:p w:rsidR="00C160D6" w:rsidRPr="00565EA4" w:rsidRDefault="00C160D6" w:rsidP="00C160D6">
      <w:pPr>
        <w:pStyle w:val="BodyText"/>
        <w:numPr>
          <w:ilvl w:val="0"/>
          <w:numId w:val="24"/>
        </w:numPr>
      </w:pPr>
      <w:r w:rsidRPr="00C160D6">
        <w:rPr>
          <w:szCs w:val="24"/>
        </w:rPr>
        <w:t xml:space="preserve">Row 1214 - </w:t>
      </w:r>
      <w:r w:rsidRPr="00C160D6">
        <w:rPr>
          <w:b/>
          <w:noProof w:val="0"/>
        </w:rPr>
        <w:t>3.22 PCD Communicate PCD Data-SOAP Transaction</w:t>
      </w:r>
      <w:r>
        <w:rPr>
          <w:noProof w:val="0"/>
        </w:rPr>
        <w:t xml:space="preserve"> [</w:t>
      </w:r>
      <w:r w:rsidRPr="00565EA4">
        <w:rPr>
          <w:noProof w:val="0"/>
        </w:rPr>
        <w:t>PCC-22</w:t>
      </w:r>
      <w:r>
        <w:rPr>
          <w:noProof w:val="0"/>
        </w:rPr>
        <w:t>]</w:t>
      </w:r>
    </w:p>
    <w:p w:rsidR="00716DD5" w:rsidRPr="00716DD5" w:rsidRDefault="00716DD5" w:rsidP="00716DD5">
      <w:pPr>
        <w:pStyle w:val="Heading2"/>
        <w:numPr>
          <w:ilvl w:val="0"/>
          <w:numId w:val="20"/>
        </w:numPr>
        <w:spacing w:before="0" w:after="0"/>
        <w:rPr>
          <w:rFonts w:ascii="Times New Roman" w:hAnsi="Times New Roman"/>
          <w:b w:val="0"/>
          <w:noProof w:val="0"/>
          <w:sz w:val="24"/>
          <w:szCs w:val="24"/>
        </w:rPr>
      </w:pPr>
      <w:r w:rsidRPr="00716DD5">
        <w:rPr>
          <w:rFonts w:ascii="Times New Roman" w:hAnsi="Times New Roman"/>
          <w:b w:val="0"/>
          <w:sz w:val="24"/>
          <w:szCs w:val="24"/>
        </w:rPr>
        <w:t xml:space="preserve">Row 1210, </w:t>
      </w:r>
      <w:bookmarkStart w:id="3" w:name="_Toc483511458"/>
      <w:r>
        <w:rPr>
          <w:rFonts w:ascii="Times New Roman" w:hAnsi="Times New Roman"/>
          <w:b w:val="0"/>
          <w:sz w:val="24"/>
          <w:szCs w:val="24"/>
        </w:rPr>
        <w:t xml:space="preserve">Section </w:t>
      </w:r>
      <w:r w:rsidRPr="00716DD5">
        <w:rPr>
          <w:rFonts w:ascii="Times New Roman" w:hAnsi="Times New Roman"/>
          <w:b w:val="0"/>
          <w:noProof w:val="0"/>
          <w:sz w:val="24"/>
          <w:szCs w:val="24"/>
        </w:rPr>
        <w:t>3.22 PCD Communicate PCD Data-SOAP Transaction [PCC-22]</w:t>
      </w:r>
      <w:bookmarkEnd w:id="3"/>
    </w:p>
    <w:p w:rsidR="00940159" w:rsidRPr="00716DD5" w:rsidRDefault="00940159" w:rsidP="00716DD5">
      <w:pPr>
        <w:pStyle w:val="FigureTitle"/>
        <w:spacing w:before="0" w:after="0"/>
        <w:ind w:left="720"/>
        <w:jc w:val="left"/>
        <w:rPr>
          <w:rFonts w:ascii="Times New Roman" w:hAnsi="Times New Roman"/>
          <w:b w:val="0"/>
          <w:sz w:val="24"/>
          <w:szCs w:val="24"/>
        </w:rPr>
      </w:pPr>
    </w:p>
    <w:p w:rsidR="00940159" w:rsidRDefault="00940159" w:rsidP="00940159">
      <w:pPr>
        <w:pStyle w:val="BodyText"/>
        <w:rPr>
          <w:szCs w:val="24"/>
        </w:rPr>
      </w:pPr>
    </w:p>
    <w:p w:rsidR="00940159" w:rsidRPr="00940159" w:rsidRDefault="00940159" w:rsidP="00940159">
      <w:pPr>
        <w:pStyle w:val="BodyText"/>
        <w:rPr>
          <w:szCs w:val="24"/>
        </w:rPr>
      </w:pPr>
    </w:p>
    <w:p w:rsidR="00940159" w:rsidRPr="00940159" w:rsidRDefault="00940159">
      <w:pPr>
        <w:pStyle w:val="BodyText"/>
      </w:pPr>
    </w:p>
    <w:sectPr w:rsidR="00940159" w:rsidRPr="00940159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915" w:rsidRDefault="001E7915">
      <w:r>
        <w:separator/>
      </w:r>
    </w:p>
  </w:endnote>
  <w:endnote w:type="continuationSeparator" w:id="0">
    <w:p w:rsidR="001E7915" w:rsidRDefault="001E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915" w:rsidRDefault="001E7915">
      <w:r>
        <w:separator/>
      </w:r>
    </w:p>
  </w:footnote>
  <w:footnote w:type="continuationSeparator" w:id="0">
    <w:p w:rsidR="001E7915" w:rsidRDefault="001E79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4482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4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AD2"/>
    <w:multiLevelType w:val="hybridMultilevel"/>
    <w:tmpl w:val="904ACB4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41E12887"/>
    <w:multiLevelType w:val="hybridMultilevel"/>
    <w:tmpl w:val="1D6A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BB207DA"/>
    <w:multiLevelType w:val="multilevel"/>
    <w:tmpl w:val="B36A7116"/>
    <w:lvl w:ilvl="0">
      <w:start w:val="3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>
      <w:start w:val="15"/>
      <w:numFmt w:val="decimal"/>
      <w:lvlText w:val="%1.%2"/>
      <w:lvlJc w:val="left"/>
      <w:pPr>
        <w:ind w:left="1140" w:hanging="4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</w:abstractNum>
  <w:abstractNum w:abstractNumId="15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F9F03E4"/>
    <w:multiLevelType w:val="hybridMultilevel"/>
    <w:tmpl w:val="E072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C437D"/>
    <w:multiLevelType w:val="hybridMultilevel"/>
    <w:tmpl w:val="21F6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23BF6"/>
    <w:multiLevelType w:val="hybridMultilevel"/>
    <w:tmpl w:val="F602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3"/>
  </w:num>
  <w:num w:numId="8">
    <w:abstractNumId w:val="5"/>
  </w:num>
  <w:num w:numId="9">
    <w:abstractNumId w:val="8"/>
  </w:num>
  <w:num w:numId="10">
    <w:abstractNumId w:val="21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20"/>
  </w:num>
  <w:num w:numId="15">
    <w:abstractNumId w:val="7"/>
  </w:num>
  <w:num w:numId="16">
    <w:abstractNumId w:val="15"/>
  </w:num>
  <w:num w:numId="17">
    <w:abstractNumId w:val="12"/>
  </w:num>
  <w:num w:numId="18">
    <w:abstractNumId w:val="9"/>
  </w:num>
  <w:num w:numId="19">
    <w:abstractNumId w:val="0"/>
  </w:num>
  <w:num w:numId="20">
    <w:abstractNumId w:val="17"/>
  </w:num>
  <w:num w:numId="21">
    <w:abstractNumId w:val="18"/>
  </w:num>
  <w:num w:numId="22">
    <w:abstractNumId w:val="14"/>
  </w:num>
  <w:num w:numId="23">
    <w:abstractNumId w:val="19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16386"/>
    <w:rsid w:val="0002762F"/>
    <w:rsid w:val="00042635"/>
    <w:rsid w:val="00050A01"/>
    <w:rsid w:val="000D1827"/>
    <w:rsid w:val="000F524F"/>
    <w:rsid w:val="00150765"/>
    <w:rsid w:val="00195192"/>
    <w:rsid w:val="001E7915"/>
    <w:rsid w:val="0023004B"/>
    <w:rsid w:val="00293018"/>
    <w:rsid w:val="002A5837"/>
    <w:rsid w:val="002D46B1"/>
    <w:rsid w:val="00352155"/>
    <w:rsid w:val="00372EBB"/>
    <w:rsid w:val="003B3883"/>
    <w:rsid w:val="0041108F"/>
    <w:rsid w:val="00415035"/>
    <w:rsid w:val="00427CB4"/>
    <w:rsid w:val="00496B9D"/>
    <w:rsid w:val="004A3986"/>
    <w:rsid w:val="004A7CDC"/>
    <w:rsid w:val="004C7F38"/>
    <w:rsid w:val="00565104"/>
    <w:rsid w:val="0057054B"/>
    <w:rsid w:val="00592911"/>
    <w:rsid w:val="0066009F"/>
    <w:rsid w:val="00705699"/>
    <w:rsid w:val="00707427"/>
    <w:rsid w:val="00716DD5"/>
    <w:rsid w:val="00765B10"/>
    <w:rsid w:val="00766FFD"/>
    <w:rsid w:val="007A724B"/>
    <w:rsid w:val="00801FCA"/>
    <w:rsid w:val="008140AF"/>
    <w:rsid w:val="008C6235"/>
    <w:rsid w:val="008F1355"/>
    <w:rsid w:val="00940159"/>
    <w:rsid w:val="0096532F"/>
    <w:rsid w:val="0097476E"/>
    <w:rsid w:val="009A2588"/>
    <w:rsid w:val="00A43CFF"/>
    <w:rsid w:val="00A97FD0"/>
    <w:rsid w:val="00AC1FA8"/>
    <w:rsid w:val="00AD3D5D"/>
    <w:rsid w:val="00B14786"/>
    <w:rsid w:val="00B1735A"/>
    <w:rsid w:val="00B2241B"/>
    <w:rsid w:val="00BF647F"/>
    <w:rsid w:val="00C160D6"/>
    <w:rsid w:val="00C638AB"/>
    <w:rsid w:val="00D23AA5"/>
    <w:rsid w:val="00D732B7"/>
    <w:rsid w:val="00D83EF3"/>
    <w:rsid w:val="00D97F9B"/>
    <w:rsid w:val="00DA4A9D"/>
    <w:rsid w:val="00DE702E"/>
    <w:rsid w:val="00DF601F"/>
    <w:rsid w:val="00DF759C"/>
    <w:rsid w:val="00E602F6"/>
    <w:rsid w:val="00EC09EB"/>
    <w:rsid w:val="00EC5622"/>
    <w:rsid w:val="00EE3EC0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40B3716-FFBA-49DF-8A42-7BAD2B3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EC09EB"/>
    <w:rPr>
      <w:color w:val="0000FF"/>
      <w:u w:val="single"/>
    </w:rPr>
  </w:style>
  <w:style w:type="paragraph" w:customStyle="1" w:styleId="ListBullet1">
    <w:name w:val="List Bullet 1"/>
    <w:basedOn w:val="ListBullet"/>
    <w:link w:val="ListBullet1Char"/>
    <w:qFormat/>
    <w:rsid w:val="00765B10"/>
    <w:pPr>
      <w:numPr>
        <w:numId w:val="0"/>
      </w:numPr>
      <w:tabs>
        <w:tab w:val="num" w:pos="900"/>
      </w:tabs>
      <w:spacing w:before="120"/>
      <w:ind w:left="900" w:hanging="540"/>
    </w:pPr>
    <w:rPr>
      <w:noProof w:val="0"/>
    </w:rPr>
  </w:style>
  <w:style w:type="character" w:customStyle="1" w:styleId="ListBullet1Char">
    <w:name w:val="List Bullet 1 Char"/>
    <w:link w:val="ListBullet1"/>
    <w:rsid w:val="00765B1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ore.stephen.m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</Template>
  <TotalTime>3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>GE</Company>
  <LinksUpToDate>false</LinksUpToDate>
  <CharactersWithSpaces>3014</CharactersWithSpaces>
  <SharedDoc>false</SharedDoc>
  <HLinks>
    <vt:vector size="6" baseType="variant">
      <vt:variant>
        <vt:i4>61</vt:i4>
      </vt:variant>
      <vt:variant>
        <vt:i4>0</vt:i4>
      </vt:variant>
      <vt:variant>
        <vt:i4>0</vt:i4>
      </vt:variant>
      <vt:variant>
        <vt:i4>5</vt:i4>
      </vt:variant>
      <vt:variant>
        <vt:lpwstr>mailto:moore.stephen.m@wustl.edu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creator>NO ONE ASSIGNED</dc:creator>
  <cp:lastModifiedBy>Denise Downing</cp:lastModifiedBy>
  <cp:revision>4</cp:revision>
  <cp:lastPrinted>1900-01-01T06:00:00Z</cp:lastPrinted>
  <dcterms:created xsi:type="dcterms:W3CDTF">2018-04-13T19:50:00Z</dcterms:created>
  <dcterms:modified xsi:type="dcterms:W3CDTF">2018-04-13T19:59:00Z</dcterms:modified>
</cp:coreProperties>
</file>