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2B7" w:rsidRDefault="00D732B7">
      <w:pPr>
        <w:pStyle w:val="Title"/>
      </w:pPr>
      <w:bookmarkStart w:id="0" w:name="_GoBack"/>
      <w:bookmarkEnd w:id="0"/>
      <w:r>
        <w:t>IHE Change Proposal</w:t>
      </w:r>
    </w:p>
    <w:p w:rsidR="00D732B7" w:rsidRDefault="00D732B7">
      <w:pPr>
        <w:pStyle w:val="BodyText"/>
        <w:tabs>
          <w:tab w:val="left" w:pos="9180"/>
        </w:tabs>
        <w:rPr>
          <w:strike/>
        </w:rPr>
      </w:pPr>
      <w:r>
        <w:rPr>
          <w:strike/>
        </w:rPr>
        <w:tab/>
      </w:r>
    </w:p>
    <w:p w:rsidR="00D732B7" w:rsidRDefault="00D732B7">
      <w:pPr>
        <w:pStyle w:val="BodyText"/>
      </w:pPr>
    </w:p>
    <w:p w:rsidR="00D732B7" w:rsidRDefault="00D732B7">
      <w:pPr>
        <w:pStyle w:val="TableTitle"/>
      </w:pPr>
      <w:r>
        <w:t>Tracking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8"/>
      </w:tblGrid>
      <w:tr w:rsidR="00D732B7">
        <w:tblPrEx>
          <w:tblCellMar>
            <w:top w:w="0" w:type="dxa"/>
            <w:bottom w:w="0" w:type="dxa"/>
          </w:tblCellMar>
        </w:tblPrEx>
        <w:tc>
          <w:tcPr>
            <w:tcW w:w="4788" w:type="dxa"/>
          </w:tcPr>
          <w:p w:rsidR="00D732B7" w:rsidRDefault="00D732B7">
            <w:pPr>
              <w:pStyle w:val="TableEntry"/>
            </w:pPr>
            <w:r>
              <w:t>IHE Domain</w:t>
            </w:r>
          </w:p>
        </w:tc>
        <w:tc>
          <w:tcPr>
            <w:tcW w:w="4788" w:type="dxa"/>
          </w:tcPr>
          <w:p w:rsidR="00D732B7" w:rsidRPr="00F859CC" w:rsidRDefault="00B450C0">
            <w:pPr>
              <w:pStyle w:val="TableEntry"/>
            </w:pPr>
            <w:r>
              <w:t>PCC</w:t>
            </w:r>
          </w:p>
        </w:tc>
      </w:tr>
      <w:tr w:rsidR="00D732B7">
        <w:tblPrEx>
          <w:tblCellMar>
            <w:top w:w="0" w:type="dxa"/>
            <w:bottom w:w="0" w:type="dxa"/>
          </w:tblCellMar>
        </w:tblPrEx>
        <w:tc>
          <w:tcPr>
            <w:tcW w:w="4788" w:type="dxa"/>
          </w:tcPr>
          <w:p w:rsidR="00D732B7" w:rsidRDefault="00D732B7">
            <w:pPr>
              <w:pStyle w:val="TableEntry"/>
            </w:pPr>
            <w:r>
              <w:t xml:space="preserve">Change Proposal </w:t>
            </w:r>
            <w:r w:rsidR="00766FFD">
              <w:t>ID</w:t>
            </w:r>
            <w:r w:rsidR="00A43CFF">
              <w:t>:</w:t>
            </w:r>
          </w:p>
        </w:tc>
        <w:tc>
          <w:tcPr>
            <w:tcW w:w="4788" w:type="dxa"/>
          </w:tcPr>
          <w:p w:rsidR="00D732B7" w:rsidRDefault="00936FC1" w:rsidP="00BB7321">
            <w:pPr>
              <w:pStyle w:val="TableEntry"/>
            </w:pPr>
            <w:r>
              <w:t>CP-PCC-0191</w:t>
            </w:r>
          </w:p>
        </w:tc>
      </w:tr>
      <w:tr w:rsidR="00D732B7">
        <w:tblPrEx>
          <w:tblCellMar>
            <w:top w:w="0" w:type="dxa"/>
            <w:bottom w:w="0" w:type="dxa"/>
          </w:tblCellMar>
        </w:tblPrEx>
        <w:tc>
          <w:tcPr>
            <w:tcW w:w="4788" w:type="dxa"/>
          </w:tcPr>
          <w:p w:rsidR="00D732B7" w:rsidRDefault="00D732B7">
            <w:pPr>
              <w:pStyle w:val="TableEntry"/>
            </w:pPr>
            <w:r>
              <w:t>Change Proposal Status:</w:t>
            </w:r>
          </w:p>
        </w:tc>
        <w:tc>
          <w:tcPr>
            <w:tcW w:w="4788" w:type="dxa"/>
          </w:tcPr>
          <w:p w:rsidR="00D732B7" w:rsidRDefault="00F859CC">
            <w:pPr>
              <w:pStyle w:val="TableEntry"/>
            </w:pPr>
            <w:r>
              <w:t>Incoming</w:t>
            </w:r>
          </w:p>
        </w:tc>
      </w:tr>
      <w:tr w:rsidR="00D732B7">
        <w:tblPrEx>
          <w:tblCellMar>
            <w:top w:w="0" w:type="dxa"/>
            <w:bottom w:w="0" w:type="dxa"/>
          </w:tblCellMar>
        </w:tblPrEx>
        <w:tc>
          <w:tcPr>
            <w:tcW w:w="4788" w:type="dxa"/>
          </w:tcPr>
          <w:p w:rsidR="00D732B7" w:rsidRDefault="00D732B7">
            <w:pPr>
              <w:pStyle w:val="TableEntry"/>
            </w:pPr>
            <w:r>
              <w:t>Date of last update:</w:t>
            </w:r>
          </w:p>
        </w:tc>
        <w:tc>
          <w:tcPr>
            <w:tcW w:w="4788" w:type="dxa"/>
          </w:tcPr>
          <w:p w:rsidR="00D732B7" w:rsidRDefault="00B450C0">
            <w:pPr>
              <w:pStyle w:val="TableEntry"/>
            </w:pPr>
            <w:r>
              <w:fldChar w:fldCharType="begin"/>
            </w:r>
            <w:r>
              <w:instrText xml:space="preserve"> DATE \@ "MMMM d, yyyy" </w:instrText>
            </w:r>
            <w:r>
              <w:fldChar w:fldCharType="separate"/>
            </w:r>
            <w:r w:rsidR="004E6971">
              <w:t>July 12, 2015</w:t>
            </w:r>
            <w:r>
              <w:fldChar w:fldCharType="end"/>
            </w:r>
          </w:p>
        </w:tc>
      </w:tr>
      <w:tr w:rsidR="00D732B7">
        <w:tblPrEx>
          <w:tblCellMar>
            <w:top w:w="0" w:type="dxa"/>
            <w:bottom w:w="0" w:type="dxa"/>
          </w:tblCellMar>
        </w:tblPrEx>
        <w:tc>
          <w:tcPr>
            <w:tcW w:w="4788" w:type="dxa"/>
          </w:tcPr>
          <w:p w:rsidR="00D732B7" w:rsidRDefault="00D732B7">
            <w:pPr>
              <w:pStyle w:val="TableEntry"/>
            </w:pPr>
            <w:r>
              <w:t>Person assigned:</w:t>
            </w:r>
          </w:p>
        </w:tc>
        <w:tc>
          <w:tcPr>
            <w:tcW w:w="4788" w:type="dxa"/>
          </w:tcPr>
          <w:p w:rsidR="00D732B7" w:rsidRDefault="00B450C0">
            <w:pPr>
              <w:pStyle w:val="TableEntry"/>
            </w:pPr>
            <w:r>
              <w:t>Keith Boone</w:t>
            </w:r>
          </w:p>
        </w:tc>
      </w:tr>
    </w:tbl>
    <w:p w:rsidR="00D732B7" w:rsidRDefault="00D732B7">
      <w:pPr>
        <w:pStyle w:val="TableTitle"/>
      </w:pPr>
    </w:p>
    <w:p w:rsidR="00D732B7" w:rsidRDefault="00D732B7">
      <w:pPr>
        <w:pStyle w:val="TableTitle"/>
      </w:pPr>
      <w:r>
        <w:t>Change Proposal Summary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8"/>
      </w:tblGrid>
      <w:tr w:rsidR="00D732B7">
        <w:tblPrEx>
          <w:tblCellMar>
            <w:top w:w="0" w:type="dxa"/>
            <w:bottom w:w="0" w:type="dxa"/>
          </w:tblCellMar>
        </w:tblPrEx>
        <w:trPr>
          <w:cantSplit/>
        </w:trPr>
        <w:tc>
          <w:tcPr>
            <w:tcW w:w="9576" w:type="dxa"/>
            <w:gridSpan w:val="2"/>
          </w:tcPr>
          <w:p w:rsidR="00D732B7" w:rsidRPr="00F859CC" w:rsidRDefault="00CC277C" w:rsidP="00BB7321">
            <w:pPr>
              <w:pStyle w:val="TableEntryHeader"/>
            </w:pPr>
            <w:r>
              <w:t>Support for Multi-Patient Queries in QED</w:t>
            </w:r>
          </w:p>
        </w:tc>
      </w:tr>
      <w:tr w:rsidR="00D732B7">
        <w:tblPrEx>
          <w:tblCellMar>
            <w:top w:w="0" w:type="dxa"/>
            <w:bottom w:w="0" w:type="dxa"/>
          </w:tblCellMar>
        </w:tblPrEx>
        <w:tc>
          <w:tcPr>
            <w:tcW w:w="4788" w:type="dxa"/>
          </w:tcPr>
          <w:p w:rsidR="00D732B7" w:rsidRDefault="00D732B7">
            <w:pPr>
              <w:pStyle w:val="TableEntry"/>
            </w:pPr>
            <w:r>
              <w:t>Submitter’s Name(s) and e-mail address(es):</w:t>
            </w:r>
          </w:p>
        </w:tc>
        <w:tc>
          <w:tcPr>
            <w:tcW w:w="4788" w:type="dxa"/>
          </w:tcPr>
          <w:p w:rsidR="00D732B7" w:rsidRPr="00F859CC" w:rsidRDefault="00B56F5E" w:rsidP="00B56F5E">
            <w:pPr>
              <w:pStyle w:val="TableEntry"/>
            </w:pPr>
            <w:r>
              <w:t>keith.boone@ge.com</w:t>
            </w:r>
          </w:p>
        </w:tc>
      </w:tr>
      <w:tr w:rsidR="00D732B7">
        <w:tblPrEx>
          <w:tblCellMar>
            <w:top w:w="0" w:type="dxa"/>
            <w:bottom w:w="0" w:type="dxa"/>
          </w:tblCellMar>
        </w:tblPrEx>
        <w:tc>
          <w:tcPr>
            <w:tcW w:w="4788" w:type="dxa"/>
          </w:tcPr>
          <w:p w:rsidR="00D732B7" w:rsidRDefault="00D732B7">
            <w:pPr>
              <w:pStyle w:val="TableEntry"/>
            </w:pPr>
            <w:r>
              <w:t>Submission Date:</w:t>
            </w:r>
          </w:p>
        </w:tc>
        <w:tc>
          <w:tcPr>
            <w:tcW w:w="4788" w:type="dxa"/>
          </w:tcPr>
          <w:p w:rsidR="00D732B7" w:rsidRPr="00F859CC" w:rsidRDefault="00B450C0">
            <w:pPr>
              <w:pStyle w:val="TableEntry"/>
            </w:pPr>
            <w:r>
              <w:fldChar w:fldCharType="begin"/>
            </w:r>
            <w:r>
              <w:instrText xml:space="preserve"> DATE \@ "MMMM d, yyyy" </w:instrText>
            </w:r>
            <w:r>
              <w:fldChar w:fldCharType="separate"/>
            </w:r>
            <w:r w:rsidR="004E6971">
              <w:t>July 12, 2015</w:t>
            </w:r>
            <w:r>
              <w:fldChar w:fldCharType="end"/>
            </w:r>
          </w:p>
        </w:tc>
      </w:tr>
      <w:tr w:rsidR="00D732B7">
        <w:tblPrEx>
          <w:tblCellMar>
            <w:top w:w="0" w:type="dxa"/>
            <w:bottom w:w="0" w:type="dxa"/>
          </w:tblCellMar>
        </w:tblPrEx>
        <w:tc>
          <w:tcPr>
            <w:tcW w:w="4788" w:type="dxa"/>
          </w:tcPr>
          <w:p w:rsidR="00D732B7" w:rsidRDefault="00D732B7">
            <w:pPr>
              <w:pStyle w:val="TableEntry"/>
            </w:pPr>
            <w:r>
              <w:t>Integration Profile</w:t>
            </w:r>
            <w:r w:rsidR="002D46B1">
              <w:t>(s)</w:t>
            </w:r>
            <w:r>
              <w:t xml:space="preserve"> affected:</w:t>
            </w:r>
          </w:p>
        </w:tc>
        <w:tc>
          <w:tcPr>
            <w:tcW w:w="4788" w:type="dxa"/>
          </w:tcPr>
          <w:p w:rsidR="00D732B7" w:rsidRPr="00F859CC" w:rsidRDefault="00B450C0">
            <w:pPr>
              <w:pStyle w:val="TableEntry"/>
            </w:pPr>
            <w:r>
              <w:t>QED</w:t>
            </w:r>
          </w:p>
        </w:tc>
      </w:tr>
      <w:tr w:rsidR="00766FFD">
        <w:tblPrEx>
          <w:tblCellMar>
            <w:top w:w="0" w:type="dxa"/>
            <w:bottom w:w="0" w:type="dxa"/>
          </w:tblCellMar>
        </w:tblPrEx>
        <w:tc>
          <w:tcPr>
            <w:tcW w:w="4788" w:type="dxa"/>
          </w:tcPr>
          <w:p w:rsidR="00766FFD" w:rsidRDefault="00766FFD">
            <w:pPr>
              <w:pStyle w:val="TableEntry"/>
            </w:pPr>
            <w:r>
              <w:t>Actor(s) affected:</w:t>
            </w:r>
          </w:p>
        </w:tc>
        <w:tc>
          <w:tcPr>
            <w:tcW w:w="4788" w:type="dxa"/>
          </w:tcPr>
          <w:p w:rsidR="00766FFD" w:rsidRPr="00B56F5E" w:rsidRDefault="00B450C0">
            <w:pPr>
              <w:pStyle w:val="TableEntry"/>
            </w:pPr>
            <w:r>
              <w:t>Clinical Data Source, Clinical Data Consumer</w:t>
            </w:r>
          </w:p>
        </w:tc>
      </w:tr>
      <w:tr w:rsidR="00D732B7" w:rsidTr="007D6E1F">
        <w:tblPrEx>
          <w:tblCellMar>
            <w:top w:w="0" w:type="dxa"/>
            <w:bottom w:w="0" w:type="dxa"/>
          </w:tblCellMar>
        </w:tblPrEx>
        <w:trPr>
          <w:cantSplit/>
          <w:trHeight w:val="66"/>
        </w:trPr>
        <w:tc>
          <w:tcPr>
            <w:tcW w:w="4788" w:type="dxa"/>
          </w:tcPr>
          <w:p w:rsidR="00D732B7" w:rsidRDefault="00D732B7">
            <w:pPr>
              <w:pStyle w:val="TableEntry"/>
            </w:pPr>
            <w:r>
              <w:t>IHE Technical Framework</w:t>
            </w:r>
            <w:r w:rsidR="008F1355">
              <w:t xml:space="preserve"> or Supplement</w:t>
            </w:r>
            <w:r w:rsidR="00EE3EC0">
              <w:t xml:space="preserve"> modified</w:t>
            </w:r>
            <w:r>
              <w:t>:</w:t>
            </w:r>
          </w:p>
        </w:tc>
        <w:tc>
          <w:tcPr>
            <w:tcW w:w="4788" w:type="dxa"/>
          </w:tcPr>
          <w:p w:rsidR="00D732B7" w:rsidRPr="00F859CC" w:rsidRDefault="00B450C0" w:rsidP="00B56F5E">
            <w:pPr>
              <w:pStyle w:val="TableEntry"/>
            </w:pPr>
            <w:r>
              <w:t xml:space="preserve">PCC </w:t>
            </w:r>
            <w:r w:rsidR="00B56F5E">
              <w:t>TF</w:t>
            </w:r>
          </w:p>
        </w:tc>
      </w:tr>
      <w:tr w:rsidR="00D732B7">
        <w:tblPrEx>
          <w:tblCellMar>
            <w:top w:w="0" w:type="dxa"/>
            <w:bottom w:w="0" w:type="dxa"/>
          </w:tblCellMar>
        </w:tblPrEx>
        <w:tc>
          <w:tcPr>
            <w:tcW w:w="4788" w:type="dxa"/>
          </w:tcPr>
          <w:p w:rsidR="00D732B7" w:rsidRDefault="00D732B7">
            <w:pPr>
              <w:pStyle w:val="TableEntry"/>
            </w:pPr>
            <w:r>
              <w:t>Volume(s) and Section(s) affected:</w:t>
            </w:r>
          </w:p>
        </w:tc>
        <w:tc>
          <w:tcPr>
            <w:tcW w:w="4788" w:type="dxa"/>
          </w:tcPr>
          <w:p w:rsidR="00D732B7" w:rsidRPr="00F859CC" w:rsidRDefault="00B450C0" w:rsidP="00B450C0">
            <w:pPr>
              <w:pStyle w:val="TableEntry"/>
            </w:pPr>
            <w:r>
              <w:t>2</w:t>
            </w:r>
          </w:p>
        </w:tc>
      </w:tr>
      <w:tr w:rsidR="00D732B7">
        <w:tblPrEx>
          <w:tblCellMar>
            <w:top w:w="0" w:type="dxa"/>
            <w:bottom w:w="0" w:type="dxa"/>
          </w:tblCellMar>
        </w:tblPrEx>
        <w:trPr>
          <w:cantSplit/>
        </w:trPr>
        <w:tc>
          <w:tcPr>
            <w:tcW w:w="9576" w:type="dxa"/>
            <w:gridSpan w:val="2"/>
          </w:tcPr>
          <w:p w:rsidR="00D732B7" w:rsidRDefault="00B450C0" w:rsidP="00B450C0">
            <w:pPr>
              <w:pStyle w:val="TableEntry"/>
            </w:pPr>
            <w:r>
              <w:t>In developing the DAF White Paper, PCC identified that there is at present no way to perform a query for clinical data that is not patient specific.  Such queries are useful within an enterprise to support reminders, quality measurement, and identification of patients who may be elligible to participate in particular programs.</w:t>
            </w:r>
          </w:p>
        </w:tc>
      </w:tr>
    </w:tbl>
    <w:p w:rsidR="00B07726" w:rsidRDefault="00E3592E" w:rsidP="00E3592E">
      <w:pPr>
        <w:pStyle w:val="EditorInstructions"/>
      </w:pPr>
      <w:r>
        <w:t>Add the following rows to the table in section 3.4</w:t>
      </w:r>
      <w:r w:rsidR="00DB43BB">
        <w:t xml:space="preserve"> to Volume </w:t>
      </w:r>
      <w:r w:rsidR="008633B6">
        <w:t>1</w:t>
      </w:r>
    </w:p>
    <w:p w:rsidR="009C2A1C" w:rsidRDefault="009C2A1C" w:rsidP="009C2A1C"/>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944"/>
        <w:gridCol w:w="2694"/>
      </w:tblGrid>
      <w:tr w:rsidR="00E3592E" w:rsidTr="002F53A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tcPr>
          <w:p w:rsidR="00E3592E" w:rsidRDefault="00E3592E" w:rsidP="002F53AC">
            <w:pPr>
              <w:pStyle w:val="TableEntryHeader"/>
            </w:pPr>
            <w:r>
              <w:t xml:space="preserve">Actor </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tcPr>
          <w:p w:rsidR="00E3592E" w:rsidRDefault="00E3592E" w:rsidP="002F53AC">
            <w:pPr>
              <w:pStyle w:val="TableEntryHeader"/>
            </w:pPr>
            <w:r>
              <w:t xml:space="preserve">Option </w:t>
            </w:r>
          </w:p>
        </w:tc>
      </w:tr>
      <w:tr w:rsidR="00E3592E" w:rsidTr="002F53AC">
        <w:trPr>
          <w:cantSplit/>
          <w:tblCellSpacing w:w="0" w:type="dxa"/>
          <w:jc w:val="center"/>
        </w:trPr>
        <w:tc>
          <w:tcPr>
            <w:tcW w:w="0" w:type="auto"/>
            <w:vMerge w:val="restart"/>
            <w:tcBorders>
              <w:top w:val="outset" w:sz="6" w:space="0" w:color="auto"/>
              <w:left w:val="outset" w:sz="6" w:space="0" w:color="auto"/>
              <w:right w:val="outset" w:sz="6" w:space="0" w:color="auto"/>
            </w:tcBorders>
            <w:shd w:val="clear" w:color="auto" w:fill="FFFFFF"/>
            <w:vAlign w:val="center"/>
          </w:tcPr>
          <w:p w:rsidR="00E3592E" w:rsidRDefault="00E3592E" w:rsidP="002F53AC">
            <w:pPr>
              <w:pStyle w:val="TableEntry"/>
            </w:pPr>
            <w:r>
              <w:t xml:space="preserve">Clinical Data Source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E3592E" w:rsidRDefault="00E3592E" w:rsidP="002F53AC">
            <w:pPr>
              <w:pStyle w:val="TableEntry"/>
            </w:pPr>
            <w:r w:rsidRPr="00E3592E">
              <w:t xml:space="preserve">Vital Signs </w:t>
            </w:r>
            <w:r w:rsidRPr="00E3592E">
              <w:t>O</w:t>
            </w:r>
            <w:r w:rsidRPr="00E3592E">
              <w:t>ption</w:t>
            </w:r>
            <w:r>
              <w:t xml:space="preserve"> (1) </w:t>
            </w:r>
          </w:p>
        </w:tc>
      </w:tr>
      <w:tr w:rsidR="00E3592E" w:rsidTr="002F53AC">
        <w:trPr>
          <w:cantSplit/>
          <w:tblCellSpacing w:w="0" w:type="dxa"/>
          <w:jc w:val="center"/>
        </w:trPr>
        <w:tc>
          <w:tcPr>
            <w:tcW w:w="0" w:type="auto"/>
            <w:vMerge/>
            <w:tcBorders>
              <w:left w:val="outset" w:sz="6" w:space="0" w:color="auto"/>
              <w:right w:val="outset" w:sz="6" w:space="0" w:color="auto"/>
            </w:tcBorders>
            <w:shd w:val="clear" w:color="auto" w:fill="FFFFFF"/>
            <w:vAlign w:val="center"/>
          </w:tcPr>
          <w:p w:rsidR="00E3592E" w:rsidRDefault="00E3592E" w:rsidP="002F53AC">
            <w:pPr>
              <w:pStyle w:val="TableEntry"/>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E3592E" w:rsidRDefault="00E3592E" w:rsidP="002F53AC">
            <w:pPr>
              <w:pStyle w:val="TableEntry"/>
            </w:pPr>
            <w:r w:rsidRPr="00E3592E">
              <w:t>Problems and Allergies Option</w:t>
            </w:r>
            <w:r>
              <w:t xml:space="preserve"> (1) </w:t>
            </w:r>
          </w:p>
        </w:tc>
      </w:tr>
      <w:tr w:rsidR="00E3592E" w:rsidTr="002F53AC">
        <w:trPr>
          <w:cantSplit/>
          <w:tblCellSpacing w:w="0" w:type="dxa"/>
          <w:jc w:val="center"/>
        </w:trPr>
        <w:tc>
          <w:tcPr>
            <w:tcW w:w="0" w:type="auto"/>
            <w:vMerge/>
            <w:tcBorders>
              <w:left w:val="outset" w:sz="6" w:space="0" w:color="auto"/>
              <w:right w:val="outset" w:sz="6" w:space="0" w:color="auto"/>
            </w:tcBorders>
            <w:shd w:val="clear" w:color="auto" w:fill="FFFFFF"/>
            <w:vAlign w:val="center"/>
          </w:tcPr>
          <w:p w:rsidR="00E3592E" w:rsidRDefault="00E3592E" w:rsidP="002F53AC">
            <w:pPr>
              <w:pStyle w:val="TableEntry"/>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E3592E" w:rsidRDefault="00E3592E" w:rsidP="002F53AC">
            <w:pPr>
              <w:pStyle w:val="TableEntry"/>
            </w:pPr>
            <w:r w:rsidRPr="00E3592E">
              <w:t>Diagnostic Results Option</w:t>
            </w:r>
            <w:r>
              <w:t xml:space="preserve"> (1) </w:t>
            </w:r>
          </w:p>
        </w:tc>
      </w:tr>
      <w:tr w:rsidR="00E3592E" w:rsidTr="002F53AC">
        <w:trPr>
          <w:cantSplit/>
          <w:tblCellSpacing w:w="0" w:type="dxa"/>
          <w:jc w:val="center"/>
        </w:trPr>
        <w:tc>
          <w:tcPr>
            <w:tcW w:w="0" w:type="auto"/>
            <w:vMerge/>
            <w:tcBorders>
              <w:left w:val="outset" w:sz="6" w:space="0" w:color="auto"/>
              <w:right w:val="outset" w:sz="6" w:space="0" w:color="auto"/>
            </w:tcBorders>
            <w:shd w:val="clear" w:color="auto" w:fill="FFFFFF"/>
            <w:vAlign w:val="center"/>
          </w:tcPr>
          <w:p w:rsidR="00E3592E" w:rsidRDefault="00E3592E" w:rsidP="002F53AC">
            <w:pPr>
              <w:pStyle w:val="TableEntry"/>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E3592E" w:rsidRDefault="00E3592E" w:rsidP="002F53AC">
            <w:pPr>
              <w:pStyle w:val="TableEntry"/>
            </w:pPr>
            <w:r w:rsidRPr="00E3592E">
              <w:t>Medications Option</w:t>
            </w:r>
            <w:r>
              <w:t xml:space="preserve"> (1) </w:t>
            </w:r>
          </w:p>
        </w:tc>
      </w:tr>
      <w:tr w:rsidR="00E3592E" w:rsidTr="002F53AC">
        <w:trPr>
          <w:cantSplit/>
          <w:tblCellSpacing w:w="0" w:type="dxa"/>
          <w:jc w:val="center"/>
        </w:trPr>
        <w:tc>
          <w:tcPr>
            <w:tcW w:w="0" w:type="auto"/>
            <w:vMerge/>
            <w:tcBorders>
              <w:left w:val="outset" w:sz="6" w:space="0" w:color="auto"/>
              <w:right w:val="outset" w:sz="6" w:space="0" w:color="auto"/>
            </w:tcBorders>
            <w:shd w:val="clear" w:color="auto" w:fill="FFFFFF"/>
            <w:vAlign w:val="center"/>
          </w:tcPr>
          <w:p w:rsidR="00E3592E" w:rsidRDefault="00E3592E" w:rsidP="002F53AC">
            <w:pPr>
              <w:pStyle w:val="TableEntry"/>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E3592E" w:rsidRDefault="00E3592E" w:rsidP="002F53AC">
            <w:pPr>
              <w:pStyle w:val="TableEntry"/>
            </w:pPr>
            <w:r w:rsidRPr="00E3592E">
              <w:t>Immunizations Option</w:t>
            </w:r>
            <w:r>
              <w:t xml:space="preserve"> (1) </w:t>
            </w:r>
          </w:p>
        </w:tc>
      </w:tr>
      <w:tr w:rsidR="00E3592E" w:rsidTr="002F53AC">
        <w:trPr>
          <w:cantSplit/>
          <w:tblCellSpacing w:w="0" w:type="dxa"/>
          <w:jc w:val="center"/>
        </w:trPr>
        <w:tc>
          <w:tcPr>
            <w:tcW w:w="0" w:type="auto"/>
            <w:vMerge/>
            <w:tcBorders>
              <w:left w:val="outset" w:sz="6" w:space="0" w:color="auto"/>
              <w:right w:val="outset" w:sz="6" w:space="0" w:color="auto"/>
            </w:tcBorders>
            <w:shd w:val="clear" w:color="auto" w:fill="FFFFFF"/>
            <w:vAlign w:val="center"/>
          </w:tcPr>
          <w:p w:rsidR="00E3592E" w:rsidRDefault="00E3592E" w:rsidP="002F53AC">
            <w:pPr>
              <w:pStyle w:val="TableEntry"/>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E3592E" w:rsidRDefault="00E3592E" w:rsidP="002F53AC">
            <w:pPr>
              <w:pStyle w:val="TableEntry"/>
            </w:pPr>
            <w:r w:rsidRPr="00E3592E">
              <w:t>Professional Services Option</w:t>
            </w:r>
            <w:r>
              <w:t xml:space="preserve"> (1) </w:t>
            </w:r>
          </w:p>
        </w:tc>
      </w:tr>
      <w:tr w:rsidR="00E3592E" w:rsidTr="002F53AC">
        <w:trPr>
          <w:cantSplit/>
          <w:tblCellSpacing w:w="0" w:type="dxa"/>
          <w:jc w:val="center"/>
        </w:trPr>
        <w:tc>
          <w:tcPr>
            <w:tcW w:w="0" w:type="auto"/>
            <w:vMerge/>
            <w:tcBorders>
              <w:left w:val="outset" w:sz="6" w:space="0" w:color="auto"/>
              <w:bottom w:val="outset" w:sz="6" w:space="0" w:color="auto"/>
              <w:right w:val="outset" w:sz="6" w:space="0" w:color="auto"/>
            </w:tcBorders>
            <w:shd w:val="clear" w:color="auto" w:fill="FFFFFF"/>
            <w:vAlign w:val="center"/>
          </w:tcPr>
          <w:p w:rsidR="00E3592E" w:rsidRDefault="00E3592E" w:rsidP="002F53AC">
            <w:pPr>
              <w:pStyle w:val="TableEntry"/>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E3592E" w:rsidRPr="00E3592E" w:rsidRDefault="00E3592E" w:rsidP="00E3592E">
            <w:pPr>
              <w:pStyle w:val="TableEntry"/>
              <w:rPr>
                <w:u w:val="single"/>
              </w:rPr>
            </w:pPr>
            <w:r w:rsidRPr="00E3592E">
              <w:rPr>
                <w:u w:val="single"/>
              </w:rPr>
              <w:t>Multi-Patient Query Option</w:t>
            </w:r>
          </w:p>
        </w:tc>
      </w:tr>
      <w:tr w:rsidR="00E3592E" w:rsidTr="002F53AC">
        <w:trPr>
          <w:cantSplit/>
          <w:tblCellSpacing w:w="0" w:type="dxa"/>
          <w:jc w:val="center"/>
        </w:trPr>
        <w:tc>
          <w:tcPr>
            <w:tcW w:w="0" w:type="auto"/>
            <w:vMerge w:val="restart"/>
            <w:tcBorders>
              <w:top w:val="outset" w:sz="6" w:space="0" w:color="auto"/>
              <w:left w:val="outset" w:sz="6" w:space="0" w:color="auto"/>
              <w:right w:val="outset" w:sz="6" w:space="0" w:color="auto"/>
            </w:tcBorders>
            <w:shd w:val="clear" w:color="auto" w:fill="FFFFFF"/>
            <w:vAlign w:val="center"/>
          </w:tcPr>
          <w:p w:rsidR="00E3592E" w:rsidRDefault="00E3592E" w:rsidP="002F53AC">
            <w:pPr>
              <w:pStyle w:val="TableEntry"/>
            </w:pPr>
            <w:r>
              <w:t xml:space="preserve">Clinical Data Consumer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E3592E" w:rsidRDefault="00E3592E" w:rsidP="002F53AC">
            <w:pPr>
              <w:pStyle w:val="TableEntry"/>
            </w:pPr>
            <w:r w:rsidRPr="00E3592E">
              <w:t>Vital Signs Option</w:t>
            </w:r>
            <w:r>
              <w:t xml:space="preserve"> (1) </w:t>
            </w:r>
          </w:p>
        </w:tc>
      </w:tr>
      <w:tr w:rsidR="00E3592E" w:rsidTr="002F53AC">
        <w:trPr>
          <w:cantSplit/>
          <w:tblCellSpacing w:w="0" w:type="dxa"/>
          <w:jc w:val="center"/>
        </w:trPr>
        <w:tc>
          <w:tcPr>
            <w:tcW w:w="0" w:type="auto"/>
            <w:vMerge/>
            <w:tcBorders>
              <w:left w:val="outset" w:sz="6" w:space="0" w:color="auto"/>
              <w:right w:val="outset" w:sz="6" w:space="0" w:color="auto"/>
            </w:tcBorders>
            <w:shd w:val="clear" w:color="auto" w:fill="FFFFFF"/>
            <w:vAlign w:val="center"/>
          </w:tcPr>
          <w:p w:rsidR="00E3592E" w:rsidRDefault="00E3592E" w:rsidP="002F53AC">
            <w:pPr>
              <w:pStyle w:val="TableEntry"/>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E3592E" w:rsidRDefault="00E3592E" w:rsidP="002F53AC">
            <w:pPr>
              <w:pStyle w:val="TableEntry"/>
            </w:pPr>
            <w:r w:rsidRPr="00E3592E">
              <w:t>Problems and Allergies Option</w:t>
            </w:r>
            <w:r>
              <w:t xml:space="preserve"> (1) </w:t>
            </w:r>
          </w:p>
        </w:tc>
      </w:tr>
      <w:tr w:rsidR="00E3592E" w:rsidTr="002F53AC">
        <w:trPr>
          <w:cantSplit/>
          <w:tblCellSpacing w:w="0" w:type="dxa"/>
          <w:jc w:val="center"/>
        </w:trPr>
        <w:tc>
          <w:tcPr>
            <w:tcW w:w="0" w:type="auto"/>
            <w:vMerge/>
            <w:tcBorders>
              <w:left w:val="outset" w:sz="6" w:space="0" w:color="auto"/>
              <w:right w:val="outset" w:sz="6" w:space="0" w:color="auto"/>
            </w:tcBorders>
            <w:shd w:val="clear" w:color="auto" w:fill="FFFFFF"/>
            <w:vAlign w:val="center"/>
          </w:tcPr>
          <w:p w:rsidR="00E3592E" w:rsidRDefault="00E3592E" w:rsidP="002F53AC">
            <w:pPr>
              <w:pStyle w:val="TableEntry"/>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E3592E" w:rsidRDefault="00E3592E" w:rsidP="002F53AC">
            <w:pPr>
              <w:pStyle w:val="TableEntry"/>
            </w:pPr>
            <w:r w:rsidRPr="00E3592E">
              <w:t>Diagnostic Results Option</w:t>
            </w:r>
            <w:r>
              <w:t xml:space="preserve"> (1) </w:t>
            </w:r>
          </w:p>
        </w:tc>
      </w:tr>
      <w:tr w:rsidR="00E3592E" w:rsidTr="002F53AC">
        <w:trPr>
          <w:cantSplit/>
          <w:tblCellSpacing w:w="0" w:type="dxa"/>
          <w:jc w:val="center"/>
        </w:trPr>
        <w:tc>
          <w:tcPr>
            <w:tcW w:w="0" w:type="auto"/>
            <w:vMerge/>
            <w:tcBorders>
              <w:left w:val="outset" w:sz="6" w:space="0" w:color="auto"/>
              <w:right w:val="outset" w:sz="6" w:space="0" w:color="auto"/>
            </w:tcBorders>
            <w:shd w:val="clear" w:color="auto" w:fill="FFFFFF"/>
            <w:vAlign w:val="center"/>
          </w:tcPr>
          <w:p w:rsidR="00E3592E" w:rsidRDefault="00E3592E" w:rsidP="002F53AC">
            <w:pPr>
              <w:pStyle w:val="TableEntry"/>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E3592E" w:rsidRDefault="00E3592E" w:rsidP="002F53AC">
            <w:pPr>
              <w:pStyle w:val="TableEntry"/>
            </w:pPr>
            <w:r w:rsidRPr="00E3592E">
              <w:t>Medications Option</w:t>
            </w:r>
            <w:r>
              <w:t xml:space="preserve"> (1) </w:t>
            </w:r>
          </w:p>
        </w:tc>
      </w:tr>
      <w:tr w:rsidR="00E3592E" w:rsidTr="002F53AC">
        <w:trPr>
          <w:cantSplit/>
          <w:tblCellSpacing w:w="0" w:type="dxa"/>
          <w:jc w:val="center"/>
        </w:trPr>
        <w:tc>
          <w:tcPr>
            <w:tcW w:w="0" w:type="auto"/>
            <w:vMerge/>
            <w:tcBorders>
              <w:left w:val="outset" w:sz="6" w:space="0" w:color="auto"/>
              <w:right w:val="outset" w:sz="6" w:space="0" w:color="auto"/>
            </w:tcBorders>
            <w:shd w:val="clear" w:color="auto" w:fill="FFFFFF"/>
            <w:vAlign w:val="center"/>
          </w:tcPr>
          <w:p w:rsidR="00E3592E" w:rsidRDefault="00E3592E" w:rsidP="002F53AC">
            <w:pPr>
              <w:pStyle w:val="TableEntry"/>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E3592E" w:rsidRDefault="00E3592E" w:rsidP="002F53AC">
            <w:pPr>
              <w:pStyle w:val="TableEntry"/>
            </w:pPr>
            <w:r w:rsidRPr="00E3592E">
              <w:t>Immunizations Option</w:t>
            </w:r>
            <w:r>
              <w:t xml:space="preserve"> (1) </w:t>
            </w:r>
          </w:p>
        </w:tc>
      </w:tr>
      <w:tr w:rsidR="00E3592E" w:rsidTr="002F53AC">
        <w:trPr>
          <w:cantSplit/>
          <w:tblCellSpacing w:w="0" w:type="dxa"/>
          <w:jc w:val="center"/>
        </w:trPr>
        <w:tc>
          <w:tcPr>
            <w:tcW w:w="0" w:type="auto"/>
            <w:vMerge/>
            <w:tcBorders>
              <w:left w:val="outset" w:sz="6" w:space="0" w:color="auto"/>
              <w:right w:val="outset" w:sz="6" w:space="0" w:color="auto"/>
            </w:tcBorders>
            <w:shd w:val="clear" w:color="auto" w:fill="FFFFFF"/>
            <w:vAlign w:val="center"/>
          </w:tcPr>
          <w:p w:rsidR="00E3592E" w:rsidRDefault="00E3592E" w:rsidP="002F53AC">
            <w:pPr>
              <w:pStyle w:val="TableEntry"/>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E3592E" w:rsidRDefault="00E3592E" w:rsidP="002F53AC">
            <w:pPr>
              <w:pStyle w:val="TableEntry"/>
            </w:pPr>
            <w:r w:rsidRPr="00E3592E">
              <w:t>Professional Services Option</w:t>
            </w:r>
            <w:r>
              <w:t xml:space="preserve"> (1) </w:t>
            </w:r>
          </w:p>
        </w:tc>
      </w:tr>
      <w:tr w:rsidR="00E3592E" w:rsidTr="002F53AC">
        <w:trPr>
          <w:cantSplit/>
          <w:tblCellSpacing w:w="0" w:type="dxa"/>
          <w:jc w:val="center"/>
        </w:trPr>
        <w:tc>
          <w:tcPr>
            <w:tcW w:w="0" w:type="auto"/>
            <w:vMerge/>
            <w:tcBorders>
              <w:left w:val="outset" w:sz="6" w:space="0" w:color="auto"/>
              <w:bottom w:val="outset" w:sz="6" w:space="0" w:color="auto"/>
              <w:right w:val="outset" w:sz="6" w:space="0" w:color="auto"/>
            </w:tcBorders>
            <w:shd w:val="clear" w:color="auto" w:fill="FFFFFF"/>
            <w:vAlign w:val="center"/>
          </w:tcPr>
          <w:p w:rsidR="00E3592E" w:rsidRDefault="00E3592E" w:rsidP="002F53AC">
            <w:pPr>
              <w:pStyle w:val="TableEntry"/>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E3592E" w:rsidRPr="00E3592E" w:rsidRDefault="00E3592E" w:rsidP="002F53AC">
            <w:pPr>
              <w:pStyle w:val="TableEntry"/>
              <w:rPr>
                <w:u w:val="single"/>
              </w:rPr>
            </w:pPr>
            <w:r w:rsidRPr="00E3592E">
              <w:rPr>
                <w:u w:val="single"/>
              </w:rPr>
              <w:t>Multi-Patient Query Option</w:t>
            </w:r>
          </w:p>
        </w:tc>
      </w:tr>
    </w:tbl>
    <w:p w:rsidR="00E3592E" w:rsidRDefault="00E3592E" w:rsidP="00E3592E"/>
    <w:p w:rsidR="00E3592E" w:rsidRPr="008633B6" w:rsidRDefault="00E3592E" w:rsidP="00E3592E">
      <w:pPr>
        <w:pStyle w:val="Heading3"/>
        <w:numPr>
          <w:ilvl w:val="0"/>
          <w:numId w:val="0"/>
        </w:numPr>
        <w:ind w:left="720" w:hanging="720"/>
        <w:rPr>
          <w:u w:val="single"/>
        </w:rPr>
      </w:pPr>
      <w:r w:rsidRPr="008633B6">
        <w:rPr>
          <w:u w:val="single"/>
        </w:rPr>
        <w:t>3.4.7</w:t>
      </w:r>
      <w:r w:rsidRPr="008633B6">
        <w:rPr>
          <w:u w:val="single"/>
        </w:rPr>
        <w:tab/>
        <w:t>Multi-Patient Query Option</w:t>
      </w:r>
    </w:p>
    <w:p w:rsidR="00E3592E" w:rsidRPr="008633B6" w:rsidRDefault="00E3592E" w:rsidP="00E3592E">
      <w:pPr>
        <w:pStyle w:val="BodyText"/>
        <w:rPr>
          <w:u w:val="single"/>
        </w:rPr>
      </w:pPr>
      <w:r w:rsidRPr="008633B6">
        <w:rPr>
          <w:u w:val="single"/>
        </w:rPr>
        <w:t>A Clinical Data Consumer that implements the Multi-Patient Query Option requests information about multiple patients using a wildcard for the patient identifier.  A Clinical Data Source that implements the Multi-Patient Query Option responds to a request for information about multiple patients when the patient identifier is expressed using a wildcard.</w:t>
      </w:r>
    </w:p>
    <w:p w:rsidR="00F811D2" w:rsidRDefault="00F811D2" w:rsidP="00F811D2">
      <w:pPr>
        <w:pStyle w:val="EditorInstructions"/>
      </w:pPr>
      <w:bookmarkStart w:id="1" w:name=".3CpatientId.3E.3Cvalue_root.3D.27.C2.A0"/>
      <w:r>
        <w:t>Update Section 3.1.4.5.15  in Volume 2</w:t>
      </w:r>
    </w:p>
    <w:p w:rsidR="00F811D2" w:rsidRDefault="00F811D2" w:rsidP="00F811D2">
      <w:pPr>
        <w:pStyle w:val="Heading5"/>
        <w:numPr>
          <w:ilvl w:val="0"/>
          <w:numId w:val="0"/>
        </w:numPr>
        <w:ind w:left="1080" w:hanging="1080"/>
      </w:pPr>
      <w:r>
        <w:t>3.1.4.5.15</w:t>
      </w:r>
      <w:r>
        <w:tab/>
      </w:r>
      <w:r>
        <w:tab/>
        <w:t>&lt;patientId&gt;&lt;value root=' ' extension=' '/&gt;&lt;/patientId&gt;</w:t>
      </w:r>
    </w:p>
    <w:p w:rsidR="00F811D2" w:rsidRDefault="00F811D2" w:rsidP="00F811D2">
      <w:pPr>
        <w:pStyle w:val="BodyText"/>
        <w:rPr>
          <w:lang w:val="en"/>
        </w:rPr>
      </w:pPr>
      <w:r>
        <w:rPr>
          <w:lang w:val="en"/>
        </w:rPr>
        <w:t xml:space="preserve">The patient identifier shall be specified in this element. The root and extension attributes shall be present. When used in cross enterprise settings, the root attribute shall the affinity domain identity OID. </w:t>
      </w:r>
    </w:p>
    <w:p w:rsidR="00F811D2" w:rsidRDefault="00F811D2" w:rsidP="00F811D2">
      <w:pPr>
        <w:pStyle w:val="BodyText"/>
        <w:rPr>
          <w:lang w:val="en"/>
        </w:rPr>
      </w:pPr>
      <w:r>
        <w:rPr>
          <w:lang w:val="en"/>
        </w:rPr>
        <w:t xml:space="preserve">Sending a query with a known invalid patientId element can be used to </w:t>
      </w:r>
      <w:r>
        <w:rPr>
          <w:i/>
          <w:iCs/>
          <w:lang w:val="en"/>
        </w:rPr>
        <w:t>ping</w:t>
      </w:r>
      <w:r>
        <w:rPr>
          <w:lang w:val="en"/>
        </w:rPr>
        <w:t xml:space="preserve"> a Clinical Data Source. For example, setting the root attribute to "0" and omitting the extension attribute should result in a response that raises an ILLEGAL detected issue alert on the patientId field, since the value "0" will never be used as the OID of a patient identity domain. This capability can be used by a Clinical Data Consumer to verify that it can connect to a Clinical Data Source when configuration parameters are modified. </w:t>
      </w:r>
    </w:p>
    <w:bookmarkEnd w:id="1"/>
    <w:p w:rsidR="00DB43BB" w:rsidRDefault="00F811D2" w:rsidP="00DB43BB">
      <w:pPr>
        <w:pStyle w:val="BodyText"/>
        <w:rPr>
          <w:u w:val="single"/>
        </w:rPr>
      </w:pPr>
      <w:r w:rsidRPr="00F811D2">
        <w:rPr>
          <w:u w:val="single"/>
        </w:rPr>
        <w:t>To request data for multiple patients, a Clinical Data Consumer impleme</w:t>
      </w:r>
      <w:r w:rsidR="008633B6">
        <w:rPr>
          <w:u w:val="single"/>
        </w:rPr>
        <w:t>n</w:t>
      </w:r>
      <w:r w:rsidRPr="00F811D2">
        <w:rPr>
          <w:u w:val="single"/>
        </w:rPr>
        <w:t xml:space="preserve">ting the Multi-Patient Query Option </w:t>
      </w:r>
      <w:r w:rsidR="008633B6">
        <w:rPr>
          <w:u w:val="single"/>
        </w:rPr>
        <w:t xml:space="preserve">shall </w:t>
      </w:r>
      <w:r w:rsidRPr="00F811D2">
        <w:rPr>
          <w:u w:val="single"/>
        </w:rPr>
        <w:t xml:space="preserve">use the * character in the extension </w:t>
      </w:r>
      <w:r w:rsidR="008633B6">
        <w:rPr>
          <w:u w:val="single"/>
        </w:rPr>
        <w:t xml:space="preserve">when </w:t>
      </w:r>
      <w:r w:rsidRPr="00F811D2">
        <w:rPr>
          <w:u w:val="single"/>
        </w:rPr>
        <w:t xml:space="preserve">specifying </w:t>
      </w:r>
      <w:r w:rsidR="008633B6">
        <w:rPr>
          <w:u w:val="single"/>
        </w:rPr>
        <w:t xml:space="preserve">that </w:t>
      </w:r>
      <w:r w:rsidRPr="00F811D2">
        <w:rPr>
          <w:u w:val="single"/>
        </w:rPr>
        <w:t>any patient identifier</w:t>
      </w:r>
      <w:r w:rsidR="008633B6">
        <w:rPr>
          <w:u w:val="single"/>
        </w:rPr>
        <w:t xml:space="preserve"> will match</w:t>
      </w:r>
      <w:r w:rsidRPr="00F811D2">
        <w:rPr>
          <w:u w:val="single"/>
        </w:rPr>
        <w:t>.</w:t>
      </w:r>
      <w:r w:rsidR="007828A6">
        <w:rPr>
          <w:u w:val="single"/>
        </w:rPr>
        <w:t xml:space="preserve">  When this wildcard is used, </w:t>
      </w:r>
      <w:r w:rsidR="007828A6" w:rsidRPr="007828A6">
        <w:rPr>
          <w:u w:val="single"/>
        </w:rPr>
        <w:t xml:space="preserve">the </w:t>
      </w:r>
      <w:r w:rsidR="007828A6">
        <w:rPr>
          <w:u w:val="single"/>
        </w:rPr>
        <w:t>&lt;</w:t>
      </w:r>
      <w:r w:rsidR="007828A6" w:rsidRPr="007828A6">
        <w:rPr>
          <w:u w:val="single"/>
          <w:lang w:val="en"/>
        </w:rPr>
        <w:t>patientName</w:t>
      </w:r>
      <w:r w:rsidR="007828A6">
        <w:rPr>
          <w:u w:val="single"/>
          <w:lang w:val="en"/>
        </w:rPr>
        <w:t>&gt;</w:t>
      </w:r>
      <w:r w:rsidR="007828A6" w:rsidRPr="007828A6">
        <w:rPr>
          <w:u w:val="single"/>
          <w:lang w:val="en"/>
        </w:rPr>
        <w:t>,</w:t>
      </w:r>
      <w:r w:rsidR="007828A6">
        <w:rPr>
          <w:u w:val="single"/>
          <w:lang w:val="en"/>
        </w:rPr>
        <w:t xml:space="preserve"> &lt;</w:t>
      </w:r>
      <w:r w:rsidR="007828A6" w:rsidRPr="007828A6">
        <w:rPr>
          <w:u w:val="single"/>
          <w:lang w:val="en"/>
        </w:rPr>
        <w:t>patientGenderCode</w:t>
      </w:r>
      <w:r w:rsidR="007828A6">
        <w:rPr>
          <w:u w:val="single"/>
          <w:lang w:val="en"/>
        </w:rPr>
        <w:t>&gt;</w:t>
      </w:r>
      <w:r w:rsidR="007828A6" w:rsidRPr="007828A6">
        <w:rPr>
          <w:u w:val="single"/>
          <w:lang w:val="en"/>
        </w:rPr>
        <w:t xml:space="preserve"> or </w:t>
      </w:r>
      <w:r w:rsidR="007828A6">
        <w:rPr>
          <w:u w:val="single"/>
          <w:lang w:val="en"/>
        </w:rPr>
        <w:t>&lt;</w:t>
      </w:r>
      <w:r w:rsidR="007828A6" w:rsidRPr="007828A6">
        <w:rPr>
          <w:u w:val="single"/>
          <w:lang w:val="en"/>
        </w:rPr>
        <w:t>patientBirthTime</w:t>
      </w:r>
      <w:r w:rsidR="007828A6">
        <w:rPr>
          <w:u w:val="single"/>
          <w:lang w:val="en"/>
        </w:rPr>
        <w:t xml:space="preserve">&gt; </w:t>
      </w:r>
      <w:r w:rsidR="008633B6">
        <w:rPr>
          <w:u w:val="single"/>
          <w:lang w:val="en"/>
        </w:rPr>
        <w:t xml:space="preserve">elements </w:t>
      </w:r>
      <w:r w:rsidR="007828A6">
        <w:rPr>
          <w:u w:val="single"/>
          <w:lang w:val="en"/>
        </w:rPr>
        <w:t>shall not be used.</w:t>
      </w:r>
    </w:p>
    <w:p w:rsidR="00F811D2" w:rsidRDefault="00F811D2" w:rsidP="007828A6">
      <w:pPr>
        <w:pStyle w:val="Heading5"/>
        <w:numPr>
          <w:ilvl w:val="4"/>
          <w:numId w:val="21"/>
        </w:numPr>
      </w:pPr>
      <w:bookmarkStart w:id="2" w:name=".3CregistrationEvent.3E"/>
      <w:r>
        <w:t>&lt;registrationEvent&gt;</w:t>
      </w:r>
    </w:p>
    <w:p w:rsidR="00F811D2" w:rsidRDefault="00F811D2" w:rsidP="00F811D2">
      <w:pPr>
        <w:pStyle w:val="BodyText"/>
        <w:rPr>
          <w:lang w:val="en"/>
        </w:rPr>
      </w:pPr>
      <w:r>
        <w:rPr>
          <w:lang w:val="en"/>
        </w:rPr>
        <w:t xml:space="preserve">At least one &lt;registrationEvent&gt; element shall be be present for each set of records returned from a different custodial source. </w:t>
      </w:r>
    </w:p>
    <w:p w:rsidR="00F811D2" w:rsidRDefault="00F811D2" w:rsidP="00F811D2">
      <w:pPr>
        <w:pStyle w:val="BodyText"/>
        <w:rPr>
          <w:lang w:val="en"/>
        </w:rPr>
      </w:pPr>
      <w:r>
        <w:rPr>
          <w:lang w:val="en"/>
        </w:rPr>
        <w:t xml:space="preserve">The &lt;registrationEvent&gt; is used to record the information about how the &lt;careProvisionEvent&gt; being returned was recorded or "registered" in the custodial system. The response to a Care Profile query is a CareProvisionEvent that is constructed in response to the query. This &lt;careProvisionEvent&gt; is transitory in nature, and has limited "registration" information content. </w:t>
      </w:r>
    </w:p>
    <w:p w:rsidR="00F811D2" w:rsidRDefault="00F811D2" w:rsidP="00F811D2">
      <w:pPr>
        <w:pStyle w:val="BodyText"/>
        <w:rPr>
          <w:lang w:val="en"/>
        </w:rPr>
      </w:pPr>
      <w:r>
        <w:rPr>
          <w:lang w:val="en"/>
        </w:rPr>
        <w:t xml:space="preserve">A </w:t>
      </w:r>
      <w:r w:rsidR="007828A6" w:rsidRPr="007828A6">
        <w:rPr>
          <w:u w:val="single"/>
          <w:lang w:val="en"/>
        </w:rPr>
        <w:t>Clinical</w:t>
      </w:r>
      <w:r w:rsidR="007828A6">
        <w:rPr>
          <w:lang w:val="en"/>
        </w:rPr>
        <w:t xml:space="preserve"> </w:t>
      </w:r>
      <w:r>
        <w:rPr>
          <w:lang w:val="en"/>
        </w:rPr>
        <w:t xml:space="preserve">Data Source that aggregates information from two or more other data repositories shall separate the information into multiple &lt;registrationEvent&gt; elements so as to record the different custodians of the information. </w:t>
      </w:r>
    </w:p>
    <w:p w:rsidR="007828A6" w:rsidRPr="007828A6" w:rsidRDefault="007828A6" w:rsidP="00F811D2">
      <w:pPr>
        <w:pStyle w:val="BodyText"/>
        <w:rPr>
          <w:u w:val="single"/>
          <w:lang w:val="en"/>
        </w:rPr>
      </w:pPr>
      <w:r w:rsidRPr="007828A6">
        <w:rPr>
          <w:u w:val="single"/>
          <w:lang w:val="en"/>
        </w:rPr>
        <w:t>A Clinical Data Source that implements the Multi-Patient Query Option and is responding to a query asking for information about multiple patients shall separate information about each distinct patient into multiple &lt;registrationEvent&gt; elements so as to record the different patients associated with each response.</w:t>
      </w:r>
    </w:p>
    <w:bookmarkEnd w:id="2"/>
    <w:p w:rsidR="00F811D2" w:rsidRPr="00F811D2" w:rsidRDefault="00F811D2" w:rsidP="00DB43BB">
      <w:pPr>
        <w:pStyle w:val="BodyText"/>
        <w:rPr>
          <w:u w:val="single"/>
        </w:rPr>
      </w:pPr>
    </w:p>
    <w:sectPr w:rsidR="00F811D2" w:rsidRPr="00F811D2">
      <w:headerReference w:type="default" r:id="rId7"/>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681" w:rsidRDefault="005F7681">
      <w:r>
        <w:separator/>
      </w:r>
    </w:p>
  </w:endnote>
  <w:endnote w:type="continuationSeparator" w:id="0">
    <w:p w:rsidR="005F7681" w:rsidRDefault="005F7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681" w:rsidRDefault="005F7681">
      <w:r>
        <w:separator/>
      </w:r>
    </w:p>
  </w:footnote>
  <w:footnote w:type="continuationSeparator" w:id="0">
    <w:p w:rsidR="005F7681" w:rsidRDefault="005F76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035" w:rsidRDefault="00415035">
    <w:pPr>
      <w:pStyle w:val="Header"/>
      <w:rPr>
        <w:rFonts w:ascii="Arial" w:hAnsi="Arial" w:cs="Arial"/>
        <w:i/>
        <w:iCs/>
        <w:sz w:val="20"/>
      </w:rPr>
    </w:pPr>
    <w:r>
      <w:rPr>
        <w:rFonts w:ascii="Arial" w:hAnsi="Arial" w:cs="Arial"/>
        <w:i/>
        <w:iCs/>
        <w:sz w:val="20"/>
      </w:rPr>
      <w:fldChar w:fldCharType="begin"/>
    </w:r>
    <w:r>
      <w:rPr>
        <w:rFonts w:ascii="Arial" w:hAnsi="Arial" w:cs="Arial"/>
        <w:i/>
        <w:iCs/>
        <w:sz w:val="20"/>
      </w:rPr>
      <w:instrText xml:space="preserve"> FILENAME </w:instrText>
    </w:r>
    <w:r>
      <w:rPr>
        <w:rFonts w:ascii="Arial" w:hAnsi="Arial" w:cs="Arial"/>
        <w:i/>
        <w:iCs/>
        <w:sz w:val="20"/>
      </w:rPr>
      <w:fldChar w:fldCharType="separate"/>
    </w:r>
    <w:r>
      <w:rPr>
        <w:rFonts w:ascii="Arial" w:hAnsi="Arial" w:cs="Arial"/>
        <w:i/>
        <w:iCs/>
        <w:noProof/>
        <w:sz w:val="20"/>
      </w:rPr>
      <w:t>IHE_TF_CP-Template-V5.doc</w:t>
    </w:r>
    <w:r>
      <w:rPr>
        <w:rFonts w:ascii="Arial" w:hAnsi="Arial" w:cs="Arial"/>
        <w:i/>
        <w:iCs/>
        <w:sz w:val="20"/>
      </w:rPr>
      <w:fldChar w:fldCharType="end"/>
    </w:r>
  </w:p>
  <w:p w:rsidR="00415035" w:rsidRDefault="00415035" w:rsidP="00DA4A9D">
    <w:pPr>
      <w:pStyle w:val="Header"/>
      <w:rPr>
        <w:rFonts w:ascii="Arial" w:hAnsi="Arial" w:cs="Arial"/>
        <w:i/>
        <w:iCs/>
        <w:sz w:val="20"/>
      </w:rPr>
    </w:pPr>
    <w:r>
      <w:rPr>
        <w:rFonts w:ascii="Arial" w:hAnsi="Arial" w:cs="Arial"/>
        <w:i/>
        <w:iCs/>
        <w:sz w:val="20"/>
      </w:rPr>
      <w:t>&lt;</w:t>
    </w:r>
    <w:proofErr w:type="gramStart"/>
    <w:r>
      <w:rPr>
        <w:rFonts w:ascii="Arial" w:hAnsi="Arial" w:cs="Arial"/>
        <w:i/>
        <w:iCs/>
        <w:sz w:val="20"/>
      </w:rPr>
      <w:t>same</w:t>
    </w:r>
    <w:proofErr w:type="gramEnd"/>
    <w:r>
      <w:rPr>
        <w:rFonts w:ascii="Arial" w:hAnsi="Arial" w:cs="Arial"/>
        <w:i/>
        <w:iCs/>
        <w:sz w:val="20"/>
      </w:rPr>
      <w:t xml:space="preserve"> as the Log Summary field below&gt;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D6588F36"/>
    <w:lvl w:ilvl="0">
      <w:start w:val="1"/>
      <w:numFmt w:val="bullet"/>
      <w:pStyle w:val="ListBullet4"/>
      <w:lvlText w:val=""/>
      <w:lvlJc w:val="left"/>
      <w:pPr>
        <w:tabs>
          <w:tab w:val="num" w:pos="1800"/>
        </w:tabs>
        <w:ind w:left="1800" w:hanging="360"/>
      </w:pPr>
      <w:rPr>
        <w:rFonts w:ascii="Symbol" w:hAnsi="Symbol" w:hint="default"/>
      </w:rPr>
    </w:lvl>
  </w:abstractNum>
  <w:abstractNum w:abstractNumId="1">
    <w:nsid w:val="FFFFFF81"/>
    <w:multiLevelType w:val="singleLevel"/>
    <w:tmpl w:val="5CAA5EC0"/>
    <w:lvl w:ilvl="0">
      <w:start w:val="1"/>
      <w:numFmt w:val="bullet"/>
      <w:pStyle w:val="TOC1"/>
      <w:lvlText w:val=""/>
      <w:lvlJc w:val="left"/>
      <w:pPr>
        <w:tabs>
          <w:tab w:val="num" w:pos="1440"/>
        </w:tabs>
        <w:ind w:left="1440" w:hanging="360"/>
      </w:pPr>
      <w:rPr>
        <w:rFonts w:ascii="Symbol" w:hAnsi="Symbol" w:hint="default"/>
      </w:rPr>
    </w:lvl>
  </w:abstractNum>
  <w:abstractNum w:abstractNumId="2">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CF568E72"/>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5">
    <w:nsid w:val="FFFFFF89"/>
    <w:multiLevelType w:val="singleLevel"/>
    <w:tmpl w:val="49EC6644"/>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3A03366"/>
    <w:multiLevelType w:val="multilevel"/>
    <w:tmpl w:val="374CEFE0"/>
    <w:lvl w:ilvl="0">
      <w:start w:val="3"/>
      <w:numFmt w:val="decimal"/>
      <w:lvlText w:val="%1"/>
      <w:lvlJc w:val="left"/>
      <w:pPr>
        <w:ind w:left="915" w:hanging="915"/>
      </w:pPr>
      <w:rPr>
        <w:rFonts w:hint="default"/>
      </w:rPr>
    </w:lvl>
    <w:lvl w:ilvl="1">
      <w:start w:val="1"/>
      <w:numFmt w:val="decimal"/>
      <w:lvlText w:val="%1.%2"/>
      <w:lvlJc w:val="left"/>
      <w:pPr>
        <w:ind w:left="915" w:hanging="915"/>
      </w:pPr>
      <w:rPr>
        <w:rFonts w:hint="default"/>
      </w:rPr>
    </w:lvl>
    <w:lvl w:ilvl="2">
      <w:start w:val="5"/>
      <w:numFmt w:val="decimal"/>
      <w:lvlText w:val="%1.%2.%3"/>
      <w:lvlJc w:val="left"/>
      <w:pPr>
        <w:ind w:left="915" w:hanging="915"/>
      </w:pPr>
      <w:rPr>
        <w:rFonts w:hint="default"/>
      </w:rPr>
    </w:lvl>
    <w:lvl w:ilvl="3">
      <w:start w:val="5"/>
      <w:numFmt w:val="decimal"/>
      <w:lvlText w:val="%1.%2.%3.%4"/>
      <w:lvlJc w:val="left"/>
      <w:pPr>
        <w:ind w:left="1080" w:hanging="108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30A1F67"/>
    <w:multiLevelType w:val="multilevel"/>
    <w:tmpl w:val="23DAB5A8"/>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13821335"/>
    <w:multiLevelType w:val="multilevel"/>
    <w:tmpl w:val="CAC0C834"/>
    <w:lvl w:ilvl="0">
      <w:start w:val="1"/>
      <w:numFmt w:val="upperLetter"/>
      <w:pStyle w:val="AppendixHeading3"/>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2B9D6087"/>
    <w:multiLevelType w:val="multilevel"/>
    <w:tmpl w:val="DC1C9DE2"/>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332665ED"/>
    <w:multiLevelType w:val="multilevel"/>
    <w:tmpl w:val="079C2AD6"/>
    <w:lvl w:ilvl="0">
      <w:start w:val="1"/>
      <w:numFmt w:val="upperLetter"/>
      <w:pStyle w:val="AppendixHeading3"/>
      <w:suff w:val="nothing"/>
      <w:lvlText w:val="Appendix %1:  "/>
      <w:lvlJc w:val="left"/>
      <w:pPr>
        <w:ind w:left="432" w:hanging="432"/>
      </w:pPr>
    </w:lvl>
    <w:lvl w:ilvl="1">
      <w:start w:val="1"/>
      <w:numFmt w:val="decimal"/>
      <w:suff w:val="nothing"/>
      <w:lvlText w:val="%1.%2:  "/>
      <w:lvlJc w:val="left"/>
      <w:pPr>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39995F40"/>
    <w:multiLevelType w:val="hybridMultilevel"/>
    <w:tmpl w:val="B5F04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65828D3"/>
    <w:multiLevelType w:val="multilevel"/>
    <w:tmpl w:val="F1446090"/>
    <w:lvl w:ilvl="0">
      <w:start w:val="1"/>
      <w:numFmt w:val="upperLetter"/>
      <w:pStyle w:val="AppendixHeading1"/>
      <w:lvlText w:val="Appendix %1:"/>
      <w:lvlJc w:val="left"/>
      <w:pPr>
        <w:tabs>
          <w:tab w:val="num" w:pos="1980"/>
        </w:tabs>
        <w:ind w:left="1980" w:hanging="1980"/>
      </w:pPr>
    </w:lvl>
    <w:lvl w:ilvl="1">
      <w:start w:val="1"/>
      <w:numFmt w:val="decimal"/>
      <w:pStyle w:val="AppendixHeading2"/>
      <w:lvlText w:val="%1.%2:"/>
      <w:lvlJc w:val="left"/>
      <w:pPr>
        <w:tabs>
          <w:tab w:val="num" w:pos="900"/>
        </w:tabs>
        <w:ind w:left="900" w:hanging="900"/>
      </w:pPr>
    </w:lvl>
    <w:lvl w:ilvl="2">
      <w:start w:val="1"/>
      <w:numFmt w:val="decimal"/>
      <w:pStyle w:val="AppendixHeading3"/>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59E61463"/>
    <w:multiLevelType w:val="multilevel"/>
    <w:tmpl w:val="3FE226EE"/>
    <w:lvl w:ilvl="0">
      <w:start w:val="1"/>
      <w:numFmt w:val="upperLetter"/>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606556C3"/>
    <w:multiLevelType w:val="multilevel"/>
    <w:tmpl w:val="CD60718C"/>
    <w:lvl w:ilvl="0">
      <w:start w:val="1"/>
      <w:numFmt w:val="upperLetter"/>
      <w:pStyle w:val="AppendixHeading2"/>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62150EC1"/>
    <w:multiLevelType w:val="multilevel"/>
    <w:tmpl w:val="BDB68E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Appendix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75C7297E"/>
    <w:multiLevelType w:val="multilevel"/>
    <w:tmpl w:val="F544E75A"/>
    <w:lvl w:ilvl="0">
      <w:start w:val="1"/>
      <w:numFmt w:val="upperLetter"/>
      <w:pStyle w:val="AppendixHeading2"/>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79CB397A"/>
    <w:multiLevelType w:val="multilevel"/>
    <w:tmpl w:val="9C54C07A"/>
    <w:lvl w:ilvl="0">
      <w:start w:val="1"/>
      <w:numFmt w:val="upperLetter"/>
      <w:pStyle w:val="AppendixHeading2"/>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4"/>
  </w:num>
  <w:num w:numId="2">
    <w:abstractNumId w:val="15"/>
  </w:num>
  <w:num w:numId="3">
    <w:abstractNumId w:val="5"/>
  </w:num>
  <w:num w:numId="4">
    <w:abstractNumId w:val="3"/>
  </w:num>
  <w:num w:numId="5">
    <w:abstractNumId w:val="2"/>
  </w:num>
  <w:num w:numId="6">
    <w:abstractNumId w:val="8"/>
  </w:num>
  <w:num w:numId="7">
    <w:abstractNumId w:val="13"/>
  </w:num>
  <w:num w:numId="8">
    <w:abstractNumId w:val="7"/>
  </w:num>
  <w:num w:numId="9">
    <w:abstractNumId w:val="10"/>
  </w:num>
  <w:num w:numId="10">
    <w:abstractNumId w:val="17"/>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16"/>
  </w:num>
  <w:num w:numId="15">
    <w:abstractNumId w:val="9"/>
  </w:num>
  <w:num w:numId="16">
    <w:abstractNumId w:val="14"/>
  </w:num>
  <w:num w:numId="17">
    <w:abstractNumId w:val="12"/>
  </w:num>
  <w:num w:numId="18">
    <w:abstractNumId w:val="11"/>
  </w:num>
  <w:num w:numId="19">
    <w:abstractNumId w:val="1"/>
  </w:num>
  <w:num w:numId="20">
    <w:abstractNumId w:val="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427"/>
    <w:rsid w:val="00013207"/>
    <w:rsid w:val="00042635"/>
    <w:rsid w:val="000D1827"/>
    <w:rsid w:val="00173ECA"/>
    <w:rsid w:val="001F39F6"/>
    <w:rsid w:val="00293018"/>
    <w:rsid w:val="002A5837"/>
    <w:rsid w:val="002D46B1"/>
    <w:rsid w:val="002F53AC"/>
    <w:rsid w:val="00352155"/>
    <w:rsid w:val="00362ED4"/>
    <w:rsid w:val="00371D83"/>
    <w:rsid w:val="003B3883"/>
    <w:rsid w:val="003E5959"/>
    <w:rsid w:val="0041108F"/>
    <w:rsid w:val="00415035"/>
    <w:rsid w:val="00496B9D"/>
    <w:rsid w:val="004A3986"/>
    <w:rsid w:val="004A7CDC"/>
    <w:rsid w:val="004D7E35"/>
    <w:rsid w:val="004E6971"/>
    <w:rsid w:val="0050014E"/>
    <w:rsid w:val="00592911"/>
    <w:rsid w:val="005F7681"/>
    <w:rsid w:val="00705699"/>
    <w:rsid w:val="00707427"/>
    <w:rsid w:val="00766FFD"/>
    <w:rsid w:val="007828A6"/>
    <w:rsid w:val="007A724B"/>
    <w:rsid w:val="007C4457"/>
    <w:rsid w:val="007D6E1F"/>
    <w:rsid w:val="007F4DDC"/>
    <w:rsid w:val="00801FCA"/>
    <w:rsid w:val="008140AF"/>
    <w:rsid w:val="008633B6"/>
    <w:rsid w:val="008C6235"/>
    <w:rsid w:val="008F1355"/>
    <w:rsid w:val="00936FC1"/>
    <w:rsid w:val="00942B7D"/>
    <w:rsid w:val="0096532F"/>
    <w:rsid w:val="0097476E"/>
    <w:rsid w:val="009A2588"/>
    <w:rsid w:val="009C2A1C"/>
    <w:rsid w:val="00A43CFF"/>
    <w:rsid w:val="00A85C2E"/>
    <w:rsid w:val="00AD3D5D"/>
    <w:rsid w:val="00B07726"/>
    <w:rsid w:val="00B14786"/>
    <w:rsid w:val="00B1735A"/>
    <w:rsid w:val="00B2241B"/>
    <w:rsid w:val="00B450C0"/>
    <w:rsid w:val="00B56F5E"/>
    <w:rsid w:val="00B62520"/>
    <w:rsid w:val="00B730E7"/>
    <w:rsid w:val="00BB7321"/>
    <w:rsid w:val="00C638AB"/>
    <w:rsid w:val="00CC277C"/>
    <w:rsid w:val="00D006D4"/>
    <w:rsid w:val="00D23AA5"/>
    <w:rsid w:val="00D43B47"/>
    <w:rsid w:val="00D732B7"/>
    <w:rsid w:val="00D83EF3"/>
    <w:rsid w:val="00D97F9B"/>
    <w:rsid w:val="00DA2FA0"/>
    <w:rsid w:val="00DA4A9D"/>
    <w:rsid w:val="00DB43BB"/>
    <w:rsid w:val="00DF1392"/>
    <w:rsid w:val="00E3592E"/>
    <w:rsid w:val="00EA1235"/>
    <w:rsid w:val="00EE3EC0"/>
    <w:rsid w:val="00F25F75"/>
    <w:rsid w:val="00F63656"/>
    <w:rsid w:val="00F811D2"/>
    <w:rsid w:val="00F859CC"/>
    <w:rsid w:val="00FA65D8"/>
    <w:rsid w:val="00FF4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C2494E2-8EFD-440D-92B1-06F2D10E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rPr>
      <w:sz w:val="24"/>
    </w:rPr>
  </w:style>
  <w:style w:type="paragraph" w:styleId="Heading1">
    <w:name w:val="heading 1"/>
    <w:next w:val="BodyText"/>
    <w:qFormat/>
    <w:pPr>
      <w:keepNext/>
      <w:numPr>
        <w:numId w:val="2"/>
      </w:numPr>
      <w:tabs>
        <w:tab w:val="clear" w:pos="432"/>
        <w:tab w:val="num" w:pos="360"/>
      </w:tabs>
      <w:spacing w:before="240" w:after="60"/>
      <w:ind w:left="360" w:hanging="720"/>
      <w:outlineLvl w:val="0"/>
    </w:pPr>
    <w:rPr>
      <w:rFonts w:ascii="Arial" w:hAnsi="Arial"/>
      <w:b/>
      <w:noProof/>
      <w:kern w:val="28"/>
      <w:sz w:val="28"/>
    </w:rPr>
  </w:style>
  <w:style w:type="paragraph" w:styleId="Heading2">
    <w:name w:val="heading 2"/>
    <w:basedOn w:val="Heading1"/>
    <w:next w:val="BodyText"/>
    <w:qFormat/>
    <w:pPr>
      <w:numPr>
        <w:ilvl w:val="1"/>
      </w:numPr>
      <w:tabs>
        <w:tab w:val="clear" w:pos="576"/>
        <w:tab w:val="num" w:pos="540"/>
      </w:tabs>
      <w:ind w:left="547" w:hanging="907"/>
      <w:outlineLvl w:val="1"/>
    </w:pPr>
  </w:style>
  <w:style w:type="paragraph" w:styleId="Heading3">
    <w:name w:val="heading 3"/>
    <w:basedOn w:val="Heading2"/>
    <w:next w:val="BodyText"/>
    <w:qFormat/>
    <w:pPr>
      <w:numPr>
        <w:ilvl w:val="2"/>
      </w:numPr>
      <w:ind w:hanging="1080"/>
      <w:outlineLvl w:val="2"/>
    </w:pPr>
    <w:rPr>
      <w:sz w:val="24"/>
    </w:rPr>
  </w:style>
  <w:style w:type="paragraph" w:styleId="Heading4">
    <w:name w:val="heading 4"/>
    <w:basedOn w:val="Heading3"/>
    <w:next w:val="BodyText"/>
    <w:qFormat/>
    <w:pPr>
      <w:numPr>
        <w:ilvl w:val="3"/>
      </w:numPr>
      <w:tabs>
        <w:tab w:val="clear" w:pos="864"/>
        <w:tab w:val="left" w:pos="900"/>
      </w:tabs>
      <w:ind w:left="900" w:hanging="1260"/>
      <w:outlineLvl w:val="3"/>
    </w:pPr>
  </w:style>
  <w:style w:type="paragraph" w:styleId="Heading5">
    <w:name w:val="heading 5"/>
    <w:basedOn w:val="Heading4"/>
    <w:next w:val="BodyText"/>
    <w:qFormat/>
    <w:pPr>
      <w:numPr>
        <w:ilvl w:val="4"/>
      </w:numPr>
      <w:tabs>
        <w:tab w:val="clear" w:pos="900"/>
        <w:tab w:val="clear" w:pos="1008"/>
        <w:tab w:val="num" w:pos="1080"/>
      </w:tabs>
      <w:ind w:left="1080" w:hanging="1440"/>
      <w:outlineLvl w:val="4"/>
    </w:pPr>
  </w:style>
  <w:style w:type="paragraph" w:styleId="Heading6">
    <w:name w:val="heading 6"/>
    <w:basedOn w:val="Heading5"/>
    <w:next w:val="BodyText"/>
    <w:qFormat/>
    <w:pPr>
      <w:numPr>
        <w:ilvl w:val="5"/>
      </w:numPr>
      <w:tabs>
        <w:tab w:val="clear" w:pos="1152"/>
        <w:tab w:val="num" w:pos="1260"/>
      </w:tabs>
      <w:ind w:left="1260" w:hanging="1620"/>
      <w:outlineLvl w:val="5"/>
    </w:pPr>
  </w:style>
  <w:style w:type="paragraph" w:styleId="Heading7">
    <w:name w:val="heading 7"/>
    <w:basedOn w:val="Heading6"/>
    <w:next w:val="BodyText"/>
    <w:qFormat/>
    <w:pPr>
      <w:numPr>
        <w:ilvl w:val="6"/>
      </w:numPr>
      <w:tabs>
        <w:tab w:val="clear" w:pos="1296"/>
        <w:tab w:val="num" w:pos="1440"/>
      </w:tabs>
      <w:ind w:left="1440" w:hanging="1800"/>
      <w:outlineLvl w:val="6"/>
    </w:pPr>
  </w:style>
  <w:style w:type="paragraph" w:styleId="Heading8">
    <w:name w:val="heading 8"/>
    <w:basedOn w:val="Heading7"/>
    <w:next w:val="BodyText"/>
    <w:qFormat/>
    <w:pPr>
      <w:numPr>
        <w:ilvl w:val="7"/>
      </w:numPr>
      <w:tabs>
        <w:tab w:val="clear" w:pos="1440"/>
        <w:tab w:val="num" w:pos="1620"/>
      </w:tabs>
      <w:ind w:left="1620" w:hanging="1980"/>
      <w:outlineLvl w:val="7"/>
    </w:pPr>
  </w:style>
  <w:style w:type="paragraph" w:styleId="Heading9">
    <w:name w:val="heading 9"/>
    <w:basedOn w:val="Heading8"/>
    <w:next w:val="BodyText"/>
    <w:qFormat/>
    <w:pPr>
      <w:numPr>
        <w:ilvl w:val="8"/>
      </w:numPr>
      <w:tabs>
        <w:tab w:val="clear" w:pos="1584"/>
        <w:tab w:val="num" w:pos="1800"/>
      </w:tabs>
      <w:ind w:left="1800" w:hanging="2160"/>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sz w:val="44"/>
    </w:rPr>
  </w:style>
  <w:style w:type="paragraph" w:styleId="BodyText">
    <w:name w:val="Body Text"/>
    <w:aliases w:val="Body Text Char Char Char"/>
    <w:pPr>
      <w:spacing w:before="120"/>
    </w:pPr>
    <w:rPr>
      <w:noProof/>
      <w:sz w:val="24"/>
    </w:rPr>
  </w:style>
  <w:style w:type="paragraph" w:styleId="BodyTextIndent">
    <w:name w:val="Body Text Indent"/>
    <w:basedOn w:val="BodyText"/>
    <w:pPr>
      <w:ind w:left="360"/>
    </w:pPr>
  </w:style>
  <w:style w:type="paragraph" w:styleId="ListNumber">
    <w:name w:val="List Number"/>
    <w:basedOn w:val="BodyText"/>
    <w:pPr>
      <w:numPr>
        <w:numId w:val="1"/>
      </w:numPr>
    </w:pPr>
  </w:style>
  <w:style w:type="paragraph" w:styleId="List">
    <w:name w:val="List"/>
    <w:basedOn w:val="BodyText"/>
    <w:pPr>
      <w:spacing w:before="60"/>
      <w:ind w:left="1080" w:hanging="720"/>
    </w:pPr>
  </w:style>
  <w:style w:type="paragraph" w:styleId="ListBullet">
    <w:name w:val="List Bullet"/>
    <w:basedOn w:val="BodyText"/>
    <w:pPr>
      <w:numPr>
        <w:numId w:val="3"/>
      </w:numPr>
      <w:tabs>
        <w:tab w:val="clear" w:pos="360"/>
        <w:tab w:val="num" w:pos="720"/>
      </w:tabs>
      <w:spacing w:before="60"/>
      <w:ind w:left="720"/>
    </w:pPr>
  </w:style>
  <w:style w:type="paragraph" w:styleId="ListBullet2">
    <w:name w:val="List Bullet 2"/>
    <w:basedOn w:val="ListBullet"/>
    <w:pPr>
      <w:numPr>
        <w:numId w:val="4"/>
      </w:numPr>
      <w:tabs>
        <w:tab w:val="clear" w:pos="720"/>
        <w:tab w:val="num" w:pos="1080"/>
      </w:tabs>
      <w:ind w:left="1080"/>
    </w:pPr>
  </w:style>
  <w:style w:type="paragraph" w:styleId="ListBullet3">
    <w:name w:val="List Bullet 3"/>
    <w:basedOn w:val="ListBullet"/>
    <w:pPr>
      <w:numPr>
        <w:numId w:val="5"/>
      </w:numPr>
      <w:tabs>
        <w:tab w:val="clear" w:pos="1080"/>
        <w:tab w:val="num" w:pos="1440"/>
      </w:tabs>
      <w:ind w:left="1440"/>
    </w:pPr>
  </w:style>
  <w:style w:type="paragraph" w:styleId="List2">
    <w:name w:val="List 2"/>
    <w:basedOn w:val="List"/>
    <w:pPr>
      <w:ind w:left="1440"/>
    </w:pPr>
  </w:style>
  <w:style w:type="paragraph" w:styleId="TOC1">
    <w:name w:val="toc 1"/>
    <w:next w:val="Normal"/>
    <w:semiHidden/>
    <w:rPr>
      <w:noProof/>
      <w:sz w:val="24"/>
    </w:rPr>
  </w:style>
  <w:style w:type="paragraph" w:styleId="TOC2">
    <w:name w:val="toc 2"/>
    <w:basedOn w:val="TOC1"/>
    <w:next w:val="Normal"/>
    <w:semiHidden/>
    <w:pPr>
      <w:ind w:left="240"/>
    </w:pPr>
  </w:style>
  <w:style w:type="paragraph" w:styleId="TOC3">
    <w:name w:val="toc 3"/>
    <w:basedOn w:val="TOC2"/>
    <w:next w:val="Normal"/>
    <w:semiHidden/>
    <w:pPr>
      <w:ind w:left="480"/>
    </w:pPr>
  </w:style>
  <w:style w:type="paragraph" w:styleId="TOC4">
    <w:name w:val="toc 4"/>
    <w:basedOn w:val="TOC3"/>
    <w:next w:val="Normal"/>
    <w:semiHidden/>
    <w:pPr>
      <w:ind w:left="720"/>
    </w:pPr>
  </w:style>
  <w:style w:type="paragraph" w:styleId="TOC5">
    <w:name w:val="toc 5"/>
    <w:basedOn w:val="TOC4"/>
    <w:next w:val="Normal"/>
    <w:semiHidden/>
    <w:pPr>
      <w:ind w:left="960"/>
    </w:pPr>
  </w:style>
  <w:style w:type="paragraph" w:styleId="TOC6">
    <w:name w:val="toc 6"/>
    <w:basedOn w:val="TOC5"/>
    <w:next w:val="Normal"/>
    <w:semiHidden/>
    <w:pPr>
      <w:ind w:left="1200"/>
    </w:pPr>
  </w:style>
  <w:style w:type="paragraph" w:styleId="TOC7">
    <w:name w:val="toc 7"/>
    <w:basedOn w:val="TOC6"/>
    <w:next w:val="Normal"/>
    <w:semiHidden/>
    <w:pPr>
      <w:ind w:left="1440"/>
    </w:pPr>
  </w:style>
  <w:style w:type="paragraph" w:styleId="TOC8">
    <w:name w:val="toc 8"/>
    <w:basedOn w:val="TOC7"/>
    <w:next w:val="Normal"/>
    <w:semiHidden/>
    <w:pPr>
      <w:ind w:left="1680"/>
    </w:pPr>
  </w:style>
  <w:style w:type="paragraph" w:styleId="TOC9">
    <w:name w:val="toc 9"/>
    <w:basedOn w:val="TOC8"/>
    <w:next w:val="Normal"/>
    <w:semiHidden/>
    <w:pPr>
      <w:ind w:left="1920"/>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BodyText"/>
    <w:pPr>
      <w:spacing w:before="60" w:after="60"/>
      <w:jc w:val="center"/>
    </w:pPr>
    <w:rPr>
      <w:rFonts w:ascii="Arial" w:hAnsi="Arial"/>
      <w:b/>
      <w:sz w:val="22"/>
    </w:rPr>
  </w:style>
  <w:style w:type="paragraph" w:customStyle="1" w:styleId="FigureTitle">
    <w:name w:val="Figure Title"/>
    <w:basedOn w:val="Table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BodyText"/>
    <w:next w:val="BodyText"/>
    <w:qFormat/>
    <w:rPr>
      <w:rFonts w:ascii="Arial" w:hAnsi="Arial"/>
      <w:b/>
    </w:rPr>
  </w:style>
  <w:style w:type="paragraph" w:styleId="List3">
    <w:name w:val="List 3"/>
    <w:basedOn w:val="Normal"/>
    <w:pPr>
      <w:ind w:left="1800" w:hanging="720"/>
    </w:pPr>
  </w:style>
  <w:style w:type="paragraph" w:styleId="ListContinue">
    <w:name w:val="List Continue"/>
    <w:basedOn w:val="List"/>
    <w:pPr>
      <w:spacing w:after="120"/>
      <w:ind w:firstLine="0"/>
    </w:pPr>
  </w:style>
  <w:style w:type="paragraph" w:styleId="ListContinue2">
    <w:name w:val="List Continue 2"/>
    <w:basedOn w:val="List2"/>
    <w:pPr>
      <w:ind w:firstLine="0"/>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pPr>
      <w:numPr>
        <w:ilvl w:val="1"/>
        <w:numId w:val="17"/>
      </w:numPr>
      <w:spacing w:before="240" w:after="60"/>
    </w:pPr>
    <w:rPr>
      <w:rFonts w:ascii="Arial" w:hAnsi="Arial"/>
      <w:b/>
      <w:noProof/>
      <w:sz w:val="28"/>
    </w:rPr>
  </w:style>
  <w:style w:type="paragraph" w:customStyle="1" w:styleId="AppendixHeading1">
    <w:name w:val="Appendix Heading 1"/>
    <w:next w:val="BodyText"/>
    <w:pPr>
      <w:numPr>
        <w:numId w:val="17"/>
      </w:numPr>
      <w:spacing w:before="240" w:after="60"/>
    </w:pPr>
    <w:rPr>
      <w:rFonts w:ascii="Arial" w:hAnsi="Arial"/>
      <w:b/>
      <w:noProof/>
      <w:sz w:val="28"/>
    </w:rPr>
  </w:style>
  <w:style w:type="paragraph" w:customStyle="1" w:styleId="AppendixHeading3">
    <w:name w:val="Appendix Heading 3"/>
    <w:basedOn w:val="AppendixHeading2"/>
    <w:next w:val="BodyText"/>
    <w:pPr>
      <w:numPr>
        <w:ilvl w:val="2"/>
      </w:numPr>
    </w:pPr>
    <w:rPr>
      <w:sz w:val="24"/>
    </w:rPr>
  </w:style>
  <w:style w:type="paragraph" w:customStyle="1" w:styleId="EditorInstructions">
    <w:name w:val="Editor Instructions"/>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StyleBodyTextItalicRedBoxSinglesolidlineAuto05">
    <w:name w:val="Style Body Text + Italic Red Box: (Single solid line Auto  0.5 ..."/>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Note">
    <w:name w:val="Note"/>
    <w:basedOn w:val="FootnoteText"/>
    <w:rsid w:val="00707427"/>
    <w:pPr>
      <w:ind w:left="1152" w:hanging="720"/>
    </w:pPr>
    <w:rPr>
      <w:sz w:val="18"/>
    </w:rPr>
  </w:style>
  <w:style w:type="paragraph" w:styleId="FootnoteText">
    <w:name w:val="footnote text"/>
    <w:basedOn w:val="Normal"/>
    <w:semiHidden/>
    <w:rsid w:val="00707427"/>
    <w:rPr>
      <w:sz w:val="20"/>
    </w:rPr>
  </w:style>
  <w:style w:type="paragraph" w:styleId="BalloonText">
    <w:name w:val="Balloon Text"/>
    <w:basedOn w:val="Normal"/>
    <w:semiHidden/>
    <w:rsid w:val="00801FCA"/>
    <w:rPr>
      <w:rFonts w:ascii="Tahoma" w:hAnsi="Tahoma" w:cs="Tahoma"/>
      <w:sz w:val="16"/>
      <w:szCs w:val="16"/>
    </w:rPr>
  </w:style>
  <w:style w:type="character" w:styleId="CommentReference">
    <w:name w:val="annotation reference"/>
    <w:rsid w:val="00F859CC"/>
    <w:rPr>
      <w:sz w:val="16"/>
      <w:szCs w:val="16"/>
    </w:rPr>
  </w:style>
  <w:style w:type="paragraph" w:styleId="CommentText">
    <w:name w:val="annotation text"/>
    <w:basedOn w:val="Normal"/>
    <w:link w:val="CommentTextChar"/>
    <w:rsid w:val="00F859CC"/>
    <w:rPr>
      <w:sz w:val="20"/>
    </w:rPr>
  </w:style>
  <w:style w:type="character" w:customStyle="1" w:styleId="CommentTextChar">
    <w:name w:val="Comment Text Char"/>
    <w:link w:val="CommentText"/>
    <w:rsid w:val="00F859CC"/>
    <w:rPr>
      <w:lang w:val="en-US" w:eastAsia="en-US"/>
    </w:rPr>
  </w:style>
  <w:style w:type="paragraph" w:customStyle="1" w:styleId="Default">
    <w:name w:val="Default"/>
    <w:rsid w:val="00B730E7"/>
    <w:pPr>
      <w:autoSpaceDE w:val="0"/>
      <w:autoSpaceDN w:val="0"/>
      <w:adjustRightInd w:val="0"/>
    </w:pPr>
    <w:rPr>
      <w:color w:val="000000"/>
      <w:sz w:val="24"/>
      <w:szCs w:val="24"/>
    </w:rPr>
  </w:style>
  <w:style w:type="character" w:styleId="Hyperlink">
    <w:name w:val="Hyperlink"/>
    <w:rsid w:val="00E3592E"/>
    <w:rPr>
      <w:color w:val="0000FF"/>
      <w:u w:val="single"/>
    </w:rPr>
  </w:style>
  <w:style w:type="paragraph" w:styleId="ListBullet4">
    <w:name w:val="List Bullet 4"/>
    <w:basedOn w:val="Normal"/>
    <w:autoRedefine/>
    <w:rsid w:val="00F811D2"/>
    <w:pPr>
      <w:numPr>
        <w:numId w:val="20"/>
      </w:numPr>
      <w:tabs>
        <w:tab w:val="clear" w:pos="1800"/>
        <w:tab w:val="num" w:pos="1440"/>
      </w:tabs>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8398005">
      <w:bodyDiv w:val="1"/>
      <w:marLeft w:val="0"/>
      <w:marRight w:val="0"/>
      <w:marTop w:val="0"/>
      <w:marBottom w:val="0"/>
      <w:divBdr>
        <w:top w:val="none" w:sz="0" w:space="0" w:color="auto"/>
        <w:left w:val="none" w:sz="0" w:space="0" w:color="auto"/>
        <w:bottom w:val="none" w:sz="0" w:space="0" w:color="auto"/>
        <w:right w:val="none" w:sz="0" w:space="0" w:color="auto"/>
      </w:divBdr>
    </w:div>
    <w:div w:id="136717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Stuff\IHE\Technical%20Framework\IHE%20TF%20C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IHE TF CP.dot</Template>
  <TotalTime>0</TotalTime>
  <Pages>2</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&lt;Change Proposal Title&gt;</vt:lpstr>
    </vt:vector>
  </TitlesOfParts>
  <Company>GE</Company>
  <LinksUpToDate>false</LinksUpToDate>
  <CharactersWithSpaces>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&lt;Change Proposal Title&gt;</dc:title>
  <dc:subject/>
  <dc:creator>NO ONE ASSIGNED</dc:creator>
  <cp:keywords/>
  <cp:lastModifiedBy>Jones, Emma</cp:lastModifiedBy>
  <cp:revision>2</cp:revision>
  <cp:lastPrinted>1601-01-01T00:00:00Z</cp:lastPrinted>
  <dcterms:created xsi:type="dcterms:W3CDTF">2015-07-12T12:23:00Z</dcterms:created>
  <dcterms:modified xsi:type="dcterms:W3CDTF">2015-07-12T12:23:00Z</dcterms:modified>
</cp:coreProperties>
</file>