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B756" w14:textId="77777777" w:rsidR="0005069D" w:rsidRDefault="008B742C" w:rsidP="008B742C">
      <w:pPr>
        <w:pStyle w:val="Heading1"/>
        <w:rPr>
          <w:lang w:val="en-US"/>
        </w:rPr>
      </w:pPr>
      <w:r>
        <w:rPr>
          <w:lang w:val="en-US"/>
        </w:rPr>
        <w:t>ITI/PCC Content Creator/Content Consumer Harmonization</w:t>
      </w:r>
    </w:p>
    <w:p w14:paraId="6F98159D" w14:textId="77777777" w:rsidR="008B742C" w:rsidRDefault="008B742C" w:rsidP="008B742C">
      <w:pPr>
        <w:pStyle w:val="Heading2"/>
        <w:rPr>
          <w:lang w:val="en-US"/>
        </w:rPr>
      </w:pPr>
      <w:r>
        <w:rPr>
          <w:lang w:val="en-US"/>
        </w:rPr>
        <w:t>August 29th, 2014</w:t>
      </w:r>
    </w:p>
    <w:p w14:paraId="38820ACB" w14:textId="77777777" w:rsidR="00E32968" w:rsidRPr="00E32968" w:rsidRDefault="00E32968" w:rsidP="00E32968">
      <w:pPr>
        <w:pStyle w:val="Heading3"/>
        <w:rPr>
          <w:lang w:val="en-US"/>
        </w:rPr>
      </w:pPr>
      <w:r>
        <w:rPr>
          <w:lang w:val="en-US"/>
        </w:rPr>
        <w:t>Attendees</w:t>
      </w:r>
    </w:p>
    <w:p w14:paraId="6FE4D0CE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Moehrke</w:t>
      </w:r>
    </w:p>
    <w:p w14:paraId="382B5E7B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Laura Bright</w:t>
      </w:r>
    </w:p>
    <w:p w14:paraId="72D46108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Nelson (twice)</w:t>
      </w:r>
    </w:p>
    <w:p w14:paraId="589B73A1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 Horn</w:t>
      </w:r>
    </w:p>
    <w:p w14:paraId="5EAFCDEA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Tone Southerland</w:t>
      </w:r>
    </w:p>
    <w:p w14:paraId="197B6F77" w14:textId="77777777" w:rsidR="008B742C" w:rsidRP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Gila Pyke</w:t>
      </w:r>
    </w:p>
    <w:p w14:paraId="2F6FD976" w14:textId="77777777" w:rsidR="008B742C" w:rsidRDefault="008B742C" w:rsidP="008B742C">
      <w:pPr>
        <w:pStyle w:val="Heading2"/>
        <w:rPr>
          <w:lang w:val="en-US"/>
        </w:rPr>
      </w:pPr>
      <w:r>
        <w:rPr>
          <w:lang w:val="en-US"/>
        </w:rPr>
        <w:t>The story so far</w:t>
      </w:r>
    </w:p>
    <w:p w14:paraId="70F6444E" w14:textId="77777777" w:rsidR="008B742C" w:rsidRDefault="008B742C" w:rsidP="008B7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Laura Bright started the DSG update to the new Supplement template, she noticed that ITI and PCC use the Content Creator and Content Consumer actors</w:t>
      </w:r>
    </w:p>
    <w:p w14:paraId="32A74645" w14:textId="77777777" w:rsidR="008B742C" w:rsidRPr="0005069D" w:rsidRDefault="008B742C" w:rsidP="008B742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5069D">
        <w:rPr>
          <w:b/>
          <w:lang w:val="en-US"/>
        </w:rPr>
        <w:t>ITI defines Content Creator and Content Consumer differently than PCC</w:t>
      </w:r>
    </w:p>
    <w:p w14:paraId="563F8820" w14:textId="77777777" w:rsidR="008B742C" w:rsidRDefault="008B742C" w:rsidP="008B7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ITI has been pointing to the PCC </w:t>
      </w:r>
      <w:r w:rsidR="00E32968">
        <w:rPr>
          <w:lang w:val="en-US"/>
        </w:rPr>
        <w:t>Content</w:t>
      </w:r>
      <w:r>
        <w:rPr>
          <w:lang w:val="en-US"/>
        </w:rPr>
        <w:t xml:space="preserve"> Creator and Content Consumer, and then looked more closely and realized we use it differently</w:t>
      </w:r>
    </w:p>
    <w:p w14:paraId="5E562344" w14:textId="77777777" w:rsidR="008B742C" w:rsidRPr="0005069D" w:rsidRDefault="008B742C" w:rsidP="008B742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5069D">
        <w:rPr>
          <w:b/>
          <w:lang w:val="en-US"/>
        </w:rPr>
        <w:t>ITI considers CC^2 as content abstractions to which profiles can define and bind content, and through profiles or conformance statements, bind them to a transport/transaction ...</w:t>
      </w:r>
      <w:r w:rsidR="008F3CDF" w:rsidRPr="0005069D">
        <w:rPr>
          <w:b/>
          <w:lang w:val="en-US"/>
        </w:rPr>
        <w:t xml:space="preserve"> </w:t>
      </w:r>
    </w:p>
    <w:p w14:paraId="2993DA45" w14:textId="77777777" w:rsidR="008B742C" w:rsidRDefault="008F3CDF" w:rsidP="008F3CDF">
      <w:pPr>
        <w:pStyle w:val="Heading2"/>
        <w:rPr>
          <w:lang w:val="en-US"/>
        </w:rPr>
      </w:pPr>
      <w:r>
        <w:rPr>
          <w:lang w:val="en-US"/>
        </w:rPr>
        <w:t>What we need to do</w:t>
      </w:r>
    </w:p>
    <w:p w14:paraId="2829587E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Harmonize what Content Creator and Content consumer do, how they are defined, and used by other committees. Goal: Refine Content Creator and Content Consumer to have an abstract definition  that include document sharing bindings but don't require them, and that include CDA placeholders but don't force CDA content.</w:t>
      </w:r>
    </w:p>
    <w:p w14:paraId="5534A1EE" w14:textId="77777777" w:rsidR="008F3CDF" w:rsidRPr="008F3CDF" w:rsidRDefault="008F3CDF" w:rsidP="008F3C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Determine what to do about the view and content consumer options</w:t>
      </w:r>
    </w:p>
    <w:p w14:paraId="5F34FE3A" w14:textId="77777777" w:rsidR="008F3CDF" w:rsidRPr="00335072" w:rsidRDefault="008F3CDF" w:rsidP="008F3CDF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335072">
        <w:rPr>
          <w:b/>
          <w:lang w:val="en-US"/>
        </w:rPr>
        <w:t>Which options are generic options, and which options are template options and only defined once and put into the supplement template (e.g. vie</w:t>
      </w:r>
      <w:bookmarkStart w:id="0" w:name="_GoBack"/>
      <w:bookmarkEnd w:id="0"/>
      <w:r w:rsidRPr="00335072">
        <w:rPr>
          <w:b/>
          <w:lang w:val="en-US"/>
        </w:rPr>
        <w:t>w)?</w:t>
      </w:r>
    </w:p>
    <w:p w14:paraId="0F09DDF3" w14:textId="77777777" w:rsidR="008F3CDF" w:rsidRPr="00335072" w:rsidRDefault="008F3CDF" w:rsidP="008F3CDF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335072">
        <w:rPr>
          <w:b/>
          <w:lang w:val="en-US"/>
        </w:rPr>
        <w:t>Remove the "print" portion of the view option!</w:t>
      </w:r>
    </w:p>
    <w:p w14:paraId="089475D1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Solve Content Updater challenge w.r.t XDW, as well as what reconciliation profiles do</w:t>
      </w:r>
    </w:p>
    <w:p w14:paraId="427891CA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Assess the impact on the supplement template, e.g. does it provide sufficient guidance for use of said actors</w:t>
      </w:r>
    </w:p>
    <w:p w14:paraId="267DDB6F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Assess current supplements use of CC^2 </w:t>
      </w:r>
    </w:p>
    <w:p w14:paraId="4557FE20" w14:textId="77777777" w:rsidR="008F3CDF" w:rsidRDefault="008F3CDF" w:rsidP="008F3CDF">
      <w:pPr>
        <w:pStyle w:val="Heading2"/>
        <w:rPr>
          <w:lang w:val="en-US"/>
        </w:rPr>
      </w:pPr>
      <w:r>
        <w:rPr>
          <w:lang w:val="en-US"/>
        </w:rPr>
        <w:t>How we will do it</w:t>
      </w:r>
    </w:p>
    <w:p w14:paraId="5BBCF26E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PCC will lead this, and call working group meetings</w:t>
      </w:r>
    </w:p>
    <w:p w14:paraId="7AAD59DF" w14:textId="77777777" w:rsidR="008F3CDF" w:rsidRDefault="008F3CDF" w:rsidP="008F3C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Put forward as a formal work item to PCC</w:t>
      </w:r>
      <w:r w:rsidR="00836B3F">
        <w:rPr>
          <w:lang w:val="en-US"/>
        </w:rPr>
        <w:t>. Tone will write the first draft of the proposal and share it with this group prior to the September 25th call.</w:t>
      </w:r>
      <w:r>
        <w:rPr>
          <w:lang w:val="en-US"/>
        </w:rPr>
        <w:t xml:space="preserve"> On the proposal, Tone will identify a lead editor</w:t>
      </w:r>
      <w:r w:rsidR="00836B3F">
        <w:rPr>
          <w:lang w:val="en-US"/>
        </w:rPr>
        <w:t xml:space="preserve"> from PCC</w:t>
      </w:r>
      <w:r>
        <w:rPr>
          <w:lang w:val="en-US"/>
        </w:rPr>
        <w:t xml:space="preserve">, and </w:t>
      </w:r>
      <w:r w:rsidRPr="00836B3F">
        <w:rPr>
          <w:lang w:val="en-US"/>
        </w:rPr>
        <w:t>John Moehrke and Lisa Nelson</w:t>
      </w:r>
      <w:r>
        <w:rPr>
          <w:lang w:val="en-US"/>
        </w:rPr>
        <w:t xml:space="preserve"> will be part of the core team identified in the proposal. </w:t>
      </w:r>
    </w:p>
    <w:p w14:paraId="675DC023" w14:textId="77777777" w:rsidR="00E32968" w:rsidRDefault="00E32968" w:rsidP="008F3C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Have one more follow-up meeting prior to proposal submission deadline, and then follow typical development process. Tone will schedule a tcon for September 25th, 12-1:30pm CT/1-2:30ET</w:t>
      </w:r>
    </w:p>
    <w:p w14:paraId="12A0EFEF" w14:textId="77777777" w:rsidR="00E32968" w:rsidRDefault="00E32968" w:rsidP="00E329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Subject: Content Creator and Content Consumer Harmonization</w:t>
      </w:r>
    </w:p>
    <w:p w14:paraId="432168E9" w14:textId="77777777" w:rsidR="00E32968" w:rsidRPr="00E32968" w:rsidRDefault="00E32968" w:rsidP="00E329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Invitees: Gila, Tone, Laura Bright, Lisa Nelson, John Moehrke, Rob Horn, Erik Pupo, Derrick Evans, Keith Boone</w:t>
      </w:r>
    </w:p>
    <w:p w14:paraId="73C27840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Gila will put this as a standing status report item on the joint meeting at the F2F.</w:t>
      </w:r>
    </w:p>
    <w:p w14:paraId="068C25A4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ITI will provide support, as will QRPH</w:t>
      </w:r>
    </w:p>
    <w:p w14:paraId="498CB7C1" w14:textId="77777777" w:rsidR="008F3CDF" w:rsidRDefault="00E32968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Tone</w:t>
      </w:r>
      <w:r w:rsidR="008F3CDF">
        <w:rPr>
          <w:lang w:val="en-US"/>
        </w:rPr>
        <w:t xml:space="preserve"> will send these notes to the </w:t>
      </w:r>
      <w:r>
        <w:rPr>
          <w:lang w:val="en-US"/>
        </w:rPr>
        <w:t>DCC list, and ask for it to be added as an item to the next meeting agenda so we can inform and solicit participation from other committees</w:t>
      </w:r>
    </w:p>
    <w:p w14:paraId="36724347" w14:textId="77777777" w:rsidR="00E32968" w:rsidRPr="00E32968" w:rsidRDefault="00E32968" w:rsidP="00E329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Gila will cc: Steve Moore/Lynn Felhofer when she sends these notes to Tone.</w:t>
      </w:r>
    </w:p>
    <w:p w14:paraId="588BBE4D" w14:textId="77777777" w:rsidR="008B742C" w:rsidRPr="008B742C" w:rsidRDefault="008B742C">
      <w:pPr>
        <w:rPr>
          <w:lang w:val="en-US"/>
        </w:rPr>
      </w:pPr>
    </w:p>
    <w:sectPr w:rsidR="008B742C" w:rsidRPr="008B742C" w:rsidSect="00760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8D7"/>
    <w:multiLevelType w:val="hybridMultilevel"/>
    <w:tmpl w:val="59D4A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907D1"/>
    <w:multiLevelType w:val="hybridMultilevel"/>
    <w:tmpl w:val="38987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D1B6E"/>
    <w:multiLevelType w:val="hybridMultilevel"/>
    <w:tmpl w:val="1048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B742C"/>
    <w:rsid w:val="0005069D"/>
    <w:rsid w:val="00335072"/>
    <w:rsid w:val="00656C4A"/>
    <w:rsid w:val="0070361A"/>
    <w:rsid w:val="0070435D"/>
    <w:rsid w:val="00707ABC"/>
    <w:rsid w:val="00760539"/>
    <w:rsid w:val="007D68D0"/>
    <w:rsid w:val="00813DEC"/>
    <w:rsid w:val="00836B3F"/>
    <w:rsid w:val="008B742C"/>
    <w:rsid w:val="008F3CDF"/>
    <w:rsid w:val="0095665B"/>
    <w:rsid w:val="00977F7C"/>
    <w:rsid w:val="00B92972"/>
    <w:rsid w:val="00D42EE0"/>
    <w:rsid w:val="00D970FD"/>
    <w:rsid w:val="00E32968"/>
    <w:rsid w:val="00E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0D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39"/>
  </w:style>
  <w:style w:type="paragraph" w:styleId="Heading1">
    <w:name w:val="heading 1"/>
    <w:basedOn w:val="Normal"/>
    <w:next w:val="Normal"/>
    <w:link w:val="Heading1Char"/>
    <w:uiPriority w:val="9"/>
    <w:qFormat/>
    <w:rsid w:val="008B7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9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9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 Pyke</dc:creator>
  <cp:lastModifiedBy>Tone Southerland</cp:lastModifiedBy>
  <cp:revision>4</cp:revision>
  <dcterms:created xsi:type="dcterms:W3CDTF">2014-08-29T18:58:00Z</dcterms:created>
  <dcterms:modified xsi:type="dcterms:W3CDTF">2014-09-22T15:10:00Z</dcterms:modified>
</cp:coreProperties>
</file>