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18AEFF53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  <w:r w:rsidR="00FE1D9C">
        <w:rPr>
          <w:rFonts w:asciiTheme="minorHAnsi" w:hAnsiTheme="minorHAnsi" w:cstheme="minorHAnsi"/>
        </w:rPr>
        <w:t>, Rob Horn</w:t>
      </w:r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13F5DBC8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Date: </w:t>
      </w:r>
      <w:r w:rsidR="00DA1B49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/</w:t>
      </w:r>
      <w:r w:rsidR="00372031">
        <w:rPr>
          <w:rFonts w:asciiTheme="minorHAnsi" w:hAnsiTheme="minorHAnsi" w:cstheme="minorHAnsi"/>
        </w:rPr>
        <w:t>10</w:t>
      </w:r>
      <w:r w:rsidR="000A17E5">
        <w:rPr>
          <w:rFonts w:asciiTheme="minorHAnsi" w:hAnsiTheme="minorHAnsi" w:cstheme="minorHAnsi"/>
        </w:rPr>
        <w:t>/2014</w:t>
      </w:r>
    </w:p>
    <w:p w14:paraId="406935EE" w14:textId="77DC9CDB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r w:rsidR="00372031">
        <w:rPr>
          <w:rFonts w:asciiTheme="minorHAnsi" w:hAnsiTheme="minorHAnsi" w:cstheme="minorHAnsi"/>
        </w:rPr>
        <w:t>6</w:t>
      </w:r>
    </w:p>
    <w:p w14:paraId="1F46D21D" w14:textId="29339C9D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</w:t>
      </w:r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4506DE8C" w14:textId="0D0A91AA" w:rsidR="006B6139" w:rsidRDefault="00790F55" w:rsidP="000B339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PCC</w:t>
      </w:r>
      <w:r w:rsidR="001F6730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IT</w:t>
      </w:r>
      <w:r w:rsidR="002A7E12">
        <w:rPr>
          <w:rFonts w:asciiTheme="minorHAnsi" w:hAnsiTheme="minorHAnsi" w:cstheme="minorHAnsi"/>
        </w:rPr>
        <w:t>I</w:t>
      </w:r>
      <w:r w:rsidR="001F67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domains </w:t>
      </w:r>
      <w:r w:rsidR="001F6730">
        <w:rPr>
          <w:rFonts w:asciiTheme="minorHAnsi" w:hAnsiTheme="minorHAnsi" w:cstheme="minorHAnsi"/>
        </w:rPr>
        <w:t>both</w:t>
      </w:r>
      <w:r w:rsidR="006B61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utilize the Content Creator and Content Consumer </w:t>
      </w:r>
      <w:r w:rsidR="00094D4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ctors </w:t>
      </w:r>
      <w:r w:rsidR="00094D42">
        <w:rPr>
          <w:rFonts w:asciiTheme="minorHAnsi" w:hAnsiTheme="minorHAnsi" w:cstheme="minorHAnsi"/>
        </w:rPr>
        <w:t>def</w:t>
      </w:r>
      <w:r>
        <w:rPr>
          <w:rFonts w:asciiTheme="minorHAnsi" w:hAnsiTheme="minorHAnsi" w:cstheme="minorHAnsi"/>
        </w:rPr>
        <w:t>in</w:t>
      </w:r>
      <w:r w:rsidR="00094D42">
        <w:rPr>
          <w:rFonts w:asciiTheme="minorHAnsi" w:hAnsiTheme="minorHAnsi" w:cstheme="minorHAnsi"/>
        </w:rPr>
        <w:t>ed in the PCC Technical Framework in various profiles</w:t>
      </w:r>
      <w:r>
        <w:rPr>
          <w:rFonts w:asciiTheme="minorHAnsi" w:hAnsiTheme="minorHAnsi" w:cstheme="minorHAnsi"/>
        </w:rPr>
        <w:t>, however they use them differently.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A04720">
        <w:rPr>
          <w:rFonts w:asciiTheme="minorHAnsi" w:hAnsiTheme="minorHAnsi" w:cstheme="minorHAnsi"/>
        </w:rPr>
        <w:t>.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>
        <w:rPr>
          <w:rFonts w:asciiTheme="minorHAnsi" w:hAnsiTheme="minorHAnsi" w:cstheme="minorHAnsi"/>
        </w:rPr>
        <w:t xml:space="preserve">. </w:t>
      </w:r>
      <w:r w:rsidR="00A04720">
        <w:rPr>
          <w:rFonts w:asciiTheme="minorHAnsi" w:hAnsiTheme="minorHAnsi" w:cstheme="minorHAnsi"/>
        </w:rPr>
        <w:t xml:space="preserve">This in itself is ok, however due to the fact that various implementations of these actors across ITI and PCC have grown organically a few problems have resulted. </w:t>
      </w:r>
      <w:r w:rsidR="006B6139">
        <w:rPr>
          <w:rFonts w:asciiTheme="minorHAnsi" w:hAnsiTheme="minorHAnsi" w:cstheme="minorHAnsi"/>
        </w:rPr>
        <w:t>The</w:t>
      </w:r>
      <w:r w:rsidR="00A04720">
        <w:rPr>
          <w:rFonts w:asciiTheme="minorHAnsi" w:hAnsiTheme="minorHAnsi" w:cstheme="minorHAnsi"/>
        </w:rPr>
        <w:t>se</w:t>
      </w:r>
      <w:r w:rsidR="006B6139">
        <w:rPr>
          <w:rFonts w:asciiTheme="minorHAnsi" w:hAnsiTheme="minorHAnsi" w:cstheme="minorHAnsi"/>
        </w:rPr>
        <w:t xml:space="preserve"> problems </w:t>
      </w:r>
      <w:r w:rsidR="00A04720">
        <w:rPr>
          <w:rFonts w:asciiTheme="minorHAnsi" w:hAnsiTheme="minorHAnsi" w:cstheme="minorHAnsi"/>
        </w:rPr>
        <w:t>are defined</w:t>
      </w:r>
      <w:r w:rsidR="006B6139">
        <w:rPr>
          <w:rFonts w:asciiTheme="minorHAnsi" w:hAnsiTheme="minorHAnsi" w:cstheme="minorHAnsi"/>
        </w:rPr>
        <w:t xml:space="preserve"> as follows:</w:t>
      </w:r>
    </w:p>
    <w:p w14:paraId="079AFFFF" w14:textId="62C7FA4D" w:rsidR="006B6139" w:rsidRPr="000B3390" w:rsidRDefault="006B6139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B3390">
        <w:rPr>
          <w:rFonts w:asciiTheme="minorHAnsi" w:hAnsiTheme="minorHAnsi" w:cstheme="minorHAnsi"/>
        </w:rPr>
        <w:t>The</w:t>
      </w:r>
      <w:bookmarkStart w:id="0" w:name="_GoBack"/>
      <w:bookmarkEnd w:id="0"/>
      <w:r w:rsidRPr="000B3390">
        <w:rPr>
          <w:rFonts w:asciiTheme="minorHAnsi" w:hAnsiTheme="minorHAnsi" w:cstheme="minorHAnsi"/>
        </w:rPr>
        <w:t xml:space="preserve"> PCC-TF does not reference the abstract definition of these actors which does exist </w:t>
      </w:r>
      <w:r w:rsidR="002470CC" w:rsidRPr="000B3390">
        <w:rPr>
          <w:rFonts w:asciiTheme="minorHAnsi" w:hAnsiTheme="minorHAnsi" w:cstheme="minorHAnsi"/>
        </w:rPr>
        <w:t xml:space="preserve">as part of the </w:t>
      </w:r>
      <w:hyperlink r:id="rId8" w:history="1">
        <w:r w:rsidR="002470CC" w:rsidRPr="000B3390">
          <w:rPr>
            <w:rStyle w:val="Hyperlink"/>
            <w:i/>
          </w:rPr>
          <w:t>Technical Frameworks General Introduction and Shared Appendices</w:t>
        </w:r>
      </w:hyperlink>
      <w:r w:rsidR="002470CC" w:rsidRPr="000B3390">
        <w:rPr>
          <w:rFonts w:asciiTheme="minorHAnsi" w:hAnsiTheme="minorHAnsi" w:cstheme="minorHAnsi"/>
          <w:i/>
        </w:rPr>
        <w:t xml:space="preserve">.  </w:t>
      </w:r>
    </w:p>
    <w:p w14:paraId="3F95E549" w14:textId="3ED5921A" w:rsidR="007F72AD" w:rsidRPr="000B3390" w:rsidRDefault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 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</w:t>
      </w:r>
      <w:r w:rsidR="004B487C">
        <w:rPr>
          <w:rFonts w:asciiTheme="minorHAnsi" w:hAnsiTheme="minorHAnsi" w:cstheme="minorHAnsi"/>
        </w:rPr>
        <w:t>are not applicable to all uses of this actor</w:t>
      </w:r>
      <w:r>
        <w:rPr>
          <w:rFonts w:asciiTheme="minorHAnsi" w:hAnsiTheme="minorHAnsi" w:cstheme="minorHAnsi"/>
        </w:rPr>
        <w:t>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0ACF499D" w14:textId="2B252577" w:rsidR="0085138C" w:rsidRDefault="0085138C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appropriate presentation of documents by the Content Consumer actor can sometimes be a challenge. To deal with these situations appropriately further guidance is needed. </w:t>
      </w:r>
      <w:r w:rsidR="00304368">
        <w:rPr>
          <w:rFonts w:asciiTheme="minorHAnsi" w:hAnsiTheme="minorHAnsi" w:cstheme="minorHAnsi"/>
        </w:rPr>
        <w:t>Following is a list of more details around these challenges:</w:t>
      </w:r>
    </w:p>
    <w:p w14:paraId="7F83AA1F" w14:textId="4C58C0B6" w:rsidR="00714E5E" w:rsidRDefault="00714E5E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</w:p>
    <w:p w14:paraId="236EDFF7" w14:textId="015C4892" w:rsidR="007F72AD" w:rsidRDefault="00304368" w:rsidP="00DA1B49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 of s</w:t>
      </w:r>
      <w:r w:rsidR="007F72AD">
        <w:rPr>
          <w:rFonts w:asciiTheme="minorHAnsi" w:hAnsiTheme="minorHAnsi" w:cstheme="minorHAnsi"/>
        </w:rPr>
        <w:t>tylesheets</w:t>
      </w:r>
      <w:r>
        <w:rPr>
          <w:rFonts w:asciiTheme="minorHAnsi" w:hAnsiTheme="minorHAnsi" w:cstheme="minorHAnsi"/>
        </w:rPr>
        <w:t xml:space="preserve"> needs to be dealt with somehow.</w:t>
      </w:r>
      <w:r w:rsidR="007F72AD">
        <w:rPr>
          <w:rFonts w:asciiTheme="minorHAnsi" w:hAnsiTheme="minorHAnsi" w:cstheme="minorHAnsi"/>
        </w:rPr>
        <w:t xml:space="preserve"> This sentence in</w:t>
      </w:r>
      <w:r>
        <w:rPr>
          <w:rFonts w:asciiTheme="minorHAnsi" w:hAnsiTheme="minorHAnsi" w:cstheme="minorHAnsi"/>
        </w:rPr>
        <w:t xml:space="preserve"> the Content Consumer View O</w:t>
      </w:r>
      <w:r w:rsidR="007F72AD">
        <w:rPr>
          <w:rFonts w:asciiTheme="minorHAnsi" w:hAnsiTheme="minorHAnsi" w:cstheme="minorHAnsi"/>
        </w:rPr>
        <w:t>ption</w:t>
      </w:r>
      <w:r>
        <w:rPr>
          <w:rFonts w:asciiTheme="minorHAnsi" w:hAnsiTheme="minorHAnsi" w:cstheme="minorHAnsi"/>
        </w:rPr>
        <w:t xml:space="preserve"> provides vague guidance at best</w:t>
      </w:r>
      <w:r w:rsidR="007F72AD">
        <w:rPr>
          <w:rFonts w:asciiTheme="minorHAnsi" w:hAnsiTheme="minorHAnsi" w:cstheme="minorHAnsi"/>
        </w:rPr>
        <w:t>:</w:t>
      </w:r>
    </w:p>
    <w:p w14:paraId="17A11F7D" w14:textId="5E53F7EE" w:rsidR="00A35422" w:rsidRDefault="007F72AD" w:rsidP="000B3390">
      <w:pPr>
        <w:pStyle w:val="ListParagraph"/>
        <w:ind w:left="2160"/>
      </w:pPr>
      <w:r w:rsidRPr="00DA1B49">
        <w:rPr>
          <w:rFonts w:asciiTheme="minorHAnsi" w:hAnsiTheme="minorHAnsi" w:cstheme="minorHAnsi"/>
        </w:rPr>
        <w:t>“This includes at a minimum the ability to render the document with the stylesheet specifications provided by the document source, if the document source provides a stylesheet.”</w:t>
      </w:r>
    </w:p>
    <w:p w14:paraId="0A631D7E" w14:textId="77777777" w:rsidR="00CE6AD0" w:rsidRDefault="00CE6AD0" w:rsidP="000B3390">
      <w:pPr>
        <w:rPr>
          <w:rFonts w:asciiTheme="minorHAnsi" w:hAnsiTheme="minorHAnsi" w:cstheme="minorHAnsi"/>
        </w:rPr>
      </w:pPr>
    </w:p>
    <w:p w14:paraId="176F3448" w14:textId="36B41D22" w:rsidR="00CE6AD0" w:rsidRDefault="001F673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is a harmonization and refactoring effort between PCC and ITI</w:t>
      </w:r>
      <w:r w:rsidR="00834B6E">
        <w:rPr>
          <w:rFonts w:asciiTheme="minorHAnsi" w:hAnsiTheme="minorHAnsi" w:cstheme="minorHAnsi"/>
        </w:rPr>
        <w:t xml:space="preserve"> initially.</w:t>
      </w:r>
      <w:r w:rsidR="00122BBB">
        <w:rPr>
          <w:rFonts w:asciiTheme="minorHAnsi" w:hAnsiTheme="minorHAnsi" w:cstheme="minorHAnsi"/>
        </w:rPr>
        <w:t xml:space="preserve">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 w:rsidR="00122BBB"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 w:rsidR="00122BBB"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r w:rsidR="00122BBB">
        <w:rPr>
          <w:rFonts w:asciiTheme="minorHAnsi" w:hAnsiTheme="minorHAnsi" w:cstheme="minorHAnsi"/>
        </w:rPr>
        <w:t xml:space="preserve">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1158C84B" w:rsidR="007605A5" w:rsidRP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cases as defined in </w:t>
      </w:r>
      <w:r w:rsidR="006A6838">
        <w:rPr>
          <w:rFonts w:asciiTheme="minorHAnsi" w:hAnsiTheme="minorHAnsi" w:cstheme="minorHAnsi"/>
        </w:rPr>
        <w:t xml:space="preserve">ITI </w:t>
      </w:r>
      <w:r w:rsidR="007605A5" w:rsidRPr="007605A5">
        <w:rPr>
          <w:rFonts w:asciiTheme="minorHAnsi" w:hAnsiTheme="minorHAnsi" w:cstheme="minorHAnsi"/>
        </w:rPr>
        <w:t>Digital Signature</w:t>
      </w:r>
      <w:r w:rsidR="006A6838">
        <w:rPr>
          <w:rFonts w:asciiTheme="minorHAnsi" w:hAnsiTheme="minorHAnsi" w:cstheme="minorHAnsi"/>
        </w:rPr>
        <w:t xml:space="preserve"> (DSG)</w:t>
      </w:r>
    </w:p>
    <w:p w14:paraId="60582F9A" w14:textId="01F0E39E" w:rsid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cases as defined in </w:t>
      </w:r>
      <w:r w:rsidR="006A6838">
        <w:rPr>
          <w:rFonts w:asciiTheme="minorHAnsi" w:hAnsiTheme="minorHAnsi" w:cstheme="minorHAnsi"/>
        </w:rPr>
        <w:t xml:space="preserve">ITI </w:t>
      </w:r>
      <w:r w:rsidR="007605A5">
        <w:rPr>
          <w:rFonts w:asciiTheme="minorHAnsi" w:hAnsiTheme="minorHAnsi" w:cstheme="minorHAnsi"/>
        </w:rPr>
        <w:t>Basic Patient Privacy Consent</w:t>
      </w:r>
      <w:r w:rsidR="006A6838">
        <w:rPr>
          <w:rFonts w:asciiTheme="minorHAnsi" w:hAnsiTheme="minorHAnsi" w:cstheme="minorHAnsi"/>
        </w:rPr>
        <w:t xml:space="preserve"> (BPPC)</w:t>
      </w:r>
    </w:p>
    <w:p w14:paraId="17A922D6" w14:textId="61C9E4EB" w:rsidR="00E3624A" w:rsidRDefault="00F0047B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cases as defined in a</w:t>
      </w:r>
      <w:commentRangeStart w:id="1"/>
      <w:r w:rsidR="00DA1954">
        <w:rPr>
          <w:rFonts w:asciiTheme="minorHAnsi" w:hAnsiTheme="minorHAnsi" w:cstheme="minorHAnsi"/>
        </w:rPr>
        <w:t xml:space="preserve">ll </w:t>
      </w:r>
      <w:r w:rsidR="007605A5">
        <w:rPr>
          <w:rFonts w:asciiTheme="minorHAnsi" w:hAnsiTheme="minorHAnsi" w:cstheme="minorHAnsi"/>
        </w:rPr>
        <w:t>PCC content profile</w:t>
      </w:r>
      <w:r w:rsidR="00DA1954">
        <w:rPr>
          <w:rFonts w:asciiTheme="minorHAnsi" w:hAnsiTheme="minorHAnsi" w:cstheme="minorHAnsi"/>
        </w:rPr>
        <w:t>s</w:t>
      </w:r>
      <w:commentRangeEnd w:id="1"/>
      <w:r w:rsidR="00DA1954">
        <w:rPr>
          <w:rStyle w:val="CommentReference"/>
        </w:rPr>
        <w:commentReference w:id="1"/>
      </w:r>
    </w:p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44DCCBC9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</w:t>
      </w:r>
      <w:r w:rsidR="007C606C">
        <w:rPr>
          <w:rFonts w:asciiTheme="minorHAnsi" w:hAnsiTheme="minorHAnsi" w:cstheme="minorHAnsi"/>
        </w:rPr>
        <w:t>, images</w:t>
      </w:r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5DC6A6AD" w14:textId="0E73D50B" w:rsidR="006A6838" w:rsidRDefault="006A6838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not a typical profile proposal. In fact this may be processed as a CP, however the resulting changes may very well have significant impact to many existing profiles and thus it should be considered as a work item in the PCC planning process.</w:t>
      </w:r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75F3C610" w14:textId="77777777" w:rsidR="00834B6E" w:rsidRDefault="00834B6E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Possible soutions:</w:t>
      </w:r>
    </w:p>
    <w:p w14:paraId="06896435" w14:textId="0AF565A4" w:rsidR="00834B6E" w:rsidRDefault="00834B6E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Rewrite the options to better represent less and more specific needs of what the options are intended to support. That is, add a “CDA View Option” that is focused on rendering only CDA content, and also add a “Content View Option” that is focused on rendering generic content such as a text document or image. </w:t>
      </w:r>
      <w:r w:rsidR="002D65F5">
        <w:rPr>
          <w:rFonts w:asciiTheme="minorHAnsi" w:hAnsiTheme="minorHAnsi" w:cstheme="minorHAnsi"/>
        </w:rPr>
        <w:t xml:space="preserve">Or perhaps even a “Text View Option” and “Image View Option” for those specific use cases. </w:t>
      </w:r>
    </w:p>
    <w:p w14:paraId="772ED787" w14:textId="716ABAF8" w:rsidR="00834B6E" w:rsidRPr="000B3390" w:rsidRDefault="002D65F5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actors and group them with the existing actors. RAD Image Enabled Office Uses this approach.</w:t>
      </w:r>
    </w:p>
    <w:p w14:paraId="3CB03231" w14:textId="21B2C6D4" w:rsidR="007F72AD" w:rsidRPr="00790F55" w:rsidRDefault="007F72AD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</w:t>
      </w:r>
      <w:r w:rsidR="00A21909">
        <w:rPr>
          <w:rFonts w:asciiTheme="minorHAnsi" w:hAnsiTheme="minorHAnsi" w:cstheme="minorHAnsi"/>
        </w:rPr>
        <w:t xml:space="preserve">level of </w:t>
      </w:r>
      <w:r>
        <w:rPr>
          <w:rFonts w:asciiTheme="minorHAnsi" w:hAnsiTheme="minorHAnsi" w:cstheme="minorHAnsi"/>
        </w:rPr>
        <w:t xml:space="preserve">responsibility of the content consumer to display/render the content in the way that the content creator intended for it to be displayed/rendered. </w:t>
      </w:r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10"/>
      <w:footerReference w:type="default" r:id="rId11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e Southerland" w:date="2014-10-09T16:53:00Z" w:initials="TS">
    <w:p w14:paraId="3E35A84C" w14:textId="73886391" w:rsidR="00080FE9" w:rsidRDefault="00080FE9">
      <w:pPr>
        <w:pStyle w:val="CommentText"/>
      </w:pPr>
      <w:r>
        <w:rPr>
          <w:rStyle w:val="CommentReference"/>
        </w:rPr>
        <w:annotationRef/>
      </w:r>
      <w:r>
        <w:t>Todo: produce the full list here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080FE9" w:rsidRDefault="00080FE9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080FE9" w:rsidRDefault="00080FE9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080FE9" w:rsidRPr="00906C8A" w:rsidRDefault="00080FE9">
    <w:pPr>
      <w:pStyle w:val="Footer"/>
      <w:rPr>
        <w:rFonts w:asciiTheme="minorHAnsi" w:hAnsiTheme="minorHAnsi" w:cstheme="minorHAnsi"/>
      </w:rPr>
    </w:pPr>
    <w:fldSimple w:instr=" FILENAME   \* MERGEFORMAT ">
      <w:r w:rsidRPr="00906C8A">
        <w:rPr>
          <w:rFonts w:asciiTheme="minorHAnsi" w:hAnsiTheme="minorHAnsi" w:cstheme="minorHAnsi"/>
          <w:noProof/>
        </w:rPr>
        <w:t>IHE_Profile_Proposal_Template-Brief.doc</w:t>
      </w:r>
    </w:fldSimple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080FE9" w:rsidRDefault="00080FE9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080FE9" w:rsidRDefault="00080FE9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080FE9" w:rsidRDefault="00080FE9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080FE9" w:rsidRPr="00906C8A" w:rsidRDefault="00080FE9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90A721A"/>
    <w:multiLevelType w:val="hybridMultilevel"/>
    <w:tmpl w:val="666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3"/>
  </w:num>
  <w:num w:numId="4">
    <w:abstractNumId w:val="26"/>
  </w:num>
  <w:num w:numId="5">
    <w:abstractNumId w:val="30"/>
  </w:num>
  <w:num w:numId="6">
    <w:abstractNumId w:val="12"/>
  </w:num>
  <w:num w:numId="7">
    <w:abstractNumId w:val="16"/>
  </w:num>
  <w:num w:numId="8">
    <w:abstractNumId w:val="18"/>
  </w:num>
  <w:num w:numId="9">
    <w:abstractNumId w:val="15"/>
  </w:num>
  <w:num w:numId="10">
    <w:abstractNumId w:val="31"/>
  </w:num>
  <w:num w:numId="11">
    <w:abstractNumId w:val="29"/>
  </w:num>
  <w:num w:numId="12">
    <w:abstractNumId w:val="28"/>
  </w:num>
  <w:num w:numId="13">
    <w:abstractNumId w:val="25"/>
  </w:num>
  <w:num w:numId="14">
    <w:abstractNumId w:val="22"/>
  </w:num>
  <w:num w:numId="15">
    <w:abstractNumId w:val="24"/>
  </w:num>
  <w:num w:numId="16">
    <w:abstractNumId w:val="17"/>
  </w:num>
  <w:num w:numId="17">
    <w:abstractNumId w:val="10"/>
  </w:num>
  <w:num w:numId="18">
    <w:abstractNumId w:val="11"/>
  </w:num>
  <w:num w:numId="19">
    <w:abstractNumId w:val="21"/>
  </w:num>
  <w:num w:numId="20">
    <w:abstractNumId w:val="20"/>
  </w:num>
  <w:num w:numId="21">
    <w:abstractNumId w:val="27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14"/>
  </w:num>
  <w:num w:numId="34">
    <w:abstractNumId w:val="33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0FE9"/>
    <w:rsid w:val="0008723D"/>
    <w:rsid w:val="00090364"/>
    <w:rsid w:val="00094D42"/>
    <w:rsid w:val="000A17E5"/>
    <w:rsid w:val="000A3F5B"/>
    <w:rsid w:val="000B3390"/>
    <w:rsid w:val="000C712E"/>
    <w:rsid w:val="000E4389"/>
    <w:rsid w:val="00122BBB"/>
    <w:rsid w:val="00136F5D"/>
    <w:rsid w:val="00144030"/>
    <w:rsid w:val="00192B2A"/>
    <w:rsid w:val="001A0D7E"/>
    <w:rsid w:val="001E56B8"/>
    <w:rsid w:val="001F6730"/>
    <w:rsid w:val="002470CC"/>
    <w:rsid w:val="00247417"/>
    <w:rsid w:val="002A7E12"/>
    <w:rsid w:val="002D65F5"/>
    <w:rsid w:val="00304368"/>
    <w:rsid w:val="00323B7A"/>
    <w:rsid w:val="00336B32"/>
    <w:rsid w:val="00341401"/>
    <w:rsid w:val="00347D6D"/>
    <w:rsid w:val="00372031"/>
    <w:rsid w:val="003939C6"/>
    <w:rsid w:val="003A0912"/>
    <w:rsid w:val="003E4BAE"/>
    <w:rsid w:val="0043520D"/>
    <w:rsid w:val="004864F8"/>
    <w:rsid w:val="004A66ED"/>
    <w:rsid w:val="004B487C"/>
    <w:rsid w:val="004E7293"/>
    <w:rsid w:val="00565682"/>
    <w:rsid w:val="005B4D01"/>
    <w:rsid w:val="005E5451"/>
    <w:rsid w:val="005E5DAC"/>
    <w:rsid w:val="005F3FD2"/>
    <w:rsid w:val="006A6838"/>
    <w:rsid w:val="006A702C"/>
    <w:rsid w:val="006B6139"/>
    <w:rsid w:val="006C490F"/>
    <w:rsid w:val="006D73B7"/>
    <w:rsid w:val="006E1DFB"/>
    <w:rsid w:val="0070040F"/>
    <w:rsid w:val="00714E5E"/>
    <w:rsid w:val="007204EA"/>
    <w:rsid w:val="007567C3"/>
    <w:rsid w:val="007605A5"/>
    <w:rsid w:val="00767C3E"/>
    <w:rsid w:val="00790F55"/>
    <w:rsid w:val="007A666B"/>
    <w:rsid w:val="007C606C"/>
    <w:rsid w:val="007F72AD"/>
    <w:rsid w:val="008177FA"/>
    <w:rsid w:val="00834B6E"/>
    <w:rsid w:val="0085138C"/>
    <w:rsid w:val="00853214"/>
    <w:rsid w:val="008B1781"/>
    <w:rsid w:val="008B4AD1"/>
    <w:rsid w:val="00906C8A"/>
    <w:rsid w:val="009A5908"/>
    <w:rsid w:val="009B28CB"/>
    <w:rsid w:val="009F3BF2"/>
    <w:rsid w:val="00A04720"/>
    <w:rsid w:val="00A127EC"/>
    <w:rsid w:val="00A21909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7533E"/>
    <w:rsid w:val="00B9637C"/>
    <w:rsid w:val="00BA4662"/>
    <w:rsid w:val="00BC2136"/>
    <w:rsid w:val="00BC5D7C"/>
    <w:rsid w:val="00BC69BB"/>
    <w:rsid w:val="00BF6D39"/>
    <w:rsid w:val="00C1114B"/>
    <w:rsid w:val="00C41197"/>
    <w:rsid w:val="00C416A7"/>
    <w:rsid w:val="00C64784"/>
    <w:rsid w:val="00C82FBF"/>
    <w:rsid w:val="00CA4B37"/>
    <w:rsid w:val="00CC140A"/>
    <w:rsid w:val="00CD10EA"/>
    <w:rsid w:val="00CD234D"/>
    <w:rsid w:val="00CD27FC"/>
    <w:rsid w:val="00CE3BCF"/>
    <w:rsid w:val="00CE4331"/>
    <w:rsid w:val="00CE6AD0"/>
    <w:rsid w:val="00D24697"/>
    <w:rsid w:val="00D47856"/>
    <w:rsid w:val="00D544FD"/>
    <w:rsid w:val="00D740A9"/>
    <w:rsid w:val="00D827A1"/>
    <w:rsid w:val="00DA1954"/>
    <w:rsid w:val="00DA1B49"/>
    <w:rsid w:val="00DD06B3"/>
    <w:rsid w:val="00E12C05"/>
    <w:rsid w:val="00E32C0D"/>
    <w:rsid w:val="00E3624A"/>
    <w:rsid w:val="00E664A0"/>
    <w:rsid w:val="00E66DDA"/>
    <w:rsid w:val="00EA6E52"/>
    <w:rsid w:val="00EF7F12"/>
    <w:rsid w:val="00F0047B"/>
    <w:rsid w:val="00F405F0"/>
    <w:rsid w:val="00FB4118"/>
    <w:rsid w:val="00FC7862"/>
    <w:rsid w:val="00FE1D9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he.net/TF_Intro_Appendices.aspx" TargetMode="Externa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5</cp:revision>
  <cp:lastPrinted>2001-08-16T23:03:00Z</cp:lastPrinted>
  <dcterms:created xsi:type="dcterms:W3CDTF">2014-10-10T20:40:00Z</dcterms:created>
  <dcterms:modified xsi:type="dcterms:W3CDTF">2014-10-10T20:40:00Z</dcterms:modified>
</cp:coreProperties>
</file>