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86121" w14:textId="77777777" w:rsidR="00906C8A" w:rsidRPr="00DA4B52" w:rsidRDefault="00906C8A" w:rsidP="005E5451">
      <w:pPr>
        <w:pStyle w:val="Title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  <w:noProof/>
        </w:rPr>
        <w:drawing>
          <wp:inline distT="0" distB="0" distL="0" distR="0" wp14:anchorId="5DD521FC" wp14:editId="5485A639">
            <wp:extent cx="1219200" cy="841375"/>
            <wp:effectExtent l="19050" t="0" r="0" b="0"/>
            <wp:docPr id="1" name="Picture 1" descr="C:\Users\croth\Documents\IHE Marketing_General\Logos\International\IH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th\Documents\IHE Marketing_General\Logos\International\IHE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31BEE" w14:textId="77777777" w:rsidR="005E5451" w:rsidRPr="00DA4B52" w:rsidRDefault="005E5451" w:rsidP="005E5451">
      <w:pPr>
        <w:pStyle w:val="Title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 xml:space="preserve">IHE </w:t>
      </w:r>
      <w:r w:rsidR="00906C8A" w:rsidRPr="00DA4B52">
        <w:rPr>
          <w:rFonts w:asciiTheme="minorHAnsi" w:hAnsiTheme="minorHAnsi" w:cstheme="minorHAnsi"/>
        </w:rPr>
        <w:t>Work I</w:t>
      </w:r>
      <w:r w:rsidR="00D47856" w:rsidRPr="00DA4B52">
        <w:rPr>
          <w:rFonts w:asciiTheme="minorHAnsi" w:hAnsiTheme="minorHAnsi" w:cstheme="minorHAnsi"/>
        </w:rPr>
        <w:t>tem</w:t>
      </w:r>
      <w:r w:rsidRPr="00DA4B52">
        <w:rPr>
          <w:rFonts w:asciiTheme="minorHAnsi" w:hAnsiTheme="minorHAnsi" w:cstheme="minorHAnsi"/>
        </w:rPr>
        <w:t xml:space="preserve"> Proposal</w:t>
      </w:r>
      <w:r w:rsidR="00B42FF5" w:rsidRPr="00DA4B52">
        <w:rPr>
          <w:rFonts w:asciiTheme="minorHAnsi" w:hAnsiTheme="minorHAnsi" w:cstheme="minorHAnsi"/>
        </w:rPr>
        <w:t xml:space="preserve"> (</w:t>
      </w:r>
      <w:r w:rsidR="008B4AD1" w:rsidRPr="00DA4B52">
        <w:rPr>
          <w:rFonts w:asciiTheme="minorHAnsi" w:hAnsiTheme="minorHAnsi" w:cstheme="minorHAnsi"/>
        </w:rPr>
        <w:t>Short</w:t>
      </w:r>
      <w:r w:rsidR="00B42FF5" w:rsidRPr="00DA4B52">
        <w:rPr>
          <w:rFonts w:asciiTheme="minorHAnsi" w:hAnsiTheme="minorHAnsi" w:cstheme="minorHAnsi"/>
        </w:rPr>
        <w:t>)</w:t>
      </w:r>
    </w:p>
    <w:p w14:paraId="03E37DB7" w14:textId="77777777" w:rsidR="00906C8A" w:rsidRPr="00DA4B52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495A7985" w14:textId="77777777" w:rsidR="00CD10EA" w:rsidRPr="00DA4B52" w:rsidRDefault="00BC5D7C">
      <w:pPr>
        <w:pStyle w:val="Heading1"/>
        <w:rPr>
          <w:rFonts w:asciiTheme="minorHAnsi" w:hAnsiTheme="minorHAnsi" w:cstheme="minorHAnsi"/>
          <w:sz w:val="24"/>
        </w:rPr>
      </w:pPr>
      <w:r w:rsidRPr="00DA4B52">
        <w:rPr>
          <w:rFonts w:asciiTheme="minorHAnsi" w:hAnsiTheme="minorHAnsi" w:cstheme="minorHAnsi"/>
        </w:rPr>
        <w:t xml:space="preserve">Proposed </w:t>
      </w:r>
      <w:r w:rsidR="00D47856" w:rsidRPr="00DA4B52">
        <w:rPr>
          <w:rFonts w:asciiTheme="minorHAnsi" w:hAnsiTheme="minorHAnsi" w:cstheme="minorHAnsi"/>
        </w:rPr>
        <w:t>Work</w:t>
      </w:r>
      <w:r w:rsidR="00906C8A" w:rsidRPr="00DA4B52">
        <w:rPr>
          <w:rFonts w:asciiTheme="minorHAnsi" w:hAnsiTheme="minorHAnsi" w:cstheme="minorHAnsi"/>
        </w:rPr>
        <w:t xml:space="preserve"> </w:t>
      </w:r>
      <w:r w:rsidR="00FF411A" w:rsidRPr="00DA4B52">
        <w:rPr>
          <w:rFonts w:asciiTheme="minorHAnsi" w:hAnsiTheme="minorHAnsi" w:cstheme="minorHAnsi"/>
        </w:rPr>
        <w:t>I</w:t>
      </w:r>
      <w:r w:rsidR="00D47856" w:rsidRPr="00DA4B52">
        <w:rPr>
          <w:rFonts w:asciiTheme="minorHAnsi" w:hAnsiTheme="minorHAnsi" w:cstheme="minorHAnsi"/>
        </w:rPr>
        <w:t>tem</w:t>
      </w:r>
      <w:r w:rsidR="00CD10EA" w:rsidRPr="00DA4B52">
        <w:rPr>
          <w:rFonts w:asciiTheme="minorHAnsi" w:hAnsiTheme="minorHAnsi" w:cstheme="minorHAnsi"/>
        </w:rPr>
        <w:t xml:space="preserve">: </w:t>
      </w:r>
      <w:r w:rsidRPr="00DA4B52">
        <w:rPr>
          <w:rFonts w:asciiTheme="minorHAnsi" w:hAnsiTheme="minorHAnsi" w:cstheme="minorHAnsi"/>
          <w:sz w:val="24"/>
        </w:rPr>
        <w:t>&lt;</w:t>
      </w:r>
      <w:r w:rsidR="00DE0A43" w:rsidRPr="00DA4B52">
        <w:rPr>
          <w:rFonts w:asciiTheme="minorHAnsi" w:hAnsiTheme="minorHAnsi" w:cstheme="minorHAnsi"/>
          <w:sz w:val="24"/>
        </w:rPr>
        <w:t xml:space="preserve">IHE </w:t>
      </w:r>
      <w:r w:rsidR="009E5E77">
        <w:rPr>
          <w:rFonts w:asciiTheme="minorHAnsi" w:hAnsiTheme="minorHAnsi" w:cstheme="minorHAnsi"/>
          <w:sz w:val="24"/>
        </w:rPr>
        <w:t>Order</w:t>
      </w:r>
      <w:r w:rsidR="00DE0A43" w:rsidRPr="00DA4B52">
        <w:rPr>
          <w:rFonts w:asciiTheme="minorHAnsi" w:hAnsiTheme="minorHAnsi" w:cstheme="minorHAnsi"/>
          <w:sz w:val="24"/>
        </w:rPr>
        <w:t xml:space="preserve"> </w:t>
      </w:r>
      <w:r w:rsidR="00B228D2">
        <w:rPr>
          <w:rFonts w:asciiTheme="minorHAnsi" w:hAnsiTheme="minorHAnsi" w:cstheme="minorHAnsi"/>
          <w:sz w:val="24"/>
        </w:rPr>
        <w:t>Matching</w:t>
      </w:r>
      <w:r w:rsidRPr="00DA4B52">
        <w:rPr>
          <w:rFonts w:asciiTheme="minorHAnsi" w:hAnsiTheme="minorHAnsi" w:cstheme="minorHAnsi"/>
          <w:sz w:val="24"/>
        </w:rPr>
        <w:t>&gt;</w:t>
      </w:r>
    </w:p>
    <w:p w14:paraId="2EF4CB51" w14:textId="77777777" w:rsidR="00191BFB" w:rsidRPr="00DA4B52" w:rsidRDefault="00BC5D7C" w:rsidP="006A702C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Proposal Editor</w:t>
      </w:r>
      <w:r w:rsidR="00CD10EA" w:rsidRPr="00DA4B52">
        <w:rPr>
          <w:rFonts w:asciiTheme="minorHAnsi" w:hAnsiTheme="minorHAnsi" w:cstheme="minorHAnsi"/>
        </w:rPr>
        <w:t xml:space="preserve">: </w:t>
      </w:r>
      <w:r w:rsidR="00AE692F">
        <w:rPr>
          <w:rFonts w:asciiTheme="minorHAnsi" w:hAnsiTheme="minorHAnsi" w:cstheme="minorHAnsi"/>
        </w:rPr>
        <w:t>Emma Jones, Denise Downing</w:t>
      </w:r>
    </w:p>
    <w:p w14:paraId="0028C0C4" w14:textId="77777777" w:rsidR="00D47856" w:rsidRPr="00DA4B52" w:rsidRDefault="00D47856" w:rsidP="006A702C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Work</w:t>
      </w:r>
      <w:r w:rsidR="00906C8A" w:rsidRPr="00DA4B52">
        <w:rPr>
          <w:rFonts w:asciiTheme="minorHAnsi" w:hAnsiTheme="minorHAnsi" w:cstheme="minorHAnsi"/>
        </w:rPr>
        <w:t xml:space="preserve"> </w:t>
      </w:r>
      <w:r w:rsidR="00191BFB" w:rsidRPr="00DA4B52">
        <w:rPr>
          <w:rFonts w:asciiTheme="minorHAnsi" w:hAnsiTheme="minorHAnsi" w:cstheme="minorHAnsi"/>
        </w:rPr>
        <w:t xml:space="preserve">item Editor: </w:t>
      </w:r>
      <w:r w:rsidR="00AE692F">
        <w:rPr>
          <w:rFonts w:asciiTheme="minorHAnsi" w:hAnsiTheme="minorHAnsi" w:cstheme="minorHAnsi"/>
        </w:rPr>
        <w:t>Emma Jones, Denise Downing</w:t>
      </w:r>
    </w:p>
    <w:p w14:paraId="3677C69E" w14:textId="77777777" w:rsidR="00CD10EA" w:rsidRPr="00DA4B52" w:rsidRDefault="00191BFB" w:rsidP="006A702C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 xml:space="preserve">Date: </w:t>
      </w:r>
      <w:r w:rsidR="00A71E3D">
        <w:rPr>
          <w:rFonts w:asciiTheme="minorHAnsi" w:hAnsiTheme="minorHAnsi" w:cstheme="minorHAnsi"/>
        </w:rPr>
        <w:t>September 27</w:t>
      </w:r>
      <w:r w:rsidR="00DE0A43" w:rsidRPr="00DA4B52">
        <w:rPr>
          <w:rFonts w:asciiTheme="minorHAnsi" w:hAnsiTheme="minorHAnsi" w:cstheme="minorHAnsi"/>
        </w:rPr>
        <w:t>, 2012</w:t>
      </w:r>
    </w:p>
    <w:p w14:paraId="2C0B63B5" w14:textId="77777777" w:rsidR="00CD10EA" w:rsidRPr="00DA4B52" w:rsidRDefault="00C416A7" w:rsidP="006A702C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 xml:space="preserve">Version: </w:t>
      </w:r>
      <w:r w:rsidR="00191BFB" w:rsidRPr="00DA4B52">
        <w:rPr>
          <w:rFonts w:asciiTheme="minorHAnsi" w:hAnsiTheme="minorHAnsi" w:cstheme="minorHAnsi"/>
        </w:rPr>
        <w:t>1.0</w:t>
      </w:r>
    </w:p>
    <w:p w14:paraId="4BFCE37B" w14:textId="77777777" w:rsidR="006C490F" w:rsidRPr="00DA4B52" w:rsidRDefault="00191BFB" w:rsidP="006A702C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 xml:space="preserve">Domain: </w:t>
      </w:r>
      <w:r w:rsidR="00DE0A43" w:rsidRPr="00DA4B52">
        <w:rPr>
          <w:rFonts w:asciiTheme="minorHAnsi" w:hAnsiTheme="minorHAnsi" w:cstheme="minorHAnsi"/>
        </w:rPr>
        <w:t>P</w:t>
      </w:r>
      <w:r w:rsidRPr="00DA4B52">
        <w:rPr>
          <w:rFonts w:asciiTheme="minorHAnsi" w:hAnsiTheme="minorHAnsi" w:cstheme="minorHAnsi"/>
        </w:rPr>
        <w:t xml:space="preserve">atient </w:t>
      </w:r>
      <w:r w:rsidR="00DE0A43" w:rsidRPr="00DA4B52">
        <w:rPr>
          <w:rFonts w:asciiTheme="minorHAnsi" w:hAnsiTheme="minorHAnsi" w:cstheme="minorHAnsi"/>
        </w:rPr>
        <w:t>C</w:t>
      </w:r>
      <w:r w:rsidRPr="00DA4B52">
        <w:rPr>
          <w:rFonts w:asciiTheme="minorHAnsi" w:hAnsiTheme="minorHAnsi" w:cstheme="minorHAnsi"/>
        </w:rPr>
        <w:t xml:space="preserve">are </w:t>
      </w:r>
      <w:r w:rsidR="00DE0A43" w:rsidRPr="00DA4B52">
        <w:rPr>
          <w:rFonts w:asciiTheme="minorHAnsi" w:hAnsiTheme="minorHAnsi" w:cstheme="minorHAnsi"/>
        </w:rPr>
        <w:t>C</w:t>
      </w:r>
      <w:r w:rsidRPr="00DA4B52">
        <w:rPr>
          <w:rFonts w:asciiTheme="minorHAnsi" w:hAnsiTheme="minorHAnsi" w:cstheme="minorHAnsi"/>
        </w:rPr>
        <w:t>oordination</w:t>
      </w:r>
    </w:p>
    <w:p w14:paraId="3FAFBF86" w14:textId="77777777" w:rsidR="00CD10EA" w:rsidRPr="00DA4B52" w:rsidRDefault="008B4AD1">
      <w:pPr>
        <w:pStyle w:val="Heading1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The Problem</w:t>
      </w:r>
    </w:p>
    <w:p w14:paraId="5453495A" w14:textId="77777777" w:rsidR="009B4D57" w:rsidRPr="00DA4B52" w:rsidRDefault="00B036E7" w:rsidP="00B036E7">
      <w:pPr>
        <w:pStyle w:val="Default"/>
        <w:ind w:left="72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 xml:space="preserve">The exchange of clinical data between providers is needed to accomplish safe and effective patient care. </w:t>
      </w:r>
      <w:r w:rsidR="009E5E77">
        <w:rPr>
          <w:rFonts w:asciiTheme="minorHAnsi" w:hAnsiTheme="minorHAnsi" w:cstheme="minorHAnsi"/>
        </w:rPr>
        <w:t xml:space="preserve">Many such exchanges follow an order </w:t>
      </w:r>
      <w:r w:rsidR="00867F92">
        <w:rPr>
          <w:rFonts w:asciiTheme="minorHAnsi" w:hAnsiTheme="minorHAnsi" w:cstheme="minorHAnsi"/>
        </w:rPr>
        <w:t>request and</w:t>
      </w:r>
      <w:r w:rsidR="00B228D2">
        <w:rPr>
          <w:rFonts w:asciiTheme="minorHAnsi" w:hAnsiTheme="minorHAnsi" w:cstheme="minorHAnsi"/>
        </w:rPr>
        <w:t xml:space="preserve"> response</w:t>
      </w:r>
      <w:r w:rsidR="00867F92">
        <w:rPr>
          <w:rFonts w:asciiTheme="minorHAnsi" w:hAnsiTheme="minorHAnsi" w:cstheme="minorHAnsi"/>
        </w:rPr>
        <w:t xml:space="preserve"> </w:t>
      </w:r>
      <w:r w:rsidR="009B4D57" w:rsidRPr="00DA4B52">
        <w:rPr>
          <w:rFonts w:asciiTheme="minorHAnsi" w:hAnsiTheme="minorHAnsi" w:cstheme="minorHAnsi"/>
        </w:rPr>
        <w:t xml:space="preserve">process. </w:t>
      </w:r>
      <w:r w:rsidR="00B228D2">
        <w:rPr>
          <w:rFonts w:asciiTheme="minorHAnsi" w:hAnsiTheme="minorHAnsi" w:cstheme="minorHAnsi"/>
        </w:rPr>
        <w:t>The m</w:t>
      </w:r>
      <w:r w:rsidR="009B4D57" w:rsidRPr="00DA4B52">
        <w:rPr>
          <w:rFonts w:asciiTheme="minorHAnsi" w:hAnsiTheme="minorHAnsi" w:cstheme="minorHAnsi"/>
        </w:rPr>
        <w:t xml:space="preserve">ajority of </w:t>
      </w:r>
      <w:r w:rsidR="009E5E77">
        <w:rPr>
          <w:rFonts w:asciiTheme="minorHAnsi" w:hAnsiTheme="minorHAnsi" w:cstheme="minorHAnsi"/>
        </w:rPr>
        <w:t>the ordering</w:t>
      </w:r>
      <w:r w:rsidR="0050291C">
        <w:rPr>
          <w:rFonts w:asciiTheme="minorHAnsi" w:hAnsiTheme="minorHAnsi" w:cstheme="minorHAnsi"/>
        </w:rPr>
        <w:t xml:space="preserve"> </w:t>
      </w:r>
      <w:r w:rsidR="00867F92">
        <w:rPr>
          <w:rFonts w:asciiTheme="minorHAnsi" w:hAnsiTheme="minorHAnsi" w:cstheme="minorHAnsi"/>
        </w:rPr>
        <w:t>process</w:t>
      </w:r>
      <w:r w:rsidR="009B4D57" w:rsidRPr="00DA4B52">
        <w:rPr>
          <w:rFonts w:asciiTheme="minorHAnsi" w:hAnsiTheme="minorHAnsi" w:cstheme="minorHAnsi"/>
        </w:rPr>
        <w:t xml:space="preserve"> </w:t>
      </w:r>
      <w:r w:rsidR="00867F92">
        <w:rPr>
          <w:rFonts w:asciiTheme="minorHAnsi" w:hAnsiTheme="minorHAnsi" w:cstheme="minorHAnsi"/>
        </w:rPr>
        <w:t>is</w:t>
      </w:r>
      <w:r w:rsidR="009B4D57" w:rsidRPr="00DA4B52">
        <w:rPr>
          <w:rFonts w:asciiTheme="minorHAnsi" w:hAnsiTheme="minorHAnsi" w:cstheme="minorHAnsi"/>
        </w:rPr>
        <w:t xml:space="preserve"> </w:t>
      </w:r>
      <w:r w:rsidR="00DA4B52">
        <w:rPr>
          <w:rFonts w:asciiTheme="minorHAnsi" w:hAnsiTheme="minorHAnsi" w:cstheme="minorHAnsi"/>
        </w:rPr>
        <w:t xml:space="preserve">typically </w:t>
      </w:r>
      <w:r w:rsidR="009B4D57" w:rsidRPr="00DA4B52">
        <w:rPr>
          <w:rFonts w:asciiTheme="minorHAnsi" w:hAnsiTheme="minorHAnsi" w:cstheme="minorHAnsi"/>
        </w:rPr>
        <w:t xml:space="preserve">not a single transaction. Many times, it involves additional </w:t>
      </w:r>
      <w:r w:rsidR="00DA4B52">
        <w:rPr>
          <w:rFonts w:asciiTheme="minorHAnsi" w:hAnsiTheme="minorHAnsi" w:cstheme="minorHAnsi"/>
        </w:rPr>
        <w:t>messages</w:t>
      </w:r>
      <w:r w:rsidR="009B4D57" w:rsidRPr="00DA4B52">
        <w:rPr>
          <w:rFonts w:asciiTheme="minorHAnsi" w:hAnsiTheme="minorHAnsi" w:cstheme="minorHAnsi"/>
        </w:rPr>
        <w:t xml:space="preserve"> to complete the process. Currently, there is not a standard way to </w:t>
      </w:r>
      <w:r w:rsidR="00B228D2">
        <w:rPr>
          <w:rFonts w:asciiTheme="minorHAnsi" w:hAnsiTheme="minorHAnsi" w:cstheme="minorHAnsi"/>
        </w:rPr>
        <w:t>match</w:t>
      </w:r>
      <w:r w:rsidR="00B228D2" w:rsidRPr="00DA4B52">
        <w:rPr>
          <w:rFonts w:asciiTheme="minorHAnsi" w:hAnsiTheme="minorHAnsi" w:cstheme="minorHAnsi"/>
        </w:rPr>
        <w:t xml:space="preserve"> </w:t>
      </w:r>
      <w:r w:rsidR="009B4D57" w:rsidRPr="00DA4B52">
        <w:rPr>
          <w:rFonts w:asciiTheme="minorHAnsi" w:hAnsiTheme="minorHAnsi" w:cstheme="minorHAnsi"/>
        </w:rPr>
        <w:t xml:space="preserve">together </w:t>
      </w:r>
      <w:r w:rsidR="009E5E77">
        <w:rPr>
          <w:rFonts w:asciiTheme="minorHAnsi" w:hAnsiTheme="minorHAnsi" w:cstheme="minorHAnsi"/>
        </w:rPr>
        <w:t>order</w:t>
      </w:r>
      <w:r w:rsidR="0050291C">
        <w:rPr>
          <w:rFonts w:asciiTheme="minorHAnsi" w:hAnsiTheme="minorHAnsi" w:cstheme="minorHAnsi"/>
        </w:rPr>
        <w:t xml:space="preserve"> </w:t>
      </w:r>
      <w:r w:rsidR="00867F92">
        <w:rPr>
          <w:rFonts w:asciiTheme="minorHAnsi" w:hAnsiTheme="minorHAnsi" w:cstheme="minorHAnsi"/>
        </w:rPr>
        <w:t>request</w:t>
      </w:r>
      <w:r w:rsidR="009E5E77">
        <w:rPr>
          <w:rFonts w:asciiTheme="minorHAnsi" w:hAnsiTheme="minorHAnsi" w:cstheme="minorHAnsi"/>
        </w:rPr>
        <w:t>s</w:t>
      </w:r>
      <w:r w:rsidR="00867F92">
        <w:rPr>
          <w:rFonts w:asciiTheme="minorHAnsi" w:hAnsiTheme="minorHAnsi" w:cstheme="minorHAnsi"/>
        </w:rPr>
        <w:t xml:space="preserve"> and</w:t>
      </w:r>
      <w:r w:rsidR="009B4D57" w:rsidRPr="00DA4B52">
        <w:rPr>
          <w:rFonts w:asciiTheme="minorHAnsi" w:hAnsiTheme="minorHAnsi" w:cstheme="minorHAnsi"/>
        </w:rPr>
        <w:t xml:space="preserve"> </w:t>
      </w:r>
      <w:r w:rsidR="00B228D2">
        <w:rPr>
          <w:rFonts w:asciiTheme="minorHAnsi" w:hAnsiTheme="minorHAnsi" w:cstheme="minorHAnsi"/>
        </w:rPr>
        <w:t xml:space="preserve">responses </w:t>
      </w:r>
      <w:r w:rsidR="00867F92">
        <w:rPr>
          <w:rFonts w:asciiTheme="minorHAnsi" w:hAnsiTheme="minorHAnsi" w:cstheme="minorHAnsi"/>
        </w:rPr>
        <w:t>n</w:t>
      </w:r>
      <w:r w:rsidR="00B228D2">
        <w:rPr>
          <w:rFonts w:asciiTheme="minorHAnsi" w:hAnsiTheme="minorHAnsi" w:cstheme="minorHAnsi"/>
        </w:rPr>
        <w:t xml:space="preserve">or additional documents to the initial </w:t>
      </w:r>
      <w:r w:rsidR="009B4D57" w:rsidRPr="00DA4B52">
        <w:rPr>
          <w:rFonts w:asciiTheme="minorHAnsi" w:hAnsiTheme="minorHAnsi" w:cstheme="minorHAnsi"/>
        </w:rPr>
        <w:t xml:space="preserve">transaction. </w:t>
      </w:r>
    </w:p>
    <w:p w14:paraId="1A31DB16" w14:textId="77777777" w:rsidR="008603CF" w:rsidRPr="00DA4B52" w:rsidRDefault="008603CF" w:rsidP="008603CF">
      <w:pPr>
        <w:pStyle w:val="Default"/>
        <w:tabs>
          <w:tab w:val="left" w:pos="4331"/>
        </w:tabs>
        <w:ind w:left="720"/>
        <w:rPr>
          <w:rFonts w:asciiTheme="minorHAnsi" w:hAnsiTheme="minorHAnsi" w:cstheme="minorHAnsi"/>
        </w:rPr>
      </w:pPr>
    </w:p>
    <w:p w14:paraId="05AEA939" w14:textId="77777777" w:rsidR="009B4D57" w:rsidRPr="00DA4B52" w:rsidRDefault="009B4D57" w:rsidP="008603CF">
      <w:pPr>
        <w:pStyle w:val="Default"/>
        <w:ind w:left="720"/>
        <w:rPr>
          <w:rFonts w:asciiTheme="minorHAnsi" w:eastAsiaTheme="minorHAnsi" w:hAnsiTheme="minorHAnsi" w:cstheme="minorHAnsi"/>
        </w:rPr>
      </w:pPr>
      <w:r w:rsidRPr="00DA4B52">
        <w:rPr>
          <w:rFonts w:asciiTheme="minorHAnsi" w:eastAsiaTheme="minorHAnsi" w:hAnsiTheme="minorHAnsi" w:cstheme="minorHAnsi"/>
        </w:rPr>
        <w:t>As patients move within and across healthcare settings, providers send and receive multiple transactions</w:t>
      </w:r>
      <w:r w:rsidR="008603CF" w:rsidRPr="00DA4B52">
        <w:rPr>
          <w:rFonts w:asciiTheme="minorHAnsi" w:eastAsiaTheme="minorHAnsi" w:hAnsiTheme="minorHAnsi" w:cstheme="minorHAnsi"/>
        </w:rPr>
        <w:t xml:space="preserve"> relating to the same </w:t>
      </w:r>
      <w:r w:rsidR="009E5E77">
        <w:rPr>
          <w:rFonts w:asciiTheme="minorHAnsi" w:hAnsiTheme="minorHAnsi" w:cstheme="minorHAnsi"/>
        </w:rPr>
        <w:t>order</w:t>
      </w:r>
      <w:r w:rsidRPr="00DA4B52">
        <w:rPr>
          <w:rFonts w:asciiTheme="minorHAnsi" w:eastAsiaTheme="minorHAnsi" w:hAnsiTheme="minorHAnsi" w:cstheme="minorHAnsi"/>
        </w:rPr>
        <w:t xml:space="preserve">. </w:t>
      </w:r>
      <w:r w:rsidR="008603CF" w:rsidRPr="00DA4B52">
        <w:rPr>
          <w:rFonts w:asciiTheme="minorHAnsi" w:eastAsiaTheme="minorHAnsi" w:hAnsiTheme="minorHAnsi" w:cstheme="minorHAnsi"/>
        </w:rPr>
        <w:t xml:space="preserve">Today, these transactions are manually managed. </w:t>
      </w:r>
      <w:r w:rsidRPr="00DA4B52">
        <w:rPr>
          <w:rFonts w:asciiTheme="minorHAnsi" w:eastAsiaTheme="minorHAnsi" w:hAnsiTheme="minorHAnsi" w:cstheme="minorHAnsi"/>
        </w:rPr>
        <w:t xml:space="preserve">The ability to electronically manage these transactions is needed. </w:t>
      </w:r>
    </w:p>
    <w:p w14:paraId="189E9519" w14:textId="77777777" w:rsidR="008603CF" w:rsidRPr="00DA4B52" w:rsidRDefault="008603CF" w:rsidP="008603CF">
      <w:pPr>
        <w:pStyle w:val="Default"/>
        <w:ind w:left="720"/>
        <w:rPr>
          <w:rFonts w:asciiTheme="minorHAnsi" w:eastAsiaTheme="minorHAnsi" w:hAnsiTheme="minorHAnsi" w:cstheme="minorHAnsi"/>
        </w:rPr>
      </w:pPr>
    </w:p>
    <w:p w14:paraId="16CAAC10" w14:textId="77777777" w:rsidR="00D47856" w:rsidRPr="00DA4B52" w:rsidRDefault="00B228D2" w:rsidP="008603CF">
      <w:pPr>
        <w:pStyle w:val="Default"/>
        <w:tabs>
          <w:tab w:val="left" w:pos="4331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purpose of this content profile: </w:t>
      </w:r>
      <w:r w:rsidR="008603CF" w:rsidRPr="00DA4B52">
        <w:rPr>
          <w:rFonts w:asciiTheme="minorHAnsi" w:hAnsiTheme="minorHAnsi" w:cstheme="minorHAnsi"/>
        </w:rPr>
        <w:t>Provide a mechanism</w:t>
      </w:r>
      <w:r w:rsidR="008603CF" w:rsidRPr="00DA4B52">
        <w:rPr>
          <w:rFonts w:asciiTheme="minorHAnsi" w:eastAsiaTheme="minorHAnsi" w:hAnsiTheme="minorHAnsi" w:cstheme="minorHAnsi"/>
        </w:rPr>
        <w:t xml:space="preserve"> to </w:t>
      </w:r>
      <w:r>
        <w:rPr>
          <w:rFonts w:asciiTheme="minorHAnsi" w:eastAsiaTheme="minorHAnsi" w:hAnsiTheme="minorHAnsi" w:cstheme="minorHAnsi"/>
        </w:rPr>
        <w:t xml:space="preserve">facilitate </w:t>
      </w:r>
      <w:r w:rsidR="008603CF" w:rsidRPr="00DA4B52">
        <w:rPr>
          <w:rFonts w:asciiTheme="minorHAnsi" w:eastAsiaTheme="minorHAnsi" w:hAnsiTheme="minorHAnsi" w:cstheme="minorHAnsi"/>
        </w:rPr>
        <w:t>programmatic match</w:t>
      </w:r>
      <w:r>
        <w:rPr>
          <w:rFonts w:asciiTheme="minorHAnsi" w:eastAsiaTheme="minorHAnsi" w:hAnsiTheme="minorHAnsi" w:cstheme="minorHAnsi"/>
        </w:rPr>
        <w:t>ing</w:t>
      </w:r>
      <w:r w:rsidR="008603CF" w:rsidRPr="00DA4B52">
        <w:rPr>
          <w:rFonts w:asciiTheme="minorHAnsi" w:eastAsiaTheme="minorHAnsi" w:hAnsiTheme="minorHAnsi" w:cstheme="minorHAnsi"/>
        </w:rPr>
        <w:t>/link</w:t>
      </w:r>
      <w:r>
        <w:rPr>
          <w:rFonts w:asciiTheme="minorHAnsi" w:eastAsiaTheme="minorHAnsi" w:hAnsiTheme="minorHAnsi" w:cstheme="minorHAnsi"/>
        </w:rPr>
        <w:t>ing</w:t>
      </w:r>
      <w:r w:rsidR="008603CF" w:rsidRPr="00DA4B52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 xml:space="preserve">of </w:t>
      </w:r>
      <w:r w:rsidR="008603CF" w:rsidRPr="00DA4B52">
        <w:rPr>
          <w:rFonts w:asciiTheme="minorHAnsi" w:eastAsiaTheme="minorHAnsi" w:hAnsiTheme="minorHAnsi" w:cstheme="minorHAnsi"/>
        </w:rPr>
        <w:t xml:space="preserve">related outbound and inbound </w:t>
      </w:r>
      <w:r w:rsidR="009E5E77">
        <w:rPr>
          <w:rFonts w:asciiTheme="minorHAnsi" w:hAnsiTheme="minorHAnsi" w:cstheme="minorHAnsi"/>
        </w:rPr>
        <w:t>order</w:t>
      </w:r>
      <w:r w:rsidR="0050291C">
        <w:rPr>
          <w:rFonts w:asciiTheme="minorHAnsi" w:hAnsiTheme="minorHAnsi" w:cstheme="minorHAnsi"/>
        </w:rPr>
        <w:t xml:space="preserve"> </w:t>
      </w:r>
      <w:r w:rsidR="008603CF" w:rsidRPr="00DA4B52">
        <w:rPr>
          <w:rFonts w:asciiTheme="minorHAnsi" w:eastAsiaTheme="minorHAnsi" w:hAnsiTheme="minorHAnsi" w:cstheme="minorHAnsi"/>
        </w:rPr>
        <w:t>transactions for the same patient to</w:t>
      </w:r>
      <w:r>
        <w:rPr>
          <w:rFonts w:asciiTheme="minorHAnsi" w:eastAsiaTheme="minorHAnsi" w:hAnsiTheme="minorHAnsi" w:cstheme="minorHAnsi"/>
        </w:rPr>
        <w:t>/from</w:t>
      </w:r>
      <w:r w:rsidR="008603CF" w:rsidRPr="00DA4B52">
        <w:rPr>
          <w:rFonts w:asciiTheme="minorHAnsi" w:eastAsiaTheme="minorHAnsi" w:hAnsiTheme="minorHAnsi" w:cstheme="minorHAnsi"/>
        </w:rPr>
        <w:t xml:space="preserve"> </w:t>
      </w:r>
      <w:r w:rsidR="00867F92">
        <w:rPr>
          <w:rFonts w:asciiTheme="minorHAnsi" w:eastAsiaTheme="minorHAnsi" w:hAnsiTheme="minorHAnsi" w:cstheme="minorHAnsi"/>
        </w:rPr>
        <w:t>applicable care providers</w:t>
      </w:r>
      <w:r w:rsidR="008603CF" w:rsidRPr="00DA4B52">
        <w:rPr>
          <w:rFonts w:asciiTheme="minorHAnsi" w:eastAsiaTheme="minorHAnsi" w:hAnsiTheme="minorHAnsi" w:cstheme="minorHAnsi"/>
        </w:rPr>
        <w:t>.</w:t>
      </w:r>
      <w:r w:rsidR="00D47856" w:rsidRPr="00DA4B52">
        <w:rPr>
          <w:rFonts w:asciiTheme="minorHAnsi" w:hAnsiTheme="minorHAnsi" w:cstheme="minorHAnsi"/>
        </w:rPr>
        <w:t xml:space="preserve"> </w:t>
      </w:r>
    </w:p>
    <w:p w14:paraId="78379C54" w14:textId="77777777" w:rsidR="00CD10EA" w:rsidRPr="00DA4B52" w:rsidRDefault="008B4AD1">
      <w:pPr>
        <w:pStyle w:val="Heading1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Key Use Case</w:t>
      </w:r>
    </w:p>
    <w:p w14:paraId="08753D67" w14:textId="77777777" w:rsidR="0050291C" w:rsidRDefault="00B719A6" w:rsidP="00B719A6">
      <w:pPr>
        <w:ind w:left="360"/>
      </w:pPr>
      <w:r>
        <w:t xml:space="preserve">Patient is admitted to hospital for planned surgery. Upon discharge, patient is transitioned to </w:t>
      </w:r>
      <w:r w:rsidR="00AE692F">
        <w:t>home health care</w:t>
      </w:r>
      <w:r>
        <w:t xml:space="preserve"> for </w:t>
      </w:r>
      <w:r w:rsidR="00AE692F">
        <w:t xml:space="preserve">skilled </w:t>
      </w:r>
      <w:r w:rsidR="00A71E3D">
        <w:t xml:space="preserve">nursing and </w:t>
      </w:r>
      <w:r>
        <w:t xml:space="preserve">rehab services. </w:t>
      </w:r>
      <w:r w:rsidR="0049039A">
        <w:t>This</w:t>
      </w:r>
      <w:r>
        <w:t xml:space="preserve"> transaction results in </w:t>
      </w:r>
      <w:r w:rsidR="0050291C">
        <w:t>Provider to Provid</w:t>
      </w:r>
      <w:r w:rsidR="009E5E77">
        <w:t xml:space="preserve">er exchange of order information </w:t>
      </w:r>
      <w:r w:rsidR="0050291C">
        <w:t>that support</w:t>
      </w:r>
      <w:r w:rsidR="0049039A">
        <w:t>s</w:t>
      </w:r>
      <w:r w:rsidR="0050291C">
        <w:t xml:space="preserve"> the following interactions:</w:t>
      </w:r>
    </w:p>
    <w:p w14:paraId="14C147B3" w14:textId="77777777" w:rsidR="0050291C" w:rsidRDefault="0050291C" w:rsidP="00961D1E">
      <w:pPr>
        <w:pStyle w:val="ListParagraph"/>
        <w:numPr>
          <w:ilvl w:val="0"/>
          <w:numId w:val="40"/>
        </w:numPr>
        <w:spacing w:line="240" w:lineRule="auto"/>
      </w:pPr>
      <w:r>
        <w:t xml:space="preserve">Acute Care Hospital to </w:t>
      </w:r>
      <w:r w:rsidR="00AE692F">
        <w:t>Home Health Agency</w:t>
      </w:r>
    </w:p>
    <w:p w14:paraId="55E8691B" w14:textId="77777777" w:rsidR="00961D1E" w:rsidRDefault="00C45BFC" w:rsidP="00961D1E">
      <w:pPr>
        <w:ind w:left="360"/>
      </w:pPr>
      <w:r>
        <w:t>T</w:t>
      </w:r>
      <w:r w:rsidR="00961D1E">
        <w:t xml:space="preserve">he hospital sends the discharge summary to the </w:t>
      </w:r>
      <w:r w:rsidR="00AE692F">
        <w:t>home health agency</w:t>
      </w:r>
      <w:r w:rsidR="00961D1E">
        <w:t xml:space="preserve"> site</w:t>
      </w:r>
      <w:r>
        <w:t xml:space="preserve"> with post discharge orders. After the</w:t>
      </w:r>
      <w:r w:rsidR="00A71E3D">
        <w:t xml:space="preserve"> orders are sent</w:t>
      </w:r>
      <w:r w:rsidR="00961D1E">
        <w:t xml:space="preserve">, </w:t>
      </w:r>
      <w:r w:rsidR="00AE692F">
        <w:t>the hospital</w:t>
      </w:r>
      <w:r w:rsidR="00961D1E">
        <w:t xml:space="preserve"> may need to  </w:t>
      </w:r>
    </w:p>
    <w:p w14:paraId="50150ACC" w14:textId="77777777" w:rsidR="00961D1E" w:rsidRPr="00DA4B52" w:rsidRDefault="00961D1E" w:rsidP="00961D1E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t xml:space="preserve">Amend original information in the </w:t>
      </w:r>
      <w:r>
        <w:rPr>
          <w:rFonts w:cstheme="minorHAnsi"/>
        </w:rPr>
        <w:t>discharge summary</w:t>
      </w:r>
      <w:r w:rsidRPr="00DA4B52">
        <w:rPr>
          <w:rFonts w:cstheme="minorHAnsi"/>
        </w:rPr>
        <w:t xml:space="preserve"> (including patient-specific </w:t>
      </w:r>
      <w:r w:rsidR="00A71E3D">
        <w:rPr>
          <w:rFonts w:cstheme="minorHAnsi"/>
        </w:rPr>
        <w:t>orders</w:t>
      </w:r>
      <w:r w:rsidRPr="00DA4B52">
        <w:rPr>
          <w:rFonts w:cstheme="minorHAnsi"/>
        </w:rPr>
        <w:t xml:space="preserve"> – e.g., a change in medication</w:t>
      </w:r>
      <w:r w:rsidR="00A71E3D">
        <w:rPr>
          <w:rFonts w:cstheme="minorHAnsi"/>
        </w:rPr>
        <w:t xml:space="preserve">, addition of more orders, </w:t>
      </w:r>
      <w:r w:rsidR="00AE692F">
        <w:rPr>
          <w:rFonts w:cstheme="minorHAnsi"/>
        </w:rPr>
        <w:t xml:space="preserve">update clinical findings, </w:t>
      </w:r>
      <w:proofErr w:type="spellStart"/>
      <w:r w:rsidR="00A71E3D">
        <w:rPr>
          <w:rFonts w:cstheme="minorHAnsi"/>
        </w:rPr>
        <w:t>etc</w:t>
      </w:r>
      <w:proofErr w:type="spellEnd"/>
      <w:r w:rsidRPr="00DA4B52">
        <w:rPr>
          <w:rFonts w:cstheme="minorHAnsi"/>
        </w:rPr>
        <w:t>)</w:t>
      </w:r>
    </w:p>
    <w:p w14:paraId="524C13B8" w14:textId="77777777" w:rsidR="00961D1E" w:rsidRPr="00DA4B52" w:rsidRDefault="00961D1E" w:rsidP="00961D1E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lastRenderedPageBreak/>
        <w:t xml:space="preserve">Provide additional information about the patient before </w:t>
      </w:r>
      <w:r>
        <w:rPr>
          <w:rFonts w:cstheme="minorHAnsi"/>
        </w:rPr>
        <w:t xml:space="preserve">the patient is admitted to the </w:t>
      </w:r>
      <w:r w:rsidR="00AE692F">
        <w:rPr>
          <w:rFonts w:cstheme="minorHAnsi"/>
        </w:rPr>
        <w:t>home health agency</w:t>
      </w:r>
      <w:r w:rsidRPr="00DA4B52">
        <w:rPr>
          <w:rFonts w:cstheme="minorHAnsi"/>
        </w:rPr>
        <w:t xml:space="preserve"> </w:t>
      </w:r>
    </w:p>
    <w:p w14:paraId="4B9D4AFE" w14:textId="77777777" w:rsidR="00961D1E" w:rsidRPr="00AE692F" w:rsidRDefault="00961D1E" w:rsidP="00AE692F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t xml:space="preserve">Provide additional information about the patient after </w:t>
      </w:r>
      <w:r>
        <w:rPr>
          <w:rFonts w:cstheme="minorHAnsi"/>
        </w:rPr>
        <w:t xml:space="preserve">the patient is admitted to the </w:t>
      </w:r>
      <w:r w:rsidR="00AE692F">
        <w:rPr>
          <w:rFonts w:cstheme="minorHAnsi"/>
        </w:rPr>
        <w:t>home health agency</w:t>
      </w:r>
      <w:r w:rsidR="00AE692F" w:rsidRPr="00DA4B52">
        <w:rPr>
          <w:rFonts w:cstheme="minorHAnsi"/>
        </w:rPr>
        <w:t xml:space="preserve"> </w:t>
      </w:r>
    </w:p>
    <w:p w14:paraId="6C52C13F" w14:textId="77777777" w:rsidR="00961D1E" w:rsidRDefault="00AE692F" w:rsidP="00961D1E">
      <w:pPr>
        <w:ind w:left="360"/>
      </w:pPr>
      <w:r>
        <w:t>After the patient is referred for home health services</w:t>
      </w:r>
      <w:r w:rsidR="0049039A">
        <w:t xml:space="preserve">, </w:t>
      </w:r>
      <w:r>
        <w:t>the provider of record is contacted for approval of the initial assessment and plan of care orders</w:t>
      </w:r>
      <w:r w:rsidR="0049039A">
        <w:t xml:space="preserve">. These transactions results in Provider to Provider exchanges </w:t>
      </w:r>
      <w:r w:rsidR="00A71E3D">
        <w:t>to support</w:t>
      </w:r>
      <w:r w:rsidR="0049039A">
        <w:t xml:space="preserve"> </w:t>
      </w:r>
      <w:r w:rsidR="00E0247E">
        <w:t>care planning</w:t>
      </w:r>
      <w:r w:rsidR="0049039A">
        <w:t xml:space="preserve"> that </w:t>
      </w:r>
      <w:r w:rsidR="00E0247E">
        <w:t>include</w:t>
      </w:r>
      <w:r w:rsidR="0049039A">
        <w:t xml:space="preserve"> the following interaction</w:t>
      </w:r>
    </w:p>
    <w:p w14:paraId="3DCC78F6" w14:textId="77777777" w:rsidR="00961D1E" w:rsidRDefault="00E60D16" w:rsidP="00961D1E">
      <w:pPr>
        <w:pStyle w:val="ListParagraph"/>
        <w:numPr>
          <w:ilvl w:val="0"/>
          <w:numId w:val="40"/>
        </w:numPr>
        <w:spacing w:line="240" w:lineRule="auto"/>
      </w:pPr>
      <w:r>
        <w:t>Home Health Agency to Provider of R</w:t>
      </w:r>
      <w:r w:rsidR="00AE692F">
        <w:t>ecord</w:t>
      </w:r>
    </w:p>
    <w:p w14:paraId="68493E92" w14:textId="77777777" w:rsidR="0049039A" w:rsidRDefault="0049039A" w:rsidP="0049039A">
      <w:pPr>
        <w:ind w:left="360"/>
      </w:pPr>
      <w:r>
        <w:t xml:space="preserve">After the </w:t>
      </w:r>
      <w:r w:rsidR="00AE692F">
        <w:t xml:space="preserve">initial assessment and plan of care orders is sent, the home health agency </w:t>
      </w:r>
      <w:r>
        <w:t xml:space="preserve">may need to </w:t>
      </w:r>
    </w:p>
    <w:p w14:paraId="5CF252A2" w14:textId="77777777" w:rsidR="0049039A" w:rsidRPr="00DA4B52" w:rsidRDefault="0049039A" w:rsidP="0049039A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t xml:space="preserve">Amend original information in the </w:t>
      </w:r>
      <w:r w:rsidR="00AE692F">
        <w:rPr>
          <w:rFonts w:cstheme="minorHAnsi"/>
        </w:rPr>
        <w:t>assessment and plan of care</w:t>
      </w:r>
      <w:r w:rsidR="00A71E3D">
        <w:rPr>
          <w:rFonts w:cstheme="minorHAnsi"/>
        </w:rPr>
        <w:t xml:space="preserve"> document</w:t>
      </w:r>
      <w:r w:rsidR="00AE692F">
        <w:rPr>
          <w:rFonts w:cstheme="minorHAnsi"/>
        </w:rPr>
        <w:t>s</w:t>
      </w:r>
      <w:r w:rsidRPr="00DA4B52">
        <w:rPr>
          <w:rFonts w:cstheme="minorHAnsi"/>
        </w:rPr>
        <w:t xml:space="preserve"> (including patient-specific </w:t>
      </w:r>
      <w:r w:rsidR="00A71E3D">
        <w:rPr>
          <w:rFonts w:cstheme="minorHAnsi"/>
        </w:rPr>
        <w:t xml:space="preserve">orders </w:t>
      </w:r>
      <w:r w:rsidRPr="00DA4B52">
        <w:rPr>
          <w:rFonts w:cstheme="minorHAnsi"/>
        </w:rPr>
        <w:t>– e.g., a change in medication</w:t>
      </w:r>
      <w:r w:rsidR="00AE692F">
        <w:rPr>
          <w:rFonts w:cstheme="minorHAnsi"/>
        </w:rPr>
        <w:t xml:space="preserve">, change in nursing care, </w:t>
      </w:r>
      <w:proofErr w:type="spellStart"/>
      <w:r w:rsidR="00AE692F">
        <w:rPr>
          <w:rFonts w:cstheme="minorHAnsi"/>
        </w:rPr>
        <w:t>etc</w:t>
      </w:r>
      <w:proofErr w:type="spellEnd"/>
      <w:r w:rsidRPr="00DA4B52">
        <w:rPr>
          <w:rFonts w:cstheme="minorHAnsi"/>
        </w:rPr>
        <w:t>)</w:t>
      </w:r>
    </w:p>
    <w:p w14:paraId="57590AC2" w14:textId="77777777" w:rsidR="0049039A" w:rsidRPr="00DA4B52" w:rsidRDefault="0049039A" w:rsidP="0049039A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t>Provide additional infor</w:t>
      </w:r>
      <w:r w:rsidR="00AE692F">
        <w:rPr>
          <w:rFonts w:cstheme="minorHAnsi"/>
        </w:rPr>
        <w:t>mation about the patient during the care period</w:t>
      </w:r>
      <w:r w:rsidRPr="00DA4B52">
        <w:rPr>
          <w:rFonts w:cstheme="minorHAnsi"/>
        </w:rPr>
        <w:t xml:space="preserve"> </w:t>
      </w:r>
    </w:p>
    <w:p w14:paraId="0DFEA2A0" w14:textId="77777777" w:rsidR="0049039A" w:rsidRDefault="0049039A" w:rsidP="0049039A">
      <w:pPr>
        <w:pStyle w:val="ListParagraph"/>
        <w:numPr>
          <w:ilvl w:val="0"/>
          <w:numId w:val="34"/>
        </w:numPr>
        <w:spacing w:line="276" w:lineRule="auto"/>
        <w:rPr>
          <w:rFonts w:cstheme="minorHAnsi"/>
        </w:rPr>
      </w:pPr>
      <w:r w:rsidRPr="00DA4B52">
        <w:rPr>
          <w:rFonts w:cstheme="minorHAnsi"/>
        </w:rPr>
        <w:t xml:space="preserve">Provide additional information about the patient </w:t>
      </w:r>
      <w:r w:rsidR="00AE692F">
        <w:rPr>
          <w:rFonts w:cstheme="minorHAnsi"/>
        </w:rPr>
        <w:t>after the care period has ended</w:t>
      </w:r>
      <w:r w:rsidRPr="00DA4B52">
        <w:rPr>
          <w:rFonts w:cstheme="minorHAnsi"/>
        </w:rPr>
        <w:t xml:space="preserve"> </w:t>
      </w:r>
    </w:p>
    <w:p w14:paraId="7CB1880C" w14:textId="77777777" w:rsidR="00A623C0" w:rsidRPr="00DA4B52" w:rsidRDefault="00A623C0" w:rsidP="00A623C0">
      <w:pPr>
        <w:pStyle w:val="ListParagraph"/>
        <w:numPr>
          <w:ilvl w:val="0"/>
          <w:numId w:val="0"/>
        </w:numPr>
        <w:spacing w:line="276" w:lineRule="auto"/>
        <w:ind w:left="1440"/>
        <w:rPr>
          <w:rFonts w:cstheme="minorHAnsi"/>
        </w:rPr>
      </w:pPr>
    </w:p>
    <w:p w14:paraId="41BD2FD7" w14:textId="77777777" w:rsidR="00BC69BB" w:rsidRPr="00DA4B52" w:rsidRDefault="00E12C05" w:rsidP="00BC69BB">
      <w:pPr>
        <w:pStyle w:val="Heading1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Standards &amp; Systems</w:t>
      </w:r>
    </w:p>
    <w:p w14:paraId="11E13223" w14:textId="77777777" w:rsidR="000C211E" w:rsidRDefault="000C211E" w:rsidP="00BC69BB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Standards</w:t>
      </w:r>
    </w:p>
    <w:p w14:paraId="074D12D4" w14:textId="77777777" w:rsidR="000C211E" w:rsidRDefault="000C211E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 w:rsidRPr="00DA4B52">
        <w:rPr>
          <w:rFonts w:cstheme="minorHAnsi"/>
        </w:rPr>
        <w:t>CDA – Header</w:t>
      </w:r>
    </w:p>
    <w:p w14:paraId="32D805A4" w14:textId="77777777" w:rsidR="006835F4" w:rsidRDefault="006835F4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CCDA – CCD</w:t>
      </w:r>
    </w:p>
    <w:p w14:paraId="245D2804" w14:textId="77777777" w:rsidR="006835F4" w:rsidRDefault="006835F4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CCDA – Consultation Note</w:t>
      </w:r>
    </w:p>
    <w:p w14:paraId="24D4E737" w14:textId="77777777" w:rsidR="00AE692F" w:rsidRPr="00DA4B52" w:rsidRDefault="00AE692F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CCDA – Unstructured Document</w:t>
      </w:r>
    </w:p>
    <w:p w14:paraId="16B6E095" w14:textId="77777777" w:rsidR="000C211E" w:rsidRPr="00DA4B52" w:rsidRDefault="000C211E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 w:rsidRPr="00DA4B52">
        <w:rPr>
          <w:rFonts w:cstheme="minorHAnsi"/>
        </w:rPr>
        <w:t>XDR</w:t>
      </w:r>
    </w:p>
    <w:p w14:paraId="00D25F11" w14:textId="77777777" w:rsidR="00BC69BB" w:rsidRDefault="00685A79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Audit Logging</w:t>
      </w:r>
    </w:p>
    <w:p w14:paraId="2195C5BA" w14:textId="77777777" w:rsidR="00685A79" w:rsidRDefault="00685A79" w:rsidP="000C211E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Error Handling</w:t>
      </w:r>
    </w:p>
    <w:p w14:paraId="09CF2D0B" w14:textId="77777777" w:rsidR="00685A79" w:rsidRPr="00623C32" w:rsidRDefault="00685A79" w:rsidP="00623C32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Secure Transport</w:t>
      </w:r>
    </w:p>
    <w:p w14:paraId="6BFFAE03" w14:textId="77777777" w:rsidR="000C211E" w:rsidRDefault="000C211E" w:rsidP="008B4AD1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Systems</w:t>
      </w:r>
    </w:p>
    <w:p w14:paraId="4AC39553" w14:textId="77777777" w:rsidR="000C211E" w:rsidRPr="00DA4B52" w:rsidRDefault="00E22F38" w:rsidP="000C211E">
      <w:pPr>
        <w:pStyle w:val="ListParagraph"/>
        <w:numPr>
          <w:ilvl w:val="0"/>
          <w:numId w:val="39"/>
        </w:numPr>
        <w:rPr>
          <w:rFonts w:cstheme="minorHAnsi"/>
        </w:rPr>
      </w:pPr>
      <w:r w:rsidRPr="00DA4B52">
        <w:rPr>
          <w:rFonts w:cstheme="minorHAnsi"/>
        </w:rPr>
        <w:t>EHR</w:t>
      </w:r>
    </w:p>
    <w:p w14:paraId="4C44667F" w14:textId="77777777" w:rsidR="000C211E" w:rsidRPr="00DA4B52" w:rsidRDefault="000C211E" w:rsidP="000C211E">
      <w:pPr>
        <w:pStyle w:val="ListParagraph"/>
        <w:numPr>
          <w:ilvl w:val="0"/>
          <w:numId w:val="39"/>
        </w:numPr>
        <w:rPr>
          <w:rFonts w:cstheme="minorHAnsi"/>
        </w:rPr>
      </w:pPr>
      <w:r w:rsidRPr="00DA4B52">
        <w:rPr>
          <w:rFonts w:cstheme="minorHAnsi"/>
        </w:rPr>
        <w:t>PHR</w:t>
      </w:r>
    </w:p>
    <w:p w14:paraId="771CEBB4" w14:textId="77777777" w:rsidR="000C211E" w:rsidRPr="00DA4B52" w:rsidRDefault="000C211E" w:rsidP="000C211E">
      <w:pPr>
        <w:pStyle w:val="ListParagraph"/>
        <w:numPr>
          <w:ilvl w:val="0"/>
          <w:numId w:val="39"/>
        </w:numPr>
        <w:rPr>
          <w:rFonts w:cstheme="minorHAnsi"/>
        </w:rPr>
      </w:pPr>
      <w:r w:rsidRPr="00DA4B52">
        <w:rPr>
          <w:rFonts w:cstheme="minorHAnsi"/>
        </w:rPr>
        <w:t>Patient Portal</w:t>
      </w:r>
    </w:p>
    <w:p w14:paraId="2B8B42DE" w14:textId="77777777" w:rsidR="000C211E" w:rsidRPr="00DA4B52" w:rsidRDefault="000C211E" w:rsidP="000C211E">
      <w:pPr>
        <w:pStyle w:val="ListParagraph"/>
        <w:numPr>
          <w:ilvl w:val="0"/>
          <w:numId w:val="39"/>
        </w:numPr>
        <w:rPr>
          <w:rFonts w:cstheme="minorHAnsi"/>
        </w:rPr>
      </w:pPr>
      <w:r w:rsidRPr="00DA4B52">
        <w:rPr>
          <w:rFonts w:cstheme="minorHAnsi"/>
        </w:rPr>
        <w:t>HIE</w:t>
      </w:r>
    </w:p>
    <w:p w14:paraId="1890F679" w14:textId="77777777" w:rsidR="008B4AD1" w:rsidRPr="00DA4B52" w:rsidRDefault="008B4AD1" w:rsidP="008B4AD1">
      <w:pPr>
        <w:pStyle w:val="Heading1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Discussion</w:t>
      </w:r>
    </w:p>
    <w:p w14:paraId="0C4C3FCD" w14:textId="77777777" w:rsidR="005E2053" w:rsidRPr="00DA4B52" w:rsidRDefault="000C211E" w:rsidP="008B4AD1">
      <w:pPr>
        <w:ind w:left="360"/>
        <w:rPr>
          <w:rFonts w:asciiTheme="minorHAnsi" w:hAnsiTheme="minorHAnsi" w:cstheme="minorHAnsi"/>
        </w:rPr>
      </w:pPr>
      <w:r w:rsidRPr="00DA4B52">
        <w:rPr>
          <w:rFonts w:asciiTheme="minorHAnsi" w:hAnsiTheme="minorHAnsi" w:cstheme="minorHAnsi"/>
        </w:rPr>
        <w:t>This should be a Patient Care Coordination</w:t>
      </w:r>
      <w:r w:rsidR="00E4036A">
        <w:rPr>
          <w:rFonts w:asciiTheme="minorHAnsi" w:hAnsiTheme="minorHAnsi" w:cstheme="minorHAnsi"/>
        </w:rPr>
        <w:t xml:space="preserve"> content profile. </w:t>
      </w:r>
      <w:r w:rsidRPr="00DA4B52">
        <w:rPr>
          <w:rFonts w:asciiTheme="minorHAnsi" w:hAnsiTheme="minorHAnsi" w:cstheme="minorHAnsi"/>
        </w:rPr>
        <w:t xml:space="preserve"> IHE would be a good venue to solve this problem because it involves developing a profile across several existing standards. It has the necessary expertise in PCC  to address content issues</w:t>
      </w:r>
      <w:r w:rsidR="00E4036A">
        <w:rPr>
          <w:rFonts w:asciiTheme="minorHAnsi" w:hAnsiTheme="minorHAnsi" w:cstheme="minorHAnsi"/>
        </w:rPr>
        <w:t xml:space="preserve"> as well as functional workflow. </w:t>
      </w:r>
      <w:r w:rsidR="00E22F38" w:rsidRPr="00DA4B52">
        <w:rPr>
          <w:rFonts w:asciiTheme="minorHAnsi" w:hAnsiTheme="minorHAnsi" w:cstheme="minorHAnsi"/>
        </w:rPr>
        <w:t xml:space="preserve"> </w:t>
      </w:r>
      <w:r w:rsidR="006D7786">
        <w:rPr>
          <w:rFonts w:asciiTheme="minorHAnsi" w:hAnsiTheme="minorHAnsi" w:cstheme="minorHAnsi"/>
        </w:rPr>
        <w:t>This profile differs from XDW in that it does not track statuses. This profile is a content profile that streamline</w:t>
      </w:r>
      <w:r w:rsidR="001C7ED5">
        <w:rPr>
          <w:rFonts w:asciiTheme="minorHAnsi" w:hAnsiTheme="minorHAnsi" w:cstheme="minorHAnsi"/>
        </w:rPr>
        <w:t>s</w:t>
      </w:r>
      <w:r w:rsidR="006D7786">
        <w:rPr>
          <w:rFonts w:asciiTheme="minorHAnsi" w:hAnsiTheme="minorHAnsi" w:cstheme="minorHAnsi"/>
        </w:rPr>
        <w:t xml:space="preserve"> the </w:t>
      </w:r>
      <w:r w:rsidR="001C7ED5">
        <w:rPr>
          <w:rFonts w:asciiTheme="minorHAnsi" w:hAnsiTheme="minorHAnsi" w:cstheme="minorHAnsi"/>
        </w:rPr>
        <w:t>order</w:t>
      </w:r>
      <w:r w:rsidR="006D7786">
        <w:rPr>
          <w:rFonts w:asciiTheme="minorHAnsi" w:hAnsiTheme="minorHAnsi" w:cstheme="minorHAnsi"/>
        </w:rPr>
        <w:t xml:space="preserve"> workflow by focusing on the </w:t>
      </w:r>
      <w:r w:rsidR="001C7ED5">
        <w:rPr>
          <w:rFonts w:asciiTheme="minorHAnsi" w:hAnsiTheme="minorHAnsi" w:cstheme="minorHAnsi"/>
        </w:rPr>
        <w:t>order</w:t>
      </w:r>
      <w:r w:rsidR="006D7786">
        <w:rPr>
          <w:rFonts w:asciiTheme="minorHAnsi" w:hAnsiTheme="minorHAnsi" w:cstheme="minorHAnsi"/>
        </w:rPr>
        <w:t xml:space="preserve"> request and the </w:t>
      </w:r>
      <w:r w:rsidR="001C7ED5">
        <w:rPr>
          <w:rFonts w:asciiTheme="minorHAnsi" w:hAnsiTheme="minorHAnsi" w:cstheme="minorHAnsi"/>
        </w:rPr>
        <w:t>order</w:t>
      </w:r>
      <w:r w:rsidR="006D7786">
        <w:rPr>
          <w:rFonts w:asciiTheme="minorHAnsi" w:hAnsiTheme="minorHAnsi" w:cstheme="minorHAnsi"/>
        </w:rPr>
        <w:t xml:space="preserve"> response. However, t</w:t>
      </w:r>
      <w:r w:rsidR="00DA4B52" w:rsidRPr="00DA4B52">
        <w:rPr>
          <w:rFonts w:asciiTheme="minorHAnsi" w:hAnsiTheme="minorHAnsi" w:cstheme="minorHAnsi"/>
        </w:rPr>
        <w:t xml:space="preserve">here may be </w:t>
      </w:r>
      <w:r w:rsidR="00E4036A">
        <w:rPr>
          <w:rFonts w:asciiTheme="minorHAnsi" w:hAnsiTheme="minorHAnsi" w:cstheme="minorHAnsi"/>
        </w:rPr>
        <w:t xml:space="preserve">other </w:t>
      </w:r>
      <w:r w:rsidR="006D7786">
        <w:rPr>
          <w:rFonts w:asciiTheme="minorHAnsi" w:hAnsiTheme="minorHAnsi" w:cstheme="minorHAnsi"/>
        </w:rPr>
        <w:t xml:space="preserve">use </w:t>
      </w:r>
      <w:r w:rsidR="00DA4B52" w:rsidRPr="00DA4B52">
        <w:rPr>
          <w:rFonts w:asciiTheme="minorHAnsi" w:hAnsiTheme="minorHAnsi" w:cstheme="minorHAnsi"/>
        </w:rPr>
        <w:t>cases where the ability to streamline workflow processes is provided</w:t>
      </w:r>
      <w:r w:rsidR="00461386">
        <w:rPr>
          <w:rFonts w:asciiTheme="minorHAnsi" w:hAnsiTheme="minorHAnsi" w:cstheme="minorHAnsi"/>
        </w:rPr>
        <w:t xml:space="preserve"> utilizing</w:t>
      </w:r>
      <w:r w:rsidR="006D7786">
        <w:rPr>
          <w:rFonts w:asciiTheme="minorHAnsi" w:hAnsiTheme="minorHAnsi" w:cstheme="minorHAnsi"/>
        </w:rPr>
        <w:t xml:space="preserve"> the concept of this content profile</w:t>
      </w:r>
      <w:r w:rsidR="00DA4B52" w:rsidRPr="00DA4B52">
        <w:rPr>
          <w:rFonts w:asciiTheme="minorHAnsi" w:hAnsiTheme="minorHAnsi" w:cstheme="minorHAnsi"/>
        </w:rPr>
        <w:t xml:space="preserve">. </w:t>
      </w:r>
    </w:p>
    <w:p w14:paraId="643845A8" w14:textId="77777777" w:rsidR="00906C8A" w:rsidRPr="00DA4B52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DA4B52" w:rsidSect="000903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3E1DF" w14:textId="77777777" w:rsidR="00E87675" w:rsidRDefault="00E87675" w:rsidP="00906C8A">
      <w:pPr>
        <w:spacing w:before="0" w:after="0"/>
      </w:pPr>
      <w:r>
        <w:separator/>
      </w:r>
    </w:p>
  </w:endnote>
  <w:endnote w:type="continuationSeparator" w:id="0">
    <w:p w14:paraId="63B71E73" w14:textId="77777777" w:rsidR="00E87675" w:rsidRDefault="00E87675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9CF3F" w14:textId="77777777" w:rsidR="00312C10" w:rsidRDefault="00312C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AE34C" w14:textId="77777777" w:rsidR="00906C8A" w:rsidRPr="00906C8A" w:rsidRDefault="00312C10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0667E" w14:textId="77777777" w:rsidR="00312C10" w:rsidRDefault="00312C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6C535" w14:textId="77777777" w:rsidR="00E87675" w:rsidRDefault="00E87675" w:rsidP="00906C8A">
      <w:pPr>
        <w:spacing w:before="0" w:after="0"/>
      </w:pPr>
      <w:r>
        <w:separator/>
      </w:r>
    </w:p>
  </w:footnote>
  <w:footnote w:type="continuationSeparator" w:id="0">
    <w:p w14:paraId="4A191792" w14:textId="77777777" w:rsidR="00E87675" w:rsidRDefault="00E87675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51C05" w14:textId="77777777" w:rsidR="00312C10" w:rsidRDefault="00312C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EB28" w14:textId="77777777" w:rsidR="00906C8A" w:rsidRPr="00906C8A" w:rsidRDefault="00312C10" w:rsidP="00906C8A">
    <w:pPr>
      <w:pStyle w:val="Header"/>
      <w:jc w:val="righ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October 5</w:t>
    </w:r>
    <w:r w:rsidRPr="00312C10">
      <w:rPr>
        <w:rFonts w:asciiTheme="minorHAnsi" w:hAnsiTheme="minorHAnsi" w:cstheme="minorHAnsi"/>
        <w:sz w:val="22"/>
        <w:vertAlign w:val="superscript"/>
      </w:rPr>
      <w:t>th</w:t>
    </w:r>
    <w:r>
      <w:rPr>
        <w:rFonts w:asciiTheme="minorHAnsi" w:hAnsiTheme="minorHAnsi" w:cstheme="minorHAnsi"/>
        <w:sz w:val="22"/>
      </w:rPr>
      <w:t>, 2012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9120B" w14:textId="77777777" w:rsidR="00312C10" w:rsidRDefault="00312C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5F0C08"/>
    <w:multiLevelType w:val="hybridMultilevel"/>
    <w:tmpl w:val="A468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DA235C"/>
    <w:multiLevelType w:val="hybridMultilevel"/>
    <w:tmpl w:val="6906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D4361AF"/>
    <w:multiLevelType w:val="hybridMultilevel"/>
    <w:tmpl w:val="700E6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B083503"/>
    <w:multiLevelType w:val="hybridMultilevel"/>
    <w:tmpl w:val="E5F8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BE581F"/>
    <w:multiLevelType w:val="hybridMultilevel"/>
    <w:tmpl w:val="EEBAE1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B183B19"/>
    <w:multiLevelType w:val="hybridMultilevel"/>
    <w:tmpl w:val="4AF2936C"/>
    <w:lvl w:ilvl="0" w:tplc="0409000F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CB6213"/>
    <w:multiLevelType w:val="hybridMultilevel"/>
    <w:tmpl w:val="8308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151EC"/>
    <w:multiLevelType w:val="hybridMultilevel"/>
    <w:tmpl w:val="01B4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7B5C40"/>
    <w:multiLevelType w:val="hybridMultilevel"/>
    <w:tmpl w:val="0B86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21"/>
  </w:num>
  <w:num w:numId="4">
    <w:abstractNumId w:val="26"/>
  </w:num>
  <w:num w:numId="5">
    <w:abstractNumId w:val="32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33"/>
  </w:num>
  <w:num w:numId="11">
    <w:abstractNumId w:val="31"/>
  </w:num>
  <w:num w:numId="12">
    <w:abstractNumId w:val="30"/>
  </w:num>
  <w:num w:numId="13">
    <w:abstractNumId w:val="25"/>
  </w:num>
  <w:num w:numId="14">
    <w:abstractNumId w:val="19"/>
  </w:num>
  <w:num w:numId="15">
    <w:abstractNumId w:val="23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7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36"/>
  </w:num>
  <w:num w:numId="34">
    <w:abstractNumId w:val="29"/>
  </w:num>
  <w:num w:numId="35">
    <w:abstractNumId w:val="28"/>
  </w:num>
  <w:num w:numId="36">
    <w:abstractNumId w:val="37"/>
  </w:num>
  <w:num w:numId="37">
    <w:abstractNumId w:val="39"/>
  </w:num>
  <w:num w:numId="38">
    <w:abstractNumId w:val="22"/>
  </w:num>
  <w:num w:numId="39">
    <w:abstractNumId w:val="2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8723D"/>
    <w:rsid w:val="00090364"/>
    <w:rsid w:val="000A3F5B"/>
    <w:rsid w:val="000C211E"/>
    <w:rsid w:val="000E4389"/>
    <w:rsid w:val="00136F5D"/>
    <w:rsid w:val="00144030"/>
    <w:rsid w:val="00191BFB"/>
    <w:rsid w:val="0019230A"/>
    <w:rsid w:val="00192B2A"/>
    <w:rsid w:val="001C7ED5"/>
    <w:rsid w:val="001E56B8"/>
    <w:rsid w:val="0023214C"/>
    <w:rsid w:val="00247417"/>
    <w:rsid w:val="00312C10"/>
    <w:rsid w:val="0032047E"/>
    <w:rsid w:val="00323B7A"/>
    <w:rsid w:val="00341401"/>
    <w:rsid w:val="00385BC0"/>
    <w:rsid w:val="003A0912"/>
    <w:rsid w:val="00414369"/>
    <w:rsid w:val="0043520D"/>
    <w:rsid w:val="00461386"/>
    <w:rsid w:val="004864F8"/>
    <w:rsid w:val="0049039A"/>
    <w:rsid w:val="0050291C"/>
    <w:rsid w:val="00521225"/>
    <w:rsid w:val="0054098B"/>
    <w:rsid w:val="005413D0"/>
    <w:rsid w:val="005608B3"/>
    <w:rsid w:val="005A30B3"/>
    <w:rsid w:val="005A7215"/>
    <w:rsid w:val="005B4D01"/>
    <w:rsid w:val="005E2053"/>
    <w:rsid w:val="005E5451"/>
    <w:rsid w:val="00623C32"/>
    <w:rsid w:val="00623CFF"/>
    <w:rsid w:val="006835F4"/>
    <w:rsid w:val="00685A79"/>
    <w:rsid w:val="006A2284"/>
    <w:rsid w:val="006A702C"/>
    <w:rsid w:val="006C490F"/>
    <w:rsid w:val="006D7786"/>
    <w:rsid w:val="0070040F"/>
    <w:rsid w:val="007204EA"/>
    <w:rsid w:val="00767C3E"/>
    <w:rsid w:val="00796B13"/>
    <w:rsid w:val="007F2761"/>
    <w:rsid w:val="00815E7E"/>
    <w:rsid w:val="008177FA"/>
    <w:rsid w:val="00831DE4"/>
    <w:rsid w:val="008464F8"/>
    <w:rsid w:val="00853214"/>
    <w:rsid w:val="008603CF"/>
    <w:rsid w:val="00867F92"/>
    <w:rsid w:val="008B4AD1"/>
    <w:rsid w:val="00906199"/>
    <w:rsid w:val="00906C8A"/>
    <w:rsid w:val="00961D1E"/>
    <w:rsid w:val="009A5908"/>
    <w:rsid w:val="009B16F8"/>
    <w:rsid w:val="009B4D57"/>
    <w:rsid w:val="009D051E"/>
    <w:rsid w:val="009E5E77"/>
    <w:rsid w:val="009F3BF2"/>
    <w:rsid w:val="00A127EC"/>
    <w:rsid w:val="00A32C87"/>
    <w:rsid w:val="00A623C0"/>
    <w:rsid w:val="00A71E3D"/>
    <w:rsid w:val="00AB0338"/>
    <w:rsid w:val="00AD7A95"/>
    <w:rsid w:val="00AE692F"/>
    <w:rsid w:val="00B036E7"/>
    <w:rsid w:val="00B03D95"/>
    <w:rsid w:val="00B0458E"/>
    <w:rsid w:val="00B14182"/>
    <w:rsid w:val="00B228D2"/>
    <w:rsid w:val="00B42FF5"/>
    <w:rsid w:val="00B719A6"/>
    <w:rsid w:val="00BC2136"/>
    <w:rsid w:val="00BC5D7C"/>
    <w:rsid w:val="00BC69BB"/>
    <w:rsid w:val="00C1408E"/>
    <w:rsid w:val="00C172F7"/>
    <w:rsid w:val="00C41197"/>
    <w:rsid w:val="00C416A7"/>
    <w:rsid w:val="00C45BFC"/>
    <w:rsid w:val="00CA40FD"/>
    <w:rsid w:val="00CA5FC4"/>
    <w:rsid w:val="00CC53C5"/>
    <w:rsid w:val="00CD10EA"/>
    <w:rsid w:val="00CE3BCF"/>
    <w:rsid w:val="00CE4331"/>
    <w:rsid w:val="00D24697"/>
    <w:rsid w:val="00D47856"/>
    <w:rsid w:val="00D827A1"/>
    <w:rsid w:val="00D97027"/>
    <w:rsid w:val="00DA4B52"/>
    <w:rsid w:val="00DE0A43"/>
    <w:rsid w:val="00E0247E"/>
    <w:rsid w:val="00E11F73"/>
    <w:rsid w:val="00E12C05"/>
    <w:rsid w:val="00E22CD5"/>
    <w:rsid w:val="00E22F38"/>
    <w:rsid w:val="00E32C0D"/>
    <w:rsid w:val="00E4036A"/>
    <w:rsid w:val="00E602DA"/>
    <w:rsid w:val="00E60D16"/>
    <w:rsid w:val="00E61111"/>
    <w:rsid w:val="00E66DDA"/>
    <w:rsid w:val="00E76B73"/>
    <w:rsid w:val="00E87675"/>
    <w:rsid w:val="00E96F86"/>
    <w:rsid w:val="00EA6E52"/>
    <w:rsid w:val="00F405F0"/>
    <w:rsid w:val="00FB4118"/>
    <w:rsid w:val="00FB712C"/>
    <w:rsid w:val="00FC0C63"/>
    <w:rsid w:val="00FC0CD4"/>
    <w:rsid w:val="00FC7862"/>
    <w:rsid w:val="00FD0C8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A34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36E7"/>
    <w:pPr>
      <w:numPr>
        <w:numId w:val="32"/>
      </w:numPr>
      <w:spacing w:before="0" w:after="200" w:line="23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036E7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A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F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F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FC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36E7"/>
    <w:pPr>
      <w:numPr>
        <w:numId w:val="32"/>
      </w:numPr>
      <w:spacing w:before="0" w:after="200" w:line="23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036E7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A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F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F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26</cp:revision>
  <cp:lastPrinted>2001-08-16T23:03:00Z</cp:lastPrinted>
  <dcterms:created xsi:type="dcterms:W3CDTF">2012-09-19T15:15:00Z</dcterms:created>
  <dcterms:modified xsi:type="dcterms:W3CDTF">2012-10-10T13:21:00Z</dcterms:modified>
</cp:coreProperties>
</file>