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510" w:rsidRPr="00145510" w:rsidRDefault="000D5919" w:rsidP="00145510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1F497D" w:themeColor="text2"/>
          <w:sz w:val="27"/>
          <w:szCs w:val="27"/>
        </w:rPr>
      </w:pPr>
      <w:r w:rsidRPr="00145510">
        <w:rPr>
          <w:rFonts w:ascii="Trebuchet MS" w:eastAsia="Times New Roman" w:hAnsi="Trebuchet MS" w:cs="Times New Roman"/>
          <w:b/>
          <w:bCs/>
          <w:color w:val="1F497D" w:themeColor="text2"/>
          <w:sz w:val="27"/>
          <w:szCs w:val="27"/>
        </w:rPr>
        <w:fldChar w:fldCharType="begin"/>
      </w:r>
      <w:r w:rsidR="00145510" w:rsidRPr="00145510">
        <w:rPr>
          <w:rFonts w:ascii="Trebuchet MS" w:eastAsia="Times New Roman" w:hAnsi="Trebuchet MS" w:cs="Times New Roman"/>
          <w:b/>
          <w:bCs/>
          <w:color w:val="1F497D" w:themeColor="text2"/>
          <w:sz w:val="27"/>
          <w:szCs w:val="27"/>
        </w:rPr>
        <w:instrText xml:space="preserve"> HYPERLINK "http://motorcycleguy.blogspot.com/2009/10/ihe-pcc-planning-committee-moves-5.html" </w:instrText>
      </w:r>
      <w:r w:rsidRPr="00145510">
        <w:rPr>
          <w:rFonts w:ascii="Trebuchet MS" w:eastAsia="Times New Roman" w:hAnsi="Trebuchet MS" w:cs="Times New Roman"/>
          <w:b/>
          <w:bCs/>
          <w:color w:val="1F497D" w:themeColor="text2"/>
          <w:sz w:val="27"/>
          <w:szCs w:val="27"/>
        </w:rPr>
        <w:fldChar w:fldCharType="separate"/>
      </w:r>
      <w:r w:rsidR="00145510" w:rsidRPr="00145510">
        <w:rPr>
          <w:rFonts w:ascii="Trebuchet MS" w:eastAsia="Times New Roman" w:hAnsi="Trebuchet MS" w:cs="Times New Roman"/>
          <w:b/>
          <w:bCs/>
          <w:color w:val="1F497D" w:themeColor="text2"/>
          <w:sz w:val="27"/>
          <w:szCs w:val="27"/>
        </w:rPr>
        <w:t xml:space="preserve">IHE PCC Planning Committee </w:t>
      </w:r>
      <w:r w:rsidR="008E418B">
        <w:rPr>
          <w:rFonts w:ascii="Trebuchet MS" w:eastAsia="Times New Roman" w:hAnsi="Trebuchet MS" w:cs="Times New Roman"/>
          <w:b/>
          <w:bCs/>
          <w:color w:val="1F497D" w:themeColor="text2"/>
          <w:sz w:val="27"/>
          <w:szCs w:val="27"/>
        </w:rPr>
        <w:t>Meeting</w:t>
      </w:r>
      <w:r w:rsidRPr="00145510">
        <w:rPr>
          <w:rFonts w:ascii="Trebuchet MS" w:eastAsia="Times New Roman" w:hAnsi="Trebuchet MS" w:cs="Times New Roman"/>
          <w:b/>
          <w:bCs/>
          <w:color w:val="1F497D" w:themeColor="text2"/>
          <w:sz w:val="27"/>
          <w:szCs w:val="27"/>
        </w:rPr>
        <w:fldChar w:fldCharType="end"/>
      </w:r>
      <w:r w:rsidR="008E418B">
        <w:rPr>
          <w:rFonts w:ascii="Trebuchet MS" w:eastAsia="Times New Roman" w:hAnsi="Trebuchet MS" w:cs="Times New Roman"/>
          <w:b/>
          <w:bCs/>
          <w:color w:val="1F497D" w:themeColor="text2"/>
          <w:sz w:val="27"/>
          <w:szCs w:val="27"/>
        </w:rPr>
        <w:t xml:space="preserve"> Minutes</w:t>
      </w:r>
      <w:r w:rsidR="00145510" w:rsidRPr="00145510">
        <w:rPr>
          <w:rFonts w:ascii="Trebuchet MS" w:eastAsia="Times New Roman" w:hAnsi="Trebuchet MS" w:cs="Times New Roman"/>
          <w:b/>
          <w:bCs/>
          <w:color w:val="1F497D" w:themeColor="text2"/>
          <w:sz w:val="27"/>
          <w:szCs w:val="27"/>
        </w:rPr>
        <w:t xml:space="preserve"> </w:t>
      </w:r>
    </w:p>
    <w:p w:rsidR="00145510" w:rsidRPr="00145510" w:rsidRDefault="00145510" w:rsidP="00145510">
      <w:pPr>
        <w:spacing w:after="240" w:line="384" w:lineRule="atLeast"/>
        <w:rPr>
          <w:rFonts w:ascii="Trebuchet MS" w:eastAsia="Times New Roman" w:hAnsi="Trebuchet MS" w:cs="Times New Roman"/>
          <w:color w:val="1F497D" w:themeColor="text2"/>
          <w:sz w:val="24"/>
          <w:szCs w:val="24"/>
        </w:rPr>
      </w:pP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Monday and Tuesday the IHE Patient Care Coordination planning met to discuss and review nine profile proposals </w:t>
      </w:r>
      <w:hyperlink r:id="rId5" w:history="1">
        <w:r w:rsidR="00C4407A">
          <w:rPr>
            <w:rFonts w:ascii="Trebuchet MS" w:eastAsia="Times New Roman" w:hAnsi="Trebuchet MS" w:cs="Times New Roman"/>
            <w:color w:val="1F497D" w:themeColor="text2"/>
            <w:sz w:val="24"/>
            <w:szCs w:val="24"/>
          </w:rPr>
          <w:t>as</w:t>
        </w:r>
      </w:hyperlink>
      <w:r w:rsidR="00C4407A" w:rsidRP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detailed in the agenda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.  The final set of profile proposals that chose</w:t>
      </w: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n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by </w:t>
      </w:r>
      <w:r w:rsidR="005116BF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consensus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to move forward </w:t>
      </w: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are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the following:</w:t>
      </w:r>
    </w:p>
    <w:p w:rsidR="00145510" w:rsidRPr="00145510" w:rsidRDefault="00145510" w:rsidP="0014551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rebuchet MS" w:eastAsia="Times New Roman" w:hAnsi="Trebuchet MS" w:cs="Times New Roman"/>
          <w:color w:val="1F497D" w:themeColor="text2"/>
          <w:sz w:val="24"/>
          <w:szCs w:val="24"/>
        </w:rPr>
      </w:pPr>
      <w:r w:rsidRPr="00C4407A">
        <w:rPr>
          <w:rFonts w:ascii="Trebuchet MS" w:eastAsia="Times New Roman" w:hAnsi="Trebuchet MS" w:cs="Times New Roman"/>
          <w:b/>
          <w:color w:val="1F497D" w:themeColor="text2"/>
          <w:sz w:val="24"/>
          <w:szCs w:val="24"/>
        </w:rPr>
        <w:t>Post Partum Visit Summary</w:t>
      </w:r>
      <w:proofErr w:type="gramStart"/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  --</w:t>
      </w:r>
      <w:proofErr w:type="gramEnd"/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Adding data elements from the Labor and Delivery Report and Maternal Discharge summary, and additional progress information into a report to be produced at the last post-partum visit. </w:t>
      </w:r>
    </w:p>
    <w:p w:rsidR="00145510" w:rsidRPr="00145510" w:rsidRDefault="00145510" w:rsidP="0014551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rebuchet MS" w:eastAsia="Times New Roman" w:hAnsi="Trebuchet MS" w:cs="Times New Roman"/>
          <w:color w:val="1F497D" w:themeColor="text2"/>
          <w:sz w:val="24"/>
          <w:szCs w:val="24"/>
        </w:rPr>
      </w:pPr>
      <w:r w:rsidRPr="00C4407A">
        <w:rPr>
          <w:rFonts w:ascii="Trebuchet MS" w:eastAsia="Times New Roman" w:hAnsi="Trebuchet MS" w:cs="Times New Roman"/>
          <w:b/>
          <w:color w:val="1F497D" w:themeColor="text2"/>
          <w:sz w:val="24"/>
          <w:szCs w:val="24"/>
        </w:rPr>
        <w:t>Newborn Discharge Summary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-- Focused on routine newborn discharge and including XDS-MS Discharge Summar</w:t>
      </w: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y data elements plus data eleme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nts found in the labor and delivery report. </w:t>
      </w:r>
    </w:p>
    <w:p w:rsidR="00145510" w:rsidRPr="00145510" w:rsidRDefault="00145510" w:rsidP="0014551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rebuchet MS" w:eastAsia="Times New Roman" w:hAnsi="Trebuchet MS" w:cs="Times New Roman"/>
          <w:color w:val="1F497D" w:themeColor="text2"/>
          <w:sz w:val="24"/>
          <w:szCs w:val="24"/>
        </w:rPr>
      </w:pPr>
      <w:proofErr w:type="spellStart"/>
      <w:r w:rsidRPr="00C4407A">
        <w:rPr>
          <w:rFonts w:ascii="Trebuchet MS" w:eastAsia="Times New Roman" w:hAnsi="Trebuchet MS" w:cs="Times New Roman"/>
          <w:b/>
          <w:color w:val="1F497D" w:themeColor="text2"/>
          <w:sz w:val="24"/>
          <w:szCs w:val="24"/>
        </w:rPr>
        <w:t>Perinatal</w:t>
      </w:r>
      <w:proofErr w:type="spellEnd"/>
      <w:r w:rsidRPr="00C4407A">
        <w:rPr>
          <w:rFonts w:ascii="Trebuchet MS" w:eastAsia="Times New Roman" w:hAnsi="Trebuchet MS" w:cs="Times New Roman"/>
          <w:b/>
          <w:color w:val="1F497D" w:themeColor="text2"/>
          <w:sz w:val="24"/>
          <w:szCs w:val="24"/>
        </w:rPr>
        <w:t xml:space="preserve"> Workflow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-- Completing the Antepartum Record and Labor and Delivery Record and integrating these and other IHE Profiles into a complete workflow for the </w:t>
      </w:r>
      <w:proofErr w:type="spellStart"/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perinatal</w:t>
      </w:r>
      <w:proofErr w:type="spellEnd"/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continuum of care. </w:t>
      </w:r>
    </w:p>
    <w:p w:rsidR="00145510" w:rsidRPr="00145510" w:rsidRDefault="00145510" w:rsidP="0014551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rebuchet MS" w:eastAsia="Times New Roman" w:hAnsi="Trebuchet MS" w:cs="Times New Roman"/>
          <w:color w:val="1F497D" w:themeColor="text2"/>
          <w:sz w:val="24"/>
          <w:szCs w:val="24"/>
        </w:rPr>
      </w:pPr>
      <w:r w:rsidRPr="00C4407A">
        <w:rPr>
          <w:rFonts w:ascii="Trebuchet MS" w:eastAsia="Times New Roman" w:hAnsi="Trebuchet MS" w:cs="Times New Roman"/>
          <w:b/>
          <w:color w:val="1F497D" w:themeColor="text2"/>
          <w:sz w:val="24"/>
          <w:szCs w:val="24"/>
        </w:rPr>
        <w:t>Chronic Care Coordination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-- Using care plans from existing IHE profiles, and a few additional messages to communicate the care plan for a patient with chronic disease, and to obtain acknowledgment of the need for services from participating providers and updates on progress on the care plan. </w:t>
      </w:r>
    </w:p>
    <w:p w:rsidR="00145510" w:rsidRPr="00145510" w:rsidRDefault="00145510" w:rsidP="0014551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rebuchet MS" w:eastAsia="Times New Roman" w:hAnsi="Trebuchet MS" w:cs="Times New Roman"/>
          <w:color w:val="1F497D" w:themeColor="text2"/>
          <w:sz w:val="24"/>
          <w:szCs w:val="24"/>
        </w:rPr>
      </w:pPr>
      <w:r w:rsidRPr="00C4407A">
        <w:rPr>
          <w:rFonts w:ascii="Trebuchet MS" w:eastAsia="Times New Roman" w:hAnsi="Trebuchet MS" w:cs="Times New Roman"/>
          <w:b/>
          <w:color w:val="1F497D" w:themeColor="text2"/>
          <w:sz w:val="24"/>
          <w:szCs w:val="24"/>
        </w:rPr>
        <w:t>Nursing Summary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-- Working with HL7 detailed clinical models, existing IHE work, and adding input from </w:t>
      </w:r>
      <w:proofErr w:type="spellStart"/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perioperative</w:t>
      </w:r>
      <w:proofErr w:type="spellEnd"/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nursing on the patient plan of care to produce a nursing summary suitable for transfers of care. </w:t>
      </w:r>
    </w:p>
    <w:p w:rsidR="00145510" w:rsidRDefault="00145510" w:rsidP="00145510">
      <w:pPr>
        <w:spacing w:line="384" w:lineRule="atLeast"/>
        <w:rPr>
          <w:rFonts w:ascii="Trebuchet MS" w:eastAsia="Times New Roman" w:hAnsi="Trebuchet MS" w:cs="Times New Roman"/>
          <w:color w:val="1F497D" w:themeColor="text2"/>
          <w:sz w:val="24"/>
          <w:szCs w:val="24"/>
        </w:rPr>
      </w:pP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The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profile proposal 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for document templates</w:t>
      </w: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was withdrawn, </w:t>
      </w: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as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HL7 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is engaging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in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work for standardization in that area.  The PCC Planning C</w:t>
      </w: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ommittee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agreed that we should le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t 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t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he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HL7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work proceed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, and for IHE PCC to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follow and participate in that work in HL7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.  I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f 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necessary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, 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should HL7 not make appropriate progress or fail to tackle the problem, IHE PCC can review the need for the proposal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again in a future planning cycle.  </w:t>
      </w:r>
    </w:p>
    <w:p w:rsidR="00145510" w:rsidRDefault="00145510" w:rsidP="00145510">
      <w:pPr>
        <w:spacing w:line="384" w:lineRule="atLeast"/>
        <w:rPr>
          <w:rFonts w:ascii="Trebuchet MS" w:eastAsia="Times New Roman" w:hAnsi="Trebuchet MS" w:cs="Times New Roman"/>
          <w:color w:val="1F497D" w:themeColor="text2"/>
          <w:sz w:val="24"/>
          <w:szCs w:val="24"/>
        </w:rPr>
      </w:pP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Th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e th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ree nursing profiles 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had significant overlap, but also significant overall scope.  The three 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were merged into 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a single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Nursing Summary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Profile, with expansion of the specific areas covered to be considered for future years.  T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he Workflow and LDR/APR completion were merged into </w:t>
      </w:r>
      <w:r w:rsidR="00C4407A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a single</w:t>
      </w:r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</w:t>
      </w:r>
      <w:proofErr w:type="spellStart"/>
      <w:proofErr w:type="gramStart"/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Perinatal</w:t>
      </w:r>
      <w:proofErr w:type="spellEnd"/>
      <w:proofErr w:type="gramEnd"/>
      <w:r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workflow proposal.  </w:t>
      </w:r>
    </w:p>
    <w:p w:rsidR="00145510" w:rsidRDefault="00C4407A" w:rsidP="00145510">
      <w:pPr>
        <w:spacing w:line="384" w:lineRule="atLeast"/>
        <w:rPr>
          <w:rFonts w:ascii="Trebuchet MS" w:eastAsia="Times New Roman" w:hAnsi="Trebuchet MS" w:cs="Times New Roman"/>
          <w:color w:val="1F497D" w:themeColor="text2"/>
          <w:sz w:val="24"/>
          <w:szCs w:val="24"/>
        </w:rPr>
      </w:pP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lastRenderedPageBreak/>
        <w:t>The PCC Planning Committee</w:t>
      </w:r>
      <w:r w:rsidR="00145510"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reached a consensus on the slate of the proposals without needing to vote for winners and losers, and the task</w:t>
      </w: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of scoping and further evaluation</w:t>
      </w:r>
      <w:r w:rsidR="00145510"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will be continued by the technical committee in early November.  </w:t>
      </w: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As</w:t>
      </w:r>
      <w:r w:rsidR="00145510"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some of these proposals</w:t>
      </w: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heavy reuse existing work with only a modicum of new requirements, </w:t>
      </w:r>
      <w:r w:rsidR="00145510"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it may be possible to</w:t>
      </w: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complete and </w:t>
      </w:r>
      <w:r w:rsidR="00145510"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hold public comment </w:t>
      </w: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by</w:t>
      </w:r>
      <w:r w:rsidR="00145510"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February</w:t>
      </w: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 2010</w:t>
      </w:r>
      <w:r w:rsidR="00145510" w:rsidRPr="00145510"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>.</w:t>
      </w:r>
    </w:p>
    <w:p w:rsidR="00145510" w:rsidRDefault="00C4407A" w:rsidP="00145510">
      <w:pPr>
        <w:spacing w:line="384" w:lineRule="atLeast"/>
        <w:rPr>
          <w:rFonts w:ascii="Trebuchet MS" w:eastAsia="Times New Roman" w:hAnsi="Trebuchet MS" w:cs="Times New Roman"/>
          <w:color w:val="1F497D" w:themeColor="text2"/>
          <w:sz w:val="24"/>
          <w:szCs w:val="24"/>
        </w:rPr>
      </w:pPr>
      <w:r>
        <w:rPr>
          <w:rFonts w:ascii="Trebuchet MS" w:eastAsia="Times New Roman" w:hAnsi="Trebuchet MS" w:cs="Times New Roman"/>
          <w:color w:val="1F497D" w:themeColor="text2"/>
          <w:sz w:val="24"/>
          <w:szCs w:val="24"/>
        </w:rPr>
        <w:t xml:space="preserve">The evaluation matrix is shown below, with the living document on the FTP site.  </w:t>
      </w:r>
    </w:p>
    <w:p w:rsidR="008E231E" w:rsidRPr="00C4407A" w:rsidRDefault="00145510" w:rsidP="00C4407A">
      <w:pPr>
        <w:spacing w:line="384" w:lineRule="atLeast"/>
        <w:rPr>
          <w:rFonts w:ascii="Trebuchet MS" w:eastAsia="Times New Roman" w:hAnsi="Trebuchet MS" w:cs="Times New Roman"/>
          <w:color w:val="1F497D" w:themeColor="text2"/>
          <w:sz w:val="24"/>
          <w:szCs w:val="24"/>
        </w:rPr>
      </w:pPr>
      <w:r w:rsidRPr="00145510">
        <w:rPr>
          <w:noProof/>
          <w:szCs w:val="24"/>
        </w:rPr>
        <w:drawing>
          <wp:inline distT="0" distB="0" distL="0" distR="0">
            <wp:extent cx="5943600" cy="23768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31E" w:rsidRPr="00C4407A" w:rsidSect="008E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24D07"/>
    <w:multiLevelType w:val="multilevel"/>
    <w:tmpl w:val="206A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 w:grammar="clean"/>
  <w:defaultTabStop w:val="720"/>
  <w:characterSpacingControl w:val="doNotCompress"/>
  <w:savePreviewPicture/>
  <w:compat/>
  <w:rsids>
    <w:rsidRoot w:val="00145510"/>
    <w:rsid w:val="000D5919"/>
    <w:rsid w:val="00145510"/>
    <w:rsid w:val="005116BF"/>
    <w:rsid w:val="006B6A14"/>
    <w:rsid w:val="008E231E"/>
    <w:rsid w:val="008E418B"/>
    <w:rsid w:val="00C4407A"/>
    <w:rsid w:val="00CF1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1E"/>
  </w:style>
  <w:style w:type="paragraph" w:styleId="Heading3">
    <w:name w:val="heading 3"/>
    <w:basedOn w:val="Normal"/>
    <w:link w:val="Heading3Char"/>
    <w:uiPriority w:val="9"/>
    <w:qFormat/>
    <w:rsid w:val="00145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55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45510"/>
    <w:rPr>
      <w:strike w:val="0"/>
      <w:dstrike w:val="0"/>
      <w:color w:val="99BBDD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4819">
                                  <w:marLeft w:val="0"/>
                                  <w:marRight w:val="0"/>
                                  <w:marTop w:val="12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2" w:space="18" w:color="446688"/>
                                    <w:right w:val="none" w:sz="0" w:space="0" w:color="auto"/>
                                  </w:divBdr>
                                  <w:divsChild>
                                    <w:div w:id="760509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motorcycleguy.blogspot.com/2009/09/ihe-pcc-profile-submiss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McCoy, M.D.</dc:creator>
  <cp:lastModifiedBy>Michael J. McCoy, M.D.</cp:lastModifiedBy>
  <cp:revision>4</cp:revision>
  <dcterms:created xsi:type="dcterms:W3CDTF">2009-10-07T22:15:00Z</dcterms:created>
  <dcterms:modified xsi:type="dcterms:W3CDTF">2009-10-08T21:15:00Z</dcterms:modified>
</cp:coreProperties>
</file>