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286D" w14:textId="65E20B8B" w:rsidR="00363C0C" w:rsidRPr="00EA298D" w:rsidRDefault="00EA298D" w:rsidP="00786E4E">
      <w:pPr>
        <w:jc w:val="both"/>
        <w:rPr>
          <w:b/>
          <w:bCs/>
          <w:i/>
          <w:iCs/>
        </w:rPr>
      </w:pPr>
      <w:r w:rsidRPr="00EA298D">
        <w:rPr>
          <w:b/>
          <w:bCs/>
          <w:i/>
          <w:iCs/>
        </w:rPr>
        <w:t>ANSI/AAMI 2700-1:2019 Medical Devices and Medical Systems—Essential safety and performance requirements for equipment comprising the patient-centric integrated clinical environment (ICE)—Part 1: General requirements and conceptual model</w:t>
      </w:r>
    </w:p>
    <w:p w14:paraId="2BE1BD26" w14:textId="0E2212A1" w:rsidR="00EA298D" w:rsidRDefault="00EA298D" w:rsidP="00786E4E">
      <w:pPr>
        <w:jc w:val="both"/>
      </w:pPr>
    </w:p>
    <w:p w14:paraId="31BE2E49" w14:textId="77777777" w:rsidR="00EA298D" w:rsidRDefault="00EA298D" w:rsidP="00786E4E">
      <w:pPr>
        <w:jc w:val="both"/>
        <w:rPr>
          <w:b/>
          <w:bCs/>
        </w:rPr>
      </w:pPr>
      <w:r>
        <w:t xml:space="preserve">3.2 </w:t>
      </w:r>
      <w:r w:rsidRPr="00EA298D">
        <w:rPr>
          <w:b/>
          <w:bCs/>
        </w:rPr>
        <w:t xml:space="preserve">CEC CLINICAL ENVIRONMENT COORDINATOR </w:t>
      </w:r>
    </w:p>
    <w:p w14:paraId="3FCD0015" w14:textId="77777777" w:rsidR="00EA298D" w:rsidRDefault="00EA298D" w:rsidP="00786E4E">
      <w:pPr>
        <w:jc w:val="both"/>
      </w:pPr>
      <w:r>
        <w:t xml:space="preserve">equipment, remote from the INTEGRATED CLINICAL ENVIRONMENT, that can control one or more INTEGRATED CLINICAL ENVIRONMENTS </w:t>
      </w:r>
    </w:p>
    <w:p w14:paraId="3F140368" w14:textId="77777777" w:rsidR="00EA298D" w:rsidRDefault="00EA298D" w:rsidP="00786E4E">
      <w:pPr>
        <w:jc w:val="both"/>
      </w:pPr>
      <w:r>
        <w:t xml:space="preserve">EXAMPLE 1 Remote OPERATOR-interface for an ICE SUPERVISOR. </w:t>
      </w:r>
    </w:p>
    <w:p w14:paraId="3143F667" w14:textId="3688F461" w:rsidR="00EA298D" w:rsidRDefault="00EA298D" w:rsidP="00786E4E">
      <w:pPr>
        <w:jc w:val="both"/>
      </w:pPr>
      <w:r>
        <w:t>EXAMPLE 2 A 'central station' reviewing the information from multiple PATIENTS.</w:t>
      </w:r>
    </w:p>
    <w:p w14:paraId="44E793E9" w14:textId="77777777" w:rsidR="00EA298D" w:rsidRDefault="00EA298D" w:rsidP="00786E4E">
      <w:pPr>
        <w:jc w:val="both"/>
      </w:pPr>
    </w:p>
    <w:p w14:paraId="36399AEF" w14:textId="77777777" w:rsidR="00EA298D" w:rsidRDefault="00EA298D" w:rsidP="00786E4E">
      <w:pPr>
        <w:jc w:val="both"/>
      </w:pPr>
      <w:r>
        <w:t xml:space="preserve">3.6 * </w:t>
      </w:r>
      <w:r w:rsidRPr="00EA298D">
        <w:rPr>
          <w:b/>
          <w:bCs/>
        </w:rPr>
        <w:t>ICE INTEGRATED CLINICAL ENVIRONMENT</w:t>
      </w:r>
      <w:r>
        <w:t xml:space="preserve"> </w:t>
      </w:r>
    </w:p>
    <w:p w14:paraId="05EFB830" w14:textId="7DD38245" w:rsidR="00EA298D" w:rsidRDefault="00EA298D" w:rsidP="00786E4E">
      <w:pPr>
        <w:jc w:val="both"/>
      </w:pPr>
      <w:r>
        <w:t xml:space="preserve">environment that combines interoperable heterogeneous MEDICAL DEVICES and other equipment integrated to create a medical system for the care of a single high acuity PATIENT </w:t>
      </w:r>
    </w:p>
    <w:p w14:paraId="349DC0E1" w14:textId="69EA9B0D" w:rsidR="00EA298D" w:rsidRDefault="00EA298D" w:rsidP="00786E4E">
      <w:pPr>
        <w:jc w:val="both"/>
      </w:pPr>
      <w:r>
        <w:t xml:space="preserve">NOTE 1   An ICE can provide data acquisition, safety interlocks, system integration and distributed closed loop control. </w:t>
      </w:r>
    </w:p>
    <w:p w14:paraId="5B3DA297" w14:textId="77777777" w:rsidR="00EA298D" w:rsidRDefault="00EA298D" w:rsidP="00786E4E">
      <w:pPr>
        <w:jc w:val="both"/>
      </w:pPr>
      <w:r>
        <w:t xml:space="preserve">NOTE 2   When supporting ICE functionality, the components that comprise an ICE typically function interdependently; they do not function independently. </w:t>
      </w:r>
    </w:p>
    <w:p w14:paraId="3024E24D" w14:textId="77777777" w:rsidR="00EA298D" w:rsidRDefault="00EA298D" w:rsidP="00786E4E">
      <w:pPr>
        <w:jc w:val="both"/>
      </w:pPr>
      <w:r>
        <w:t xml:space="preserve">NOTE 3   An ICE typically consists of an ICE SUPERVISOR, an ICE NETWORK CONTROLLER and one or more pieces of ICECOMPATIBLE EQUIPMENT. </w:t>
      </w:r>
    </w:p>
    <w:p w14:paraId="078B8CF1" w14:textId="77777777" w:rsidR="00EA298D" w:rsidRDefault="00EA298D" w:rsidP="00786E4E">
      <w:pPr>
        <w:jc w:val="both"/>
      </w:pPr>
      <w:r>
        <w:t xml:space="preserve">NOTE 4   Unlike a "Medical Electrical System" in IEC 60601-1:2005, ICE is presumed to comprise equipment from more than one MANUFACTURER. There is not necessarily a MANUFACTURER of the ICE, since combining equipment to form an ICE is the labeled intent of this equipment. </w:t>
      </w:r>
    </w:p>
    <w:p w14:paraId="236BE3D1" w14:textId="77777777" w:rsidR="00EA298D" w:rsidRDefault="00EA298D" w:rsidP="00786E4E">
      <w:pPr>
        <w:jc w:val="both"/>
      </w:pPr>
    </w:p>
    <w:p w14:paraId="363DE8F2" w14:textId="77777777" w:rsidR="00EA298D" w:rsidRDefault="00EA298D" w:rsidP="00786E4E">
      <w:pPr>
        <w:jc w:val="both"/>
        <w:rPr>
          <w:b/>
          <w:bCs/>
        </w:rPr>
      </w:pPr>
      <w:r>
        <w:t xml:space="preserve">3.7 </w:t>
      </w:r>
      <w:r w:rsidRPr="00EA298D">
        <w:rPr>
          <w:b/>
          <w:bCs/>
        </w:rPr>
        <w:t xml:space="preserve">ICE-COMPATIBLE EQUIPMENT </w:t>
      </w:r>
    </w:p>
    <w:p w14:paraId="536C08E1" w14:textId="5AF9A50E" w:rsidR="00EA298D" w:rsidRDefault="00EA298D" w:rsidP="00786E4E">
      <w:pPr>
        <w:jc w:val="both"/>
      </w:pPr>
      <w:r w:rsidRPr="00EA298D">
        <w:t>MEDICAL DEVICE o</w:t>
      </w:r>
      <w:r>
        <w:t xml:space="preserve">r other electrical equipment with an ICE EQUIPMENT INTERFACE </w:t>
      </w:r>
    </w:p>
    <w:p w14:paraId="1E7EE93F" w14:textId="77777777" w:rsidR="00EA298D" w:rsidRDefault="00EA298D" w:rsidP="00786E4E">
      <w:pPr>
        <w:jc w:val="both"/>
      </w:pPr>
    </w:p>
    <w:p w14:paraId="28F331A2" w14:textId="77777777" w:rsidR="00EA298D" w:rsidRDefault="00EA298D" w:rsidP="00786E4E">
      <w:pPr>
        <w:jc w:val="both"/>
      </w:pPr>
      <w:r>
        <w:t>3.8</w:t>
      </w:r>
      <w:r w:rsidRPr="00EA298D">
        <w:rPr>
          <w:b/>
          <w:bCs/>
        </w:rPr>
        <w:t xml:space="preserve"> ICE EQUIPMENT INTERFACE</w:t>
      </w:r>
      <w:r>
        <w:t xml:space="preserve"> </w:t>
      </w:r>
    </w:p>
    <w:p w14:paraId="37C82A4C" w14:textId="77777777" w:rsidR="00EA298D" w:rsidRDefault="00EA298D" w:rsidP="00786E4E">
      <w:pPr>
        <w:jc w:val="both"/>
      </w:pPr>
      <w:r>
        <w:t xml:space="preserve">part of ICE-COMPATIBLE EQUIPMENT that provides the interface to the ICE NETWORK CONTROLLER </w:t>
      </w:r>
    </w:p>
    <w:p w14:paraId="726D8FBE" w14:textId="77777777" w:rsidR="00EA298D" w:rsidRDefault="00EA298D" w:rsidP="00786E4E">
      <w:pPr>
        <w:jc w:val="both"/>
      </w:pPr>
      <w:r>
        <w:t xml:space="preserve">NOTE The ICE EQUIPMENT INTERFACE typically is an interface between software processes and is not an interface between the OPERATOR and ICE-COMPATIBLE EQUIPMENT. </w:t>
      </w:r>
    </w:p>
    <w:p w14:paraId="1B6170E0" w14:textId="77777777" w:rsidR="00EA298D" w:rsidRDefault="00EA298D" w:rsidP="00786E4E">
      <w:pPr>
        <w:jc w:val="both"/>
      </w:pPr>
    </w:p>
    <w:p w14:paraId="59D1CF05" w14:textId="77777777" w:rsidR="00EA298D" w:rsidRDefault="00EA298D" w:rsidP="00786E4E">
      <w:pPr>
        <w:jc w:val="both"/>
      </w:pPr>
      <w:r>
        <w:t xml:space="preserve">3.9 </w:t>
      </w:r>
      <w:r w:rsidRPr="00F86243">
        <w:rPr>
          <w:b/>
          <w:bCs/>
        </w:rPr>
        <w:t>ICE</w:t>
      </w:r>
      <w:r>
        <w:t xml:space="preserve"> </w:t>
      </w:r>
      <w:r w:rsidRPr="00EA298D">
        <w:rPr>
          <w:b/>
          <w:bCs/>
        </w:rPr>
        <w:t>NETWORK CONTROLLER</w:t>
      </w:r>
      <w:r>
        <w:t xml:space="preserve"> </w:t>
      </w:r>
    </w:p>
    <w:p w14:paraId="514C8FD7" w14:textId="3917901F" w:rsidR="00EA298D" w:rsidRDefault="00EA298D" w:rsidP="00786E4E">
      <w:pPr>
        <w:jc w:val="both"/>
      </w:pPr>
      <w:r>
        <w:t xml:space="preserve">part of an ICE that provides communication between ICE-COMPATIBLE EQUIPMENT and the rest of the ICE, using the DEVICE model </w:t>
      </w:r>
    </w:p>
    <w:p w14:paraId="5800D219" w14:textId="77777777" w:rsidR="00EA298D" w:rsidRDefault="00EA298D" w:rsidP="00786E4E">
      <w:pPr>
        <w:jc w:val="both"/>
      </w:pPr>
    </w:p>
    <w:p w14:paraId="3691CBEA" w14:textId="77777777" w:rsidR="00EA298D" w:rsidRDefault="00EA298D" w:rsidP="00786E4E">
      <w:pPr>
        <w:jc w:val="both"/>
        <w:rPr>
          <w:b/>
          <w:bCs/>
        </w:rPr>
      </w:pPr>
      <w:r>
        <w:lastRenderedPageBreak/>
        <w:t xml:space="preserve">3.10 </w:t>
      </w:r>
      <w:r w:rsidRPr="00EA298D">
        <w:rPr>
          <w:b/>
          <w:bCs/>
        </w:rPr>
        <w:t xml:space="preserve">ICE SUPERVISOR </w:t>
      </w:r>
    </w:p>
    <w:p w14:paraId="0835CC25" w14:textId="77777777" w:rsidR="00EA298D" w:rsidRDefault="00EA298D" w:rsidP="00786E4E">
      <w:pPr>
        <w:jc w:val="both"/>
      </w:pPr>
      <w:r>
        <w:t xml:space="preserve">part of an ICE that provides a platform for functional integration between ICE-COMPATIBLE EQUIPMENT via the ICE NETWORK CONTROLLER and can provide application logic and an OPERATOR interface </w:t>
      </w:r>
    </w:p>
    <w:p w14:paraId="044DD601" w14:textId="77777777" w:rsidR="00EA298D" w:rsidRDefault="00EA298D" w:rsidP="00786E4E">
      <w:pPr>
        <w:jc w:val="both"/>
      </w:pPr>
      <w:r>
        <w:t xml:space="preserve">NOTE 1 An ICE SUPERVISOR is equipment and software, not a person. </w:t>
      </w:r>
    </w:p>
    <w:p w14:paraId="07847653" w14:textId="12E55DD8" w:rsidR="00EA298D" w:rsidRPr="00363C0C" w:rsidRDefault="00EA298D" w:rsidP="00786E4E">
      <w:pPr>
        <w:jc w:val="both"/>
      </w:pPr>
      <w:r>
        <w:t>NOTE 2 Application logic can include clinical algorithms, distributed control integration and clinical decision support algorithms.</w:t>
      </w:r>
    </w:p>
    <w:sectPr w:rsidR="00EA298D" w:rsidRPr="00363C0C" w:rsidSect="00C4442C">
      <w:footerReference w:type="default" r:id="rId13"/>
      <w:footerReference w:type="first" r:id="rId14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96545" w14:textId="77777777" w:rsidR="00B61E14" w:rsidRDefault="00B61E14">
      <w:r>
        <w:separator/>
      </w:r>
    </w:p>
  </w:endnote>
  <w:endnote w:type="continuationSeparator" w:id="0">
    <w:p w14:paraId="0C94D58D" w14:textId="77777777" w:rsidR="00B61E14" w:rsidRDefault="00B61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71224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76C97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5E6C4" w14:textId="77777777" w:rsidR="00B61E14" w:rsidRDefault="00B61E14">
      <w:r>
        <w:separator/>
      </w:r>
    </w:p>
  </w:footnote>
  <w:footnote w:type="continuationSeparator" w:id="0">
    <w:p w14:paraId="1306A394" w14:textId="77777777" w:rsidR="00B61E14" w:rsidRDefault="00B61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9D430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B760A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34B9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A8EF1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BA07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C855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9EB8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0EC1D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5296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669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4B20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5FA470B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3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E3700ED"/>
    <w:multiLevelType w:val="multilevel"/>
    <w:tmpl w:val="574087B6"/>
    <w:numStyleLink w:val="Philipsbullets"/>
  </w:abstractNum>
  <w:abstractNum w:abstractNumId="15" w15:restartNumberingAfterBreak="0">
    <w:nsid w:val="754764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28560058">
    <w:abstractNumId w:val="13"/>
  </w:num>
  <w:num w:numId="2" w16cid:durableId="742414829">
    <w:abstractNumId w:val="12"/>
  </w:num>
  <w:num w:numId="3" w16cid:durableId="1757899767">
    <w:abstractNumId w:val="14"/>
  </w:num>
  <w:num w:numId="4" w16cid:durableId="57898448">
    <w:abstractNumId w:val="9"/>
  </w:num>
  <w:num w:numId="5" w16cid:durableId="1487165840">
    <w:abstractNumId w:val="7"/>
  </w:num>
  <w:num w:numId="6" w16cid:durableId="1680506257">
    <w:abstractNumId w:val="6"/>
  </w:num>
  <w:num w:numId="7" w16cid:durableId="816920747">
    <w:abstractNumId w:val="5"/>
  </w:num>
  <w:num w:numId="8" w16cid:durableId="960186754">
    <w:abstractNumId w:val="4"/>
  </w:num>
  <w:num w:numId="9" w16cid:durableId="525992673">
    <w:abstractNumId w:val="8"/>
  </w:num>
  <w:num w:numId="10" w16cid:durableId="1114255403">
    <w:abstractNumId w:val="3"/>
  </w:num>
  <w:num w:numId="11" w16cid:durableId="942230433">
    <w:abstractNumId w:val="2"/>
  </w:num>
  <w:num w:numId="12" w16cid:durableId="400834741">
    <w:abstractNumId w:val="1"/>
  </w:num>
  <w:num w:numId="13" w16cid:durableId="108280410">
    <w:abstractNumId w:val="0"/>
  </w:num>
  <w:num w:numId="14" w16cid:durableId="1615671603">
    <w:abstractNumId w:val="10"/>
  </w:num>
  <w:num w:numId="15" w16cid:durableId="711265574">
    <w:abstractNumId w:val="15"/>
  </w:num>
  <w:num w:numId="16" w16cid:durableId="49318157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8D"/>
    <w:rsid w:val="0001308C"/>
    <w:rsid w:val="00014F84"/>
    <w:rsid w:val="000260FC"/>
    <w:rsid w:val="00035A19"/>
    <w:rsid w:val="00047D5C"/>
    <w:rsid w:val="00056E22"/>
    <w:rsid w:val="00081964"/>
    <w:rsid w:val="00091FB2"/>
    <w:rsid w:val="000943AB"/>
    <w:rsid w:val="0009471A"/>
    <w:rsid w:val="000D2E72"/>
    <w:rsid w:val="000F2014"/>
    <w:rsid w:val="000F2F8C"/>
    <w:rsid w:val="000F713C"/>
    <w:rsid w:val="00101C7A"/>
    <w:rsid w:val="00117A79"/>
    <w:rsid w:val="00121365"/>
    <w:rsid w:val="00124843"/>
    <w:rsid w:val="0016378F"/>
    <w:rsid w:val="00176325"/>
    <w:rsid w:val="00195ADF"/>
    <w:rsid w:val="00195C05"/>
    <w:rsid w:val="001A19B9"/>
    <w:rsid w:val="001C2732"/>
    <w:rsid w:val="001E388F"/>
    <w:rsid w:val="001E4783"/>
    <w:rsid w:val="00205E8C"/>
    <w:rsid w:val="002200B8"/>
    <w:rsid w:val="00221DD3"/>
    <w:rsid w:val="00235CAC"/>
    <w:rsid w:val="00242321"/>
    <w:rsid w:val="00255825"/>
    <w:rsid w:val="00274407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3923"/>
    <w:rsid w:val="00363C0C"/>
    <w:rsid w:val="00383300"/>
    <w:rsid w:val="003C7BC4"/>
    <w:rsid w:val="003E696C"/>
    <w:rsid w:val="00412931"/>
    <w:rsid w:val="00431130"/>
    <w:rsid w:val="0044687A"/>
    <w:rsid w:val="004538EB"/>
    <w:rsid w:val="0047062D"/>
    <w:rsid w:val="00475974"/>
    <w:rsid w:val="004D5872"/>
    <w:rsid w:val="00514AB2"/>
    <w:rsid w:val="00515460"/>
    <w:rsid w:val="0054717D"/>
    <w:rsid w:val="0054754D"/>
    <w:rsid w:val="00553441"/>
    <w:rsid w:val="00564722"/>
    <w:rsid w:val="00570A71"/>
    <w:rsid w:val="00591CBB"/>
    <w:rsid w:val="005A1350"/>
    <w:rsid w:val="005D0415"/>
    <w:rsid w:val="005D37DC"/>
    <w:rsid w:val="0060195B"/>
    <w:rsid w:val="006204FC"/>
    <w:rsid w:val="00671080"/>
    <w:rsid w:val="00671BF6"/>
    <w:rsid w:val="006769C4"/>
    <w:rsid w:val="00694039"/>
    <w:rsid w:val="006E365A"/>
    <w:rsid w:val="006E6ACD"/>
    <w:rsid w:val="006F50A9"/>
    <w:rsid w:val="00700037"/>
    <w:rsid w:val="00713A54"/>
    <w:rsid w:val="0072438F"/>
    <w:rsid w:val="007265AF"/>
    <w:rsid w:val="0073157C"/>
    <w:rsid w:val="007419B6"/>
    <w:rsid w:val="00754D1D"/>
    <w:rsid w:val="00765796"/>
    <w:rsid w:val="00767F9F"/>
    <w:rsid w:val="007852E7"/>
    <w:rsid w:val="00786E4E"/>
    <w:rsid w:val="00790D2E"/>
    <w:rsid w:val="0079197B"/>
    <w:rsid w:val="007A30C5"/>
    <w:rsid w:val="007B1B4C"/>
    <w:rsid w:val="007E0E89"/>
    <w:rsid w:val="007E5BD0"/>
    <w:rsid w:val="007E7D83"/>
    <w:rsid w:val="007F6091"/>
    <w:rsid w:val="007F663B"/>
    <w:rsid w:val="008065CA"/>
    <w:rsid w:val="00832AD7"/>
    <w:rsid w:val="00837998"/>
    <w:rsid w:val="008608DA"/>
    <w:rsid w:val="00880FB4"/>
    <w:rsid w:val="00893E98"/>
    <w:rsid w:val="008A5A22"/>
    <w:rsid w:val="008B7637"/>
    <w:rsid w:val="008C731D"/>
    <w:rsid w:val="008F3B50"/>
    <w:rsid w:val="008F4C19"/>
    <w:rsid w:val="008F7DC3"/>
    <w:rsid w:val="009249FF"/>
    <w:rsid w:val="009432E0"/>
    <w:rsid w:val="0094371D"/>
    <w:rsid w:val="00962D0E"/>
    <w:rsid w:val="00974F64"/>
    <w:rsid w:val="00976DEC"/>
    <w:rsid w:val="009836E6"/>
    <w:rsid w:val="009A302D"/>
    <w:rsid w:val="009B03CB"/>
    <w:rsid w:val="009B42C6"/>
    <w:rsid w:val="009C6E8C"/>
    <w:rsid w:val="009D0765"/>
    <w:rsid w:val="009E2945"/>
    <w:rsid w:val="009F0F23"/>
    <w:rsid w:val="00A0626A"/>
    <w:rsid w:val="00A45509"/>
    <w:rsid w:val="00A5538C"/>
    <w:rsid w:val="00A613E1"/>
    <w:rsid w:val="00A86808"/>
    <w:rsid w:val="00AA1551"/>
    <w:rsid w:val="00AA3BCC"/>
    <w:rsid w:val="00AB1495"/>
    <w:rsid w:val="00AD7FD4"/>
    <w:rsid w:val="00AF74AD"/>
    <w:rsid w:val="00B22224"/>
    <w:rsid w:val="00B26DE8"/>
    <w:rsid w:val="00B279D3"/>
    <w:rsid w:val="00B61E14"/>
    <w:rsid w:val="00B63A04"/>
    <w:rsid w:val="00B72E54"/>
    <w:rsid w:val="00B77B78"/>
    <w:rsid w:val="00BA71D4"/>
    <w:rsid w:val="00C114F5"/>
    <w:rsid w:val="00C16D9B"/>
    <w:rsid w:val="00C42352"/>
    <w:rsid w:val="00C42A54"/>
    <w:rsid w:val="00C4442C"/>
    <w:rsid w:val="00C73796"/>
    <w:rsid w:val="00C80E08"/>
    <w:rsid w:val="00C90041"/>
    <w:rsid w:val="00C96175"/>
    <w:rsid w:val="00CC4CE1"/>
    <w:rsid w:val="00CE46FA"/>
    <w:rsid w:val="00CF4E87"/>
    <w:rsid w:val="00D17ECB"/>
    <w:rsid w:val="00D31A0E"/>
    <w:rsid w:val="00D426B5"/>
    <w:rsid w:val="00D56FC7"/>
    <w:rsid w:val="00D60AE9"/>
    <w:rsid w:val="00D901BA"/>
    <w:rsid w:val="00D948B8"/>
    <w:rsid w:val="00D957C3"/>
    <w:rsid w:val="00DA60CC"/>
    <w:rsid w:val="00DB0D0D"/>
    <w:rsid w:val="00DB738F"/>
    <w:rsid w:val="00DC72B7"/>
    <w:rsid w:val="00DD3D62"/>
    <w:rsid w:val="00DE5EA6"/>
    <w:rsid w:val="00E10A1F"/>
    <w:rsid w:val="00E17F57"/>
    <w:rsid w:val="00E2088F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A175A"/>
    <w:rsid w:val="00EA298D"/>
    <w:rsid w:val="00EB1008"/>
    <w:rsid w:val="00EB207D"/>
    <w:rsid w:val="00EC7BB4"/>
    <w:rsid w:val="00F224EF"/>
    <w:rsid w:val="00F42983"/>
    <w:rsid w:val="00F64725"/>
    <w:rsid w:val="00F72B37"/>
    <w:rsid w:val="00F77841"/>
    <w:rsid w:val="00F77C4A"/>
    <w:rsid w:val="00F86243"/>
    <w:rsid w:val="00FA040B"/>
    <w:rsid w:val="00FA14EC"/>
    <w:rsid w:val="00FB0F94"/>
    <w:rsid w:val="00FB326A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C9DF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qFormat/>
    <w:rsid w:val="00363C0C"/>
    <w:pPr>
      <w:keepNext/>
      <w:numPr>
        <w:numId w:val="16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42A54"/>
    <w:pPr>
      <w:keepNext/>
      <w:keepLines/>
      <w:numPr>
        <w:ilvl w:val="1"/>
        <w:numId w:val="16"/>
      </w:numPr>
      <w:spacing w:line="360" w:lineRule="exact"/>
      <w:outlineLvl w:val="1"/>
    </w:pPr>
    <w:rPr>
      <w:rFonts w:asciiTheme="majorHAnsi" w:eastAsiaTheme="majorEastAsia" w:hAnsiTheme="majorHAnsi" w:cstheme="majorBidi"/>
      <w:color w:val="0077CC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637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A6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C42A54"/>
    <w:rPr>
      <w:rFonts w:asciiTheme="majorHAnsi" w:eastAsiaTheme="majorEastAsia" w:hAnsiTheme="majorHAnsi" w:cstheme="majorBidi"/>
      <w:color w:val="0077CC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3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77CC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nhideWhenUsed/>
    <w:rsid w:val="00176325"/>
    <w:rPr>
      <w:color w:val="00619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6378F"/>
    <w:rPr>
      <w:rFonts w:asciiTheme="majorHAnsi" w:eastAsiaTheme="majorEastAsia" w:hAnsiTheme="majorHAnsi" w:cstheme="majorBidi"/>
      <w:color w:val="003A65" w:themeColor="accent1" w:themeShade="7F"/>
      <w:sz w:val="24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5898" w:themeColor="accent1" w:themeShade="BF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024519\AppData\Local\Temp\Templafy\WordVsto\21omvbfi.dotx" TargetMode="External"/></Relationships>
</file>

<file path=word/theme/theme1.xml><?xml version="1.0" encoding="utf-8"?>
<a:theme xmlns:a="http://schemas.openxmlformats.org/drawingml/2006/main" name="philips2021">
  <a:themeElements>
    <a:clrScheme name="Custom 83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0077CC"/>
      </a:accent1>
      <a:accent2>
        <a:srgbClr val="269A91"/>
      </a:accent2>
      <a:accent3>
        <a:srgbClr val="16973A"/>
      </a:accent3>
      <a:accent4>
        <a:srgbClr val="DE7C00"/>
      </a:accent4>
      <a:accent5>
        <a:srgbClr val="D10077"/>
      </a:accent5>
      <a:accent6>
        <a:srgbClr val="8345BA"/>
      </a:accent6>
      <a:hlink>
        <a:srgbClr val="00619F"/>
      </a:hlink>
      <a:folHlink>
        <a:srgbClr val="00629F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emplafyTemplateConfiguration><![CDATA[{"elementsMetadata":[],"transformationConfigurations":[],"templateName":"A4 blank document","templateDescription":"","enableDocumentContentUpdater":false,"version":"2.0"}]]></TemplafyTemplateConfiguratio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F483A-6751-4EC4-B3C4-453CB9CA0C65}">
  <ds:schemaRefs/>
</ds:datastoreItem>
</file>

<file path=customXml/itemProps2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FE5B46-258F-4D55-A065-A66E3224440F}">
  <ds:schemaRefs/>
</ds:datastoreItem>
</file>

<file path=customXml/itemProps5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21omvbfi.dotx</Template>
  <TotalTime>0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2022-06-21T12:45:00Z</dcterms:created>
  <dcterms:modified xsi:type="dcterms:W3CDTF">2022-06-21T13:39:00Z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637818333732013355</vt:lpwstr>
  </property>
  <property fmtid="{D5CDD505-2E9C-101B-9397-08002B2CF9AE}" pid="5" name="TemplafyUserProfileId">
    <vt:lpwstr>637654736548136622</vt:lpwstr>
  </property>
  <property fmtid="{D5CDD505-2E9C-101B-9397-08002B2CF9AE}" pid="6" name="TemplafyFromBlank">
    <vt:bool>true</vt:bool>
  </property>
</Properties>
</file>