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C23" w:rsidRPr="000C1442" w:rsidRDefault="000C1442" w:rsidP="00EB1737">
      <w:pPr>
        <w:pStyle w:val="Titel"/>
        <w:rPr>
          <w:lang w:val="en-US"/>
        </w:rPr>
      </w:pPr>
      <w:r>
        <w:rPr>
          <w:lang w:val="en-US"/>
        </w:rPr>
        <w:t>BICEPS</w:t>
      </w:r>
      <w:r w:rsidR="00EB1737" w:rsidRPr="000C1442">
        <w:rPr>
          <w:lang w:val="en-US"/>
        </w:rPr>
        <w:t xml:space="preserve"> Features</w:t>
      </w:r>
    </w:p>
    <w:p w:rsidR="001F130F" w:rsidRDefault="001F130F" w:rsidP="001F130F">
      <w:pPr>
        <w:pStyle w:val="berschrift1"/>
        <w:rPr>
          <w:lang w:val="en-US"/>
        </w:rPr>
      </w:pPr>
      <w:r>
        <w:rPr>
          <w:lang w:val="en-US"/>
        </w:rPr>
        <w:t>General</w:t>
      </w:r>
    </w:p>
    <w:p w:rsidR="00E970E9" w:rsidRPr="00E970E9" w:rsidRDefault="000C1442" w:rsidP="00E970E9">
      <w:pPr>
        <w:rPr>
          <w:lang w:val="en-US"/>
        </w:rPr>
      </w:pPr>
      <w:r>
        <w:rPr>
          <w:lang w:val="en-US"/>
        </w:rPr>
        <w:t>GEN-1 &amp; GEN-4 are broken references, GEN-2 and GEN-3 are satisfied by Glue, GEN-4 should be mandatory as extensions.</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2096"/>
        <w:gridCol w:w="930"/>
        <w:gridCol w:w="1206"/>
        <w:gridCol w:w="3812"/>
      </w:tblGrid>
      <w:tr w:rsidR="007444D4" w:rsidTr="007444D4">
        <w:tc>
          <w:tcPr>
            <w:tcW w:w="816" w:type="dxa"/>
            <w:shd w:val="clear" w:color="auto" w:fill="auto"/>
          </w:tcPr>
          <w:p w:rsidR="007444D4" w:rsidRDefault="007444D4" w:rsidP="00515E91">
            <w:pPr>
              <w:pStyle w:val="IEEEStdsTableColumnHead"/>
              <w:jc w:val="left"/>
            </w:pPr>
            <w:r>
              <w:t>Index</w:t>
            </w:r>
          </w:p>
        </w:tc>
        <w:tc>
          <w:tcPr>
            <w:tcW w:w="2096" w:type="dxa"/>
            <w:shd w:val="clear" w:color="auto" w:fill="auto"/>
          </w:tcPr>
          <w:p w:rsidR="007444D4" w:rsidRDefault="007444D4" w:rsidP="00515E91">
            <w:pPr>
              <w:pStyle w:val="IEEEStdsTableColumnHead"/>
            </w:pPr>
            <w:r>
              <w:t>Feature</w:t>
            </w:r>
          </w:p>
        </w:tc>
        <w:tc>
          <w:tcPr>
            <w:tcW w:w="930" w:type="dxa"/>
          </w:tcPr>
          <w:p w:rsidR="007444D4" w:rsidRDefault="007444D4" w:rsidP="00515E91">
            <w:pPr>
              <w:pStyle w:val="IEEEStdsTableColumnHead"/>
            </w:pPr>
          </w:p>
        </w:tc>
        <w:tc>
          <w:tcPr>
            <w:tcW w:w="1206" w:type="dxa"/>
            <w:shd w:val="clear" w:color="auto" w:fill="auto"/>
          </w:tcPr>
          <w:p w:rsidR="007444D4" w:rsidRDefault="007444D4" w:rsidP="00515E91">
            <w:pPr>
              <w:pStyle w:val="IEEEStdsTableColumnHead"/>
            </w:pPr>
            <w:r>
              <w:t>Reference</w:t>
            </w:r>
          </w:p>
        </w:tc>
        <w:tc>
          <w:tcPr>
            <w:tcW w:w="3812" w:type="dxa"/>
            <w:shd w:val="clear" w:color="auto" w:fill="auto"/>
          </w:tcPr>
          <w:p w:rsidR="007444D4" w:rsidRDefault="007444D4" w:rsidP="00515E91">
            <w:pPr>
              <w:pStyle w:val="IEEEStdsTableColumnHead"/>
            </w:pPr>
            <w:r>
              <w:t>Text</w:t>
            </w:r>
          </w:p>
        </w:tc>
      </w:tr>
      <w:tr w:rsidR="007444D4" w:rsidRPr="000C1442" w:rsidTr="007444D4">
        <w:tc>
          <w:tcPr>
            <w:tcW w:w="816" w:type="dxa"/>
            <w:shd w:val="clear" w:color="auto" w:fill="auto"/>
          </w:tcPr>
          <w:p w:rsidR="007444D4" w:rsidRPr="000C1442" w:rsidRDefault="007444D4" w:rsidP="00515E91">
            <w:pPr>
              <w:pStyle w:val="IEEEStdsTableData-Left"/>
              <w:rPr>
                <w:color w:val="FF0000"/>
              </w:rPr>
            </w:pPr>
            <w:r w:rsidRPr="000C1442">
              <w:rPr>
                <w:color w:val="FF0000"/>
              </w:rPr>
              <w:t>GEN-1</w:t>
            </w:r>
          </w:p>
        </w:tc>
        <w:tc>
          <w:tcPr>
            <w:tcW w:w="2096" w:type="dxa"/>
            <w:shd w:val="clear" w:color="auto" w:fill="auto"/>
          </w:tcPr>
          <w:p w:rsidR="007444D4" w:rsidRPr="000C1442" w:rsidRDefault="007444D4" w:rsidP="00515E91">
            <w:pPr>
              <w:pStyle w:val="IEEEStdsTableData-Left"/>
              <w:rPr>
                <w:color w:val="FF0000"/>
              </w:rPr>
            </w:pPr>
            <w:proofErr w:type="spellStart"/>
            <w:proofErr w:type="gramStart"/>
            <w:r w:rsidRPr="000C1442">
              <w:rPr>
                <w:color w:val="FF0000"/>
              </w:rPr>
              <w:t>pm:ComponentActivation</w:t>
            </w:r>
            <w:proofErr w:type="spellEnd"/>
            <w:proofErr w:type="gramEnd"/>
            <w:r w:rsidRPr="000C1442">
              <w:rPr>
                <w:color w:val="FF0000"/>
              </w:rPr>
              <w:t xml:space="preserve"> state</w:t>
            </w:r>
          </w:p>
        </w:tc>
        <w:tc>
          <w:tcPr>
            <w:tcW w:w="930" w:type="dxa"/>
          </w:tcPr>
          <w:p w:rsidR="007444D4" w:rsidRPr="000C1442" w:rsidRDefault="007444D4" w:rsidP="00515E91">
            <w:pPr>
              <w:pStyle w:val="IEEEStdsTableData-Left"/>
              <w:rPr>
                <w:color w:val="FF0000"/>
              </w:rPr>
            </w:pPr>
          </w:p>
        </w:tc>
        <w:tc>
          <w:tcPr>
            <w:tcW w:w="1206" w:type="dxa"/>
            <w:shd w:val="clear" w:color="auto" w:fill="auto"/>
          </w:tcPr>
          <w:p w:rsidR="007444D4" w:rsidRPr="000C1442" w:rsidRDefault="007444D4" w:rsidP="00515E91">
            <w:pPr>
              <w:pStyle w:val="IEEEStdsTableData-Left"/>
              <w:rPr>
                <w:color w:val="FF0000"/>
              </w:rPr>
            </w:pPr>
            <w:r w:rsidRPr="000C1442">
              <w:rPr>
                <w:color w:val="FF0000"/>
              </w:rPr>
              <w:t>Clause 5.3.4</w:t>
            </w:r>
          </w:p>
        </w:tc>
        <w:tc>
          <w:tcPr>
            <w:tcW w:w="3812" w:type="dxa"/>
            <w:shd w:val="clear" w:color="auto" w:fill="auto"/>
          </w:tcPr>
          <w:p w:rsidR="007444D4" w:rsidRPr="000C1442" w:rsidRDefault="007444D4" w:rsidP="000C1442">
            <w:pPr>
              <w:pStyle w:val="IEEEStdsTableData-Left"/>
              <w:rPr>
                <w:color w:val="FF0000"/>
              </w:rPr>
            </w:pPr>
            <w:r w:rsidRPr="000C1442">
              <w:rPr>
                <w:color w:val="FF0000"/>
              </w:rPr>
              <w:t xml:space="preserve">A </w:t>
            </w:r>
            <w:proofErr w:type="spellStart"/>
            <w:proofErr w:type="gramStart"/>
            <w:r w:rsidRPr="000C1442">
              <w:rPr>
                <w:color w:val="FF0000"/>
              </w:rPr>
              <w:t>pm:MdDescription</w:t>
            </w:r>
            <w:proofErr w:type="spellEnd"/>
            <w:proofErr w:type="gramEnd"/>
            <w:r w:rsidRPr="000C1442">
              <w:rPr>
                <w:color w:val="FF0000"/>
              </w:rPr>
              <w:t xml:space="preserve"> MAY possess zero or more </w:t>
            </w:r>
            <w:proofErr w:type="spellStart"/>
            <w:r w:rsidRPr="000C1442">
              <w:rPr>
                <w:color w:val="FF0000"/>
              </w:rPr>
              <w:t>pm:MdsDescriptor</w:t>
            </w:r>
            <w:proofErr w:type="spellEnd"/>
            <w:r w:rsidRPr="000C1442">
              <w:rPr>
                <w:color w:val="FF0000"/>
              </w:rPr>
              <w:t xml:space="preserve"> objects. The </w:t>
            </w:r>
            <w:proofErr w:type="spellStart"/>
            <w:proofErr w:type="gramStart"/>
            <w:r w:rsidRPr="000C1442">
              <w:rPr>
                <w:color w:val="FF0000"/>
              </w:rPr>
              <w:t>pm:MdsDescriptor</w:t>
            </w:r>
            <w:proofErr w:type="spellEnd"/>
            <w:proofErr w:type="gramEnd"/>
            <w:r w:rsidRPr="000C1442">
              <w:rPr>
                <w:color w:val="FF0000"/>
              </w:rPr>
              <w:t xml:space="preserve"> </w:t>
            </w:r>
          </w:p>
          <w:p w:rsidR="007444D4" w:rsidRPr="000C1442" w:rsidRDefault="007444D4" w:rsidP="000C1442">
            <w:pPr>
              <w:pStyle w:val="IEEEStdsTableData-Left"/>
              <w:rPr>
                <w:color w:val="FF0000"/>
              </w:rPr>
            </w:pPr>
            <w:r w:rsidRPr="000C1442">
              <w:rPr>
                <w:color w:val="FF0000"/>
              </w:rPr>
              <w:t>object is depicted in Figure 3 as MDS.</w:t>
            </w:r>
          </w:p>
        </w:tc>
      </w:tr>
      <w:tr w:rsidR="007444D4" w:rsidRPr="000C1442" w:rsidTr="007444D4">
        <w:tc>
          <w:tcPr>
            <w:tcW w:w="816" w:type="dxa"/>
            <w:shd w:val="clear" w:color="auto" w:fill="auto"/>
          </w:tcPr>
          <w:p w:rsidR="007444D4" w:rsidRDefault="007444D4" w:rsidP="00515E91">
            <w:pPr>
              <w:pStyle w:val="IEEEStdsTableData-Left"/>
            </w:pPr>
            <w:r>
              <w:t>GEN-2</w:t>
            </w:r>
          </w:p>
        </w:tc>
        <w:tc>
          <w:tcPr>
            <w:tcW w:w="2096" w:type="dxa"/>
            <w:shd w:val="clear" w:color="auto" w:fill="auto"/>
          </w:tcPr>
          <w:p w:rsidR="007444D4" w:rsidRDefault="007444D4" w:rsidP="00515E91">
            <w:pPr>
              <w:pStyle w:val="IEEEStdsTableData-Left"/>
            </w:pPr>
            <w:r>
              <w:t>Authorization capabilities</w:t>
            </w:r>
          </w:p>
        </w:tc>
        <w:tc>
          <w:tcPr>
            <w:tcW w:w="930" w:type="dxa"/>
          </w:tcPr>
          <w:p w:rsidR="007444D4" w:rsidRPr="00240FBB" w:rsidRDefault="007444D4" w:rsidP="00515E91">
            <w:pPr>
              <w:pStyle w:val="IEEEStdsTableData-Left"/>
            </w:pPr>
          </w:p>
        </w:tc>
        <w:tc>
          <w:tcPr>
            <w:tcW w:w="1206" w:type="dxa"/>
            <w:shd w:val="clear" w:color="auto" w:fill="auto"/>
          </w:tcPr>
          <w:p w:rsidR="007444D4" w:rsidRDefault="007444D4" w:rsidP="00515E91">
            <w:pPr>
              <w:pStyle w:val="IEEEStdsTableData-Left"/>
            </w:pPr>
            <w:r w:rsidRPr="00240FBB">
              <w:t>R0083</w:t>
            </w:r>
          </w:p>
        </w:tc>
        <w:tc>
          <w:tcPr>
            <w:tcW w:w="3812" w:type="dxa"/>
            <w:shd w:val="clear" w:color="auto" w:fill="auto"/>
          </w:tcPr>
          <w:p w:rsidR="007444D4" w:rsidRDefault="007444D4" w:rsidP="00515E91">
            <w:pPr>
              <w:pStyle w:val="IEEEStdsTableData-Left"/>
            </w:pPr>
            <w:r w:rsidRPr="00E970E9">
              <w:t>A BICEPS BINDING SHOULD provide means to enable authorization capabilities between PARTICIPANTs.</w:t>
            </w:r>
          </w:p>
        </w:tc>
      </w:tr>
      <w:tr w:rsidR="007444D4" w:rsidRPr="001F130F" w:rsidTr="007444D4">
        <w:tc>
          <w:tcPr>
            <w:tcW w:w="816" w:type="dxa"/>
            <w:shd w:val="clear" w:color="auto" w:fill="auto"/>
          </w:tcPr>
          <w:p w:rsidR="007444D4" w:rsidRDefault="007444D4" w:rsidP="00515E91">
            <w:pPr>
              <w:pStyle w:val="IEEEStdsTableData-Left"/>
            </w:pPr>
            <w:r>
              <w:t>GEN-3</w:t>
            </w:r>
          </w:p>
        </w:tc>
        <w:tc>
          <w:tcPr>
            <w:tcW w:w="2096" w:type="dxa"/>
            <w:shd w:val="clear" w:color="auto" w:fill="auto"/>
          </w:tcPr>
          <w:p w:rsidR="007444D4" w:rsidRDefault="007444D4" w:rsidP="00515E91">
            <w:pPr>
              <w:pStyle w:val="IEEEStdsTableData-Left"/>
            </w:pPr>
            <w:r>
              <w:t>Quality-of-Service metrics</w:t>
            </w:r>
          </w:p>
        </w:tc>
        <w:tc>
          <w:tcPr>
            <w:tcW w:w="930" w:type="dxa"/>
          </w:tcPr>
          <w:p w:rsidR="007444D4" w:rsidRPr="00240FBB" w:rsidRDefault="007444D4" w:rsidP="00515E91">
            <w:pPr>
              <w:pStyle w:val="IEEEStdsTableData-Left"/>
            </w:pPr>
          </w:p>
        </w:tc>
        <w:tc>
          <w:tcPr>
            <w:tcW w:w="1206" w:type="dxa"/>
            <w:shd w:val="clear" w:color="auto" w:fill="auto"/>
          </w:tcPr>
          <w:p w:rsidR="007444D4" w:rsidRDefault="007444D4" w:rsidP="00515E91">
            <w:pPr>
              <w:pStyle w:val="IEEEStdsTableData-Left"/>
            </w:pPr>
            <w:r w:rsidRPr="00240FBB">
              <w:t>R0092</w:t>
            </w:r>
          </w:p>
        </w:tc>
        <w:tc>
          <w:tcPr>
            <w:tcW w:w="3812" w:type="dxa"/>
            <w:shd w:val="clear" w:color="auto" w:fill="auto"/>
          </w:tcPr>
          <w:p w:rsidR="007444D4" w:rsidRDefault="007444D4" w:rsidP="000C1442">
            <w:pPr>
              <w:pStyle w:val="IEEEStdsTableData-Left"/>
            </w:pPr>
            <w:r>
              <w:t xml:space="preserve">A BICEPS BINDING SHOULD provide means to define Quality-of-Service metrics for </w:t>
            </w:r>
          </w:p>
          <w:p w:rsidR="007444D4" w:rsidRDefault="007444D4" w:rsidP="000C1442">
            <w:pPr>
              <w:pStyle w:val="IEEEStdsTableData-Left"/>
            </w:pPr>
            <w:r>
              <w:t>communication between two PARTICIPANTs.</w:t>
            </w:r>
          </w:p>
        </w:tc>
      </w:tr>
      <w:tr w:rsidR="007444D4" w:rsidRPr="000C1442" w:rsidTr="007444D4">
        <w:tc>
          <w:tcPr>
            <w:tcW w:w="816" w:type="dxa"/>
            <w:shd w:val="clear" w:color="auto" w:fill="auto"/>
          </w:tcPr>
          <w:p w:rsidR="007444D4" w:rsidRPr="000C1442" w:rsidRDefault="007444D4" w:rsidP="00515E91">
            <w:pPr>
              <w:pStyle w:val="IEEEStdsTableData-Left"/>
              <w:rPr>
                <w:color w:val="FF0000"/>
              </w:rPr>
            </w:pPr>
            <w:r w:rsidRPr="000C1442">
              <w:rPr>
                <w:color w:val="FF0000"/>
              </w:rPr>
              <w:t>GEN-4</w:t>
            </w:r>
          </w:p>
        </w:tc>
        <w:tc>
          <w:tcPr>
            <w:tcW w:w="2096" w:type="dxa"/>
            <w:shd w:val="clear" w:color="auto" w:fill="auto"/>
          </w:tcPr>
          <w:p w:rsidR="007444D4" w:rsidRPr="000C1442" w:rsidRDefault="007444D4" w:rsidP="00515E91">
            <w:pPr>
              <w:pStyle w:val="IEEEStdsTableData-Left"/>
              <w:rPr>
                <w:color w:val="FF0000"/>
              </w:rPr>
            </w:pPr>
            <w:r w:rsidRPr="000C1442">
              <w:rPr>
                <w:color w:val="FF0000"/>
              </w:rPr>
              <w:t>Wrapped extension elements</w:t>
            </w:r>
          </w:p>
        </w:tc>
        <w:tc>
          <w:tcPr>
            <w:tcW w:w="930" w:type="dxa"/>
          </w:tcPr>
          <w:p w:rsidR="007444D4" w:rsidRPr="000C1442" w:rsidRDefault="007444D4" w:rsidP="00515E91">
            <w:pPr>
              <w:pStyle w:val="IEEEStdsTableData-Left"/>
              <w:rPr>
                <w:color w:val="FF0000"/>
              </w:rPr>
            </w:pPr>
          </w:p>
        </w:tc>
        <w:tc>
          <w:tcPr>
            <w:tcW w:w="1206" w:type="dxa"/>
            <w:shd w:val="clear" w:color="auto" w:fill="auto"/>
          </w:tcPr>
          <w:p w:rsidR="007444D4" w:rsidRPr="000C1442" w:rsidRDefault="007444D4" w:rsidP="00515E91">
            <w:pPr>
              <w:pStyle w:val="IEEEStdsTableData-Left"/>
              <w:rPr>
                <w:color w:val="FF0000"/>
              </w:rPr>
            </w:pPr>
            <w:proofErr w:type="spellStart"/>
            <w:proofErr w:type="gramStart"/>
            <w:r w:rsidRPr="000C1442">
              <w:rPr>
                <w:color w:val="FF0000"/>
              </w:rPr>
              <w:t>ext:Extension</w:t>
            </w:r>
            <w:proofErr w:type="spellEnd"/>
            <w:proofErr w:type="gramEnd"/>
          </w:p>
        </w:tc>
        <w:tc>
          <w:tcPr>
            <w:tcW w:w="3812" w:type="dxa"/>
            <w:shd w:val="clear" w:color="auto" w:fill="auto"/>
          </w:tcPr>
          <w:p w:rsidR="007444D4" w:rsidRPr="000C1442" w:rsidRDefault="007444D4" w:rsidP="00515E91">
            <w:pPr>
              <w:pStyle w:val="IEEEStdsTableData-Left"/>
              <w:rPr>
                <w:color w:val="FF0000"/>
              </w:rPr>
            </w:pPr>
            <w:r w:rsidRPr="000C1442">
              <w:rPr>
                <w:color w:val="FF0000"/>
              </w:rPr>
              <w:t>Optional element definition for extensions.</w:t>
            </w:r>
          </w:p>
        </w:tc>
      </w:tr>
    </w:tbl>
    <w:p w:rsidR="001F130F" w:rsidRDefault="001F130F" w:rsidP="001F130F">
      <w:pPr>
        <w:rPr>
          <w:lang w:val="en-US"/>
        </w:rPr>
      </w:pPr>
    </w:p>
    <w:p w:rsidR="001F130F" w:rsidRDefault="001F130F" w:rsidP="001F130F">
      <w:pPr>
        <w:pStyle w:val="berschrift1"/>
        <w:rPr>
          <w:lang w:val="en-US"/>
        </w:rPr>
      </w:pPr>
      <w:r>
        <w:rPr>
          <w:lang w:val="en-US"/>
        </w:rPr>
        <w:t>Service Provider</w:t>
      </w:r>
    </w:p>
    <w:p w:rsidR="000C1442" w:rsidRPr="000C1442" w:rsidRDefault="000C1442" w:rsidP="000C1442">
      <w:pPr>
        <w:rPr>
          <w:lang w:val="en-US"/>
        </w:rPr>
      </w:pPr>
      <w:r>
        <w:rPr>
          <w:lang w:val="en-US"/>
        </w:rPr>
        <w:t>Optional requirements for the service provider side excluding contexts and external control.</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0"/>
        <w:gridCol w:w="1054"/>
        <w:gridCol w:w="2656"/>
        <w:gridCol w:w="3904"/>
      </w:tblGrid>
      <w:tr w:rsidR="000C1442" w:rsidTr="009D5135">
        <w:tc>
          <w:tcPr>
            <w:tcW w:w="1040" w:type="dxa"/>
            <w:shd w:val="clear" w:color="auto" w:fill="auto"/>
          </w:tcPr>
          <w:p w:rsidR="000C1442" w:rsidRDefault="000C1442" w:rsidP="00515E91">
            <w:pPr>
              <w:pStyle w:val="IEEEStdsTableColumnHead"/>
              <w:jc w:val="left"/>
            </w:pPr>
            <w:r>
              <w:lastRenderedPageBreak/>
              <w:t>Index</w:t>
            </w:r>
          </w:p>
        </w:tc>
        <w:tc>
          <w:tcPr>
            <w:tcW w:w="1054" w:type="dxa"/>
            <w:shd w:val="clear" w:color="auto" w:fill="auto"/>
          </w:tcPr>
          <w:p w:rsidR="000C1442" w:rsidRDefault="000C1442" w:rsidP="00515E91">
            <w:pPr>
              <w:pStyle w:val="IEEEStdsTableColumnHead"/>
            </w:pPr>
            <w:r>
              <w:t>Feature</w:t>
            </w:r>
          </w:p>
        </w:tc>
        <w:tc>
          <w:tcPr>
            <w:tcW w:w="2656" w:type="dxa"/>
            <w:shd w:val="clear" w:color="auto" w:fill="auto"/>
          </w:tcPr>
          <w:p w:rsidR="000C1442" w:rsidRDefault="000C1442" w:rsidP="00515E91">
            <w:pPr>
              <w:pStyle w:val="IEEEStdsTableColumnHead"/>
            </w:pPr>
            <w:r>
              <w:t>Reference</w:t>
            </w:r>
          </w:p>
        </w:tc>
        <w:tc>
          <w:tcPr>
            <w:tcW w:w="3904" w:type="dxa"/>
            <w:shd w:val="clear" w:color="auto" w:fill="auto"/>
          </w:tcPr>
          <w:p w:rsidR="000C1442" w:rsidRDefault="000C1442" w:rsidP="00515E91">
            <w:pPr>
              <w:pStyle w:val="IEEEStdsTableColumnHead"/>
            </w:pPr>
            <w:r>
              <w:t>Text</w:t>
            </w:r>
          </w:p>
        </w:tc>
      </w:tr>
      <w:tr w:rsidR="000C1442" w:rsidRPr="000C1442" w:rsidTr="00242500">
        <w:tc>
          <w:tcPr>
            <w:tcW w:w="1040" w:type="dxa"/>
            <w:shd w:val="clear" w:color="auto" w:fill="auto"/>
          </w:tcPr>
          <w:p w:rsidR="000C1442" w:rsidRPr="000C1442" w:rsidRDefault="000C1442" w:rsidP="00515E91">
            <w:pPr>
              <w:pStyle w:val="IEEEStdsTableData-Left"/>
              <w:rPr>
                <w:strike/>
              </w:rPr>
            </w:pPr>
            <w:r w:rsidRPr="000C1442">
              <w:rPr>
                <w:strike/>
              </w:rPr>
              <w:t>PROV-1</w:t>
            </w:r>
          </w:p>
        </w:tc>
        <w:tc>
          <w:tcPr>
            <w:tcW w:w="1054" w:type="dxa"/>
            <w:shd w:val="clear" w:color="auto" w:fill="auto"/>
          </w:tcPr>
          <w:p w:rsidR="000C1442" w:rsidRDefault="000C1442" w:rsidP="00515E91">
            <w:pPr>
              <w:pStyle w:val="IEEEStdsTableData-Left"/>
            </w:pPr>
            <w:r>
              <w:t>Same handle on same object</w:t>
            </w:r>
          </w:p>
        </w:tc>
        <w:tc>
          <w:tcPr>
            <w:tcW w:w="2656" w:type="dxa"/>
            <w:shd w:val="clear" w:color="auto" w:fill="auto"/>
          </w:tcPr>
          <w:p w:rsidR="000C1442" w:rsidRDefault="000C1442" w:rsidP="00515E91">
            <w:pPr>
              <w:pStyle w:val="IEEEStdsTableData-Left"/>
            </w:pPr>
            <w:r w:rsidRPr="00C31D40">
              <w:t>R0099</w:t>
            </w:r>
          </w:p>
        </w:tc>
        <w:tc>
          <w:tcPr>
            <w:tcW w:w="3904" w:type="dxa"/>
            <w:shd w:val="clear" w:color="auto" w:fill="auto"/>
          </w:tcPr>
          <w:p w:rsidR="000C1442" w:rsidRDefault="000C1442" w:rsidP="000C1442">
            <w:pPr>
              <w:pStyle w:val="IEEEStdsTableData-Left"/>
            </w:pPr>
            <w:r>
              <w:t xml:space="preserve">If a SERVICE PROVIDER removes and reinserts the same CONTAINMENT TREE ENTRY of an element in the CONTAINMENT TREE beyond one MDIB sequence, it SHOULD </w:t>
            </w:r>
            <w:proofErr w:type="gramStart"/>
            <w:r>
              <w:t xml:space="preserve">use </w:t>
            </w:r>
            <w:r>
              <w:t xml:space="preserve"> </w:t>
            </w:r>
            <w:r>
              <w:t>the</w:t>
            </w:r>
            <w:proofErr w:type="gramEnd"/>
            <w:r>
              <w:t xml:space="preserve"> same HANDLE for that CONTAINMENT TREE ENTRY.</w:t>
            </w:r>
          </w:p>
        </w:tc>
      </w:tr>
      <w:tr w:rsidR="000C1442" w:rsidRPr="000C1442" w:rsidTr="00F8370F">
        <w:tc>
          <w:tcPr>
            <w:tcW w:w="1040" w:type="dxa"/>
            <w:shd w:val="clear" w:color="auto" w:fill="auto"/>
          </w:tcPr>
          <w:p w:rsidR="000C1442" w:rsidRDefault="000C1442" w:rsidP="00515E91">
            <w:pPr>
              <w:pStyle w:val="IEEEStdsTableData-Left"/>
            </w:pPr>
            <w:r>
              <w:t>PROV-2</w:t>
            </w:r>
          </w:p>
        </w:tc>
        <w:tc>
          <w:tcPr>
            <w:tcW w:w="1054" w:type="dxa"/>
            <w:shd w:val="clear" w:color="auto" w:fill="auto"/>
          </w:tcPr>
          <w:p w:rsidR="000C1442" w:rsidRDefault="000C1442" w:rsidP="00515E91">
            <w:pPr>
              <w:pStyle w:val="IEEEStdsTableData-Left"/>
            </w:pPr>
            <w:r>
              <w:t>Only standardized CODED VALUES used</w:t>
            </w:r>
          </w:p>
        </w:tc>
        <w:tc>
          <w:tcPr>
            <w:tcW w:w="2656" w:type="dxa"/>
            <w:shd w:val="clear" w:color="auto" w:fill="auto"/>
          </w:tcPr>
          <w:p w:rsidR="000C1442" w:rsidRDefault="000C1442" w:rsidP="00515E91">
            <w:pPr>
              <w:pStyle w:val="IEEEStdsTableData-Left"/>
            </w:pPr>
            <w:r w:rsidRPr="00C31D40">
              <w:t>R0008</w:t>
            </w:r>
          </w:p>
        </w:tc>
        <w:tc>
          <w:tcPr>
            <w:tcW w:w="3904" w:type="dxa"/>
            <w:shd w:val="clear" w:color="auto" w:fill="auto"/>
          </w:tcPr>
          <w:p w:rsidR="000C1442" w:rsidRDefault="000C1442" w:rsidP="000C1442">
            <w:pPr>
              <w:pStyle w:val="IEEEStdsTableData-Left"/>
            </w:pPr>
            <w:r>
              <w:t>A SERVICE PROVIDER SHOULD use</w:t>
            </w:r>
            <w:r>
              <w:t xml:space="preserve"> </w:t>
            </w:r>
            <w:r>
              <w:t xml:space="preserve">standardized values for CODE and </w:t>
            </w:r>
            <w:proofErr w:type="gramStart"/>
            <w:r>
              <w:t xml:space="preserve">CODING </w:t>
            </w:r>
            <w:r>
              <w:t xml:space="preserve"> </w:t>
            </w:r>
            <w:r>
              <w:t>SYSTEM</w:t>
            </w:r>
            <w:proofErr w:type="gramEnd"/>
            <w:r>
              <w:t xml:space="preserve"> in order to specialize a</w:t>
            </w:r>
            <w:r>
              <w:t xml:space="preserve"> </w:t>
            </w:r>
            <w:r>
              <w:t>CONTAINMENT TREE ENTRY if available.</w:t>
            </w:r>
          </w:p>
        </w:tc>
      </w:tr>
      <w:tr w:rsidR="000C1442" w:rsidRPr="000C1442" w:rsidTr="000444D9">
        <w:tc>
          <w:tcPr>
            <w:tcW w:w="1040" w:type="dxa"/>
            <w:shd w:val="clear" w:color="auto" w:fill="auto"/>
          </w:tcPr>
          <w:p w:rsidR="000C1442" w:rsidRPr="00254E2A" w:rsidRDefault="000C1442" w:rsidP="00515E91">
            <w:pPr>
              <w:pStyle w:val="IEEEStdsTableData-Left"/>
              <w:rPr>
                <w:color w:val="FF0000"/>
              </w:rPr>
            </w:pPr>
            <w:r w:rsidRPr="00254E2A">
              <w:rPr>
                <w:color w:val="FF0000"/>
              </w:rPr>
              <w:t>PROV-3</w:t>
            </w:r>
          </w:p>
        </w:tc>
        <w:tc>
          <w:tcPr>
            <w:tcW w:w="1054" w:type="dxa"/>
            <w:shd w:val="clear" w:color="auto" w:fill="auto"/>
          </w:tcPr>
          <w:p w:rsidR="000C1442" w:rsidRPr="00254E2A" w:rsidRDefault="000C1442" w:rsidP="00515E91">
            <w:pPr>
              <w:pStyle w:val="IEEEStdsTableData-Left"/>
              <w:rPr>
                <w:color w:val="FF0000"/>
              </w:rPr>
            </w:pPr>
            <w:r w:rsidRPr="00254E2A">
              <w:rPr>
                <w:color w:val="FF0000"/>
              </w:rPr>
              <w:t>ISO/IEEE 11073-10101 nomenclature</w:t>
            </w:r>
          </w:p>
        </w:tc>
        <w:tc>
          <w:tcPr>
            <w:tcW w:w="2656" w:type="dxa"/>
            <w:shd w:val="clear" w:color="auto" w:fill="auto"/>
          </w:tcPr>
          <w:p w:rsidR="000C1442" w:rsidRPr="00254E2A" w:rsidRDefault="000C1442" w:rsidP="00515E91">
            <w:pPr>
              <w:pStyle w:val="IEEEStdsTableData-Left"/>
              <w:rPr>
                <w:color w:val="FF0000"/>
              </w:rPr>
            </w:pPr>
            <w:r w:rsidRPr="00254E2A">
              <w:rPr>
                <w:color w:val="FF0000"/>
              </w:rPr>
              <w:t>R0128</w:t>
            </w:r>
          </w:p>
        </w:tc>
        <w:tc>
          <w:tcPr>
            <w:tcW w:w="3904" w:type="dxa"/>
            <w:shd w:val="clear" w:color="auto" w:fill="auto"/>
          </w:tcPr>
          <w:p w:rsidR="000C1442" w:rsidRPr="00254E2A" w:rsidRDefault="000C1442" w:rsidP="000C1442">
            <w:pPr>
              <w:pStyle w:val="IEEEStdsTableData-Left"/>
              <w:rPr>
                <w:color w:val="FF0000"/>
              </w:rPr>
            </w:pPr>
            <w:r w:rsidRPr="00254E2A">
              <w:rPr>
                <w:color w:val="FF0000"/>
              </w:rPr>
              <w:t>A SERVICE PROVIDER SHOULD use the ISO/IEEE 11073-10101 and IEEE 11073-10101a-</w:t>
            </w:r>
          </w:p>
          <w:p w:rsidR="000C1442" w:rsidRPr="00254E2A" w:rsidRDefault="000C1442" w:rsidP="000C1442">
            <w:pPr>
              <w:pStyle w:val="IEEEStdsTableData-Left"/>
              <w:rPr>
                <w:color w:val="FF0000"/>
              </w:rPr>
            </w:pPr>
            <w:r w:rsidRPr="00254E2A">
              <w:rPr>
                <w:color w:val="FF0000"/>
              </w:rPr>
              <w:t>2015 nomenclature whenever there is an appropriate CODE available.</w:t>
            </w:r>
          </w:p>
        </w:tc>
      </w:tr>
      <w:tr w:rsidR="000C1442" w:rsidRPr="000C1442" w:rsidTr="00CD5450">
        <w:tc>
          <w:tcPr>
            <w:tcW w:w="1040" w:type="dxa"/>
            <w:shd w:val="clear" w:color="auto" w:fill="auto"/>
          </w:tcPr>
          <w:p w:rsidR="000C1442" w:rsidRDefault="000C1442" w:rsidP="00515E91">
            <w:pPr>
              <w:pStyle w:val="IEEEStdsTableData-Left"/>
            </w:pPr>
            <w:r>
              <w:t>PROV-4</w:t>
            </w:r>
          </w:p>
        </w:tc>
        <w:tc>
          <w:tcPr>
            <w:tcW w:w="1054" w:type="dxa"/>
            <w:shd w:val="clear" w:color="auto" w:fill="auto"/>
          </w:tcPr>
          <w:p w:rsidR="000C1442" w:rsidRDefault="000C1442" w:rsidP="00515E91">
            <w:pPr>
              <w:pStyle w:val="IEEEStdsTableData-Left"/>
            </w:pPr>
            <w:r>
              <w:t>Provide remote capabilities</w:t>
            </w:r>
          </w:p>
        </w:tc>
        <w:tc>
          <w:tcPr>
            <w:tcW w:w="2656" w:type="dxa"/>
            <w:shd w:val="clear" w:color="auto" w:fill="auto"/>
          </w:tcPr>
          <w:p w:rsidR="000C1442" w:rsidRDefault="000C1442" w:rsidP="00515E91">
            <w:pPr>
              <w:pStyle w:val="IEEEStdsTableData-Left"/>
            </w:pPr>
            <w:r w:rsidRPr="00240FBB">
              <w:t>R0011</w:t>
            </w:r>
          </w:p>
        </w:tc>
        <w:tc>
          <w:tcPr>
            <w:tcW w:w="3904" w:type="dxa"/>
            <w:shd w:val="clear" w:color="auto" w:fill="auto"/>
          </w:tcPr>
          <w:p w:rsidR="000C1442" w:rsidRDefault="000C1442" w:rsidP="000C1442">
            <w:pPr>
              <w:pStyle w:val="IEEEStdsTableData-Left"/>
            </w:pPr>
            <w:r>
              <w:t xml:space="preserve">A SERVICE PROVIDER SHOULD describe all offered remote invocation capabilities using </w:t>
            </w:r>
          </w:p>
          <w:p w:rsidR="000C1442" w:rsidRDefault="000C1442" w:rsidP="000C1442">
            <w:pPr>
              <w:pStyle w:val="IEEEStdsTableData-Left"/>
            </w:pPr>
            <w:r>
              <w:t xml:space="preserve">the </w:t>
            </w:r>
            <w:proofErr w:type="spellStart"/>
            <w:proofErr w:type="gramStart"/>
            <w:r>
              <w:t>pm:ScoDescriptor</w:t>
            </w:r>
            <w:proofErr w:type="spellEnd"/>
            <w:proofErr w:type="gramEnd"/>
            <w:r>
              <w:t xml:space="preserve"> structure in </w:t>
            </w:r>
            <w:proofErr w:type="spellStart"/>
            <w:r>
              <w:t>pm:MdsDescriptor</w:t>
            </w:r>
            <w:proofErr w:type="spellEnd"/>
            <w:r>
              <w:t>/</w:t>
            </w:r>
            <w:proofErr w:type="spellStart"/>
            <w:r>
              <w:t>pm:Sco</w:t>
            </w:r>
            <w:proofErr w:type="spellEnd"/>
            <w:r>
              <w:t>.</w:t>
            </w:r>
          </w:p>
        </w:tc>
      </w:tr>
      <w:tr w:rsidR="000C1442" w:rsidRPr="000C1442" w:rsidTr="00563D05">
        <w:tc>
          <w:tcPr>
            <w:tcW w:w="1040" w:type="dxa"/>
            <w:shd w:val="clear" w:color="auto" w:fill="auto"/>
          </w:tcPr>
          <w:p w:rsidR="000C1442" w:rsidRPr="000C1442" w:rsidRDefault="000C1442" w:rsidP="00515E91">
            <w:pPr>
              <w:pStyle w:val="IEEEStdsTableData-Left"/>
              <w:rPr>
                <w:strike/>
              </w:rPr>
            </w:pPr>
            <w:r w:rsidRPr="000C1442">
              <w:rPr>
                <w:strike/>
              </w:rPr>
              <w:t>PROV-5</w:t>
            </w:r>
          </w:p>
        </w:tc>
        <w:tc>
          <w:tcPr>
            <w:tcW w:w="1054" w:type="dxa"/>
            <w:shd w:val="clear" w:color="auto" w:fill="auto"/>
          </w:tcPr>
          <w:p w:rsidR="000C1442" w:rsidRDefault="000C1442" w:rsidP="00515E91">
            <w:pPr>
              <w:pStyle w:val="IEEEStdsTableData-Left"/>
            </w:pPr>
            <w:r>
              <w:t>Reject remote control if reports are not subscribed</w:t>
            </w:r>
          </w:p>
        </w:tc>
        <w:tc>
          <w:tcPr>
            <w:tcW w:w="2656" w:type="dxa"/>
            <w:shd w:val="clear" w:color="auto" w:fill="auto"/>
          </w:tcPr>
          <w:p w:rsidR="000C1442" w:rsidRPr="00240FBB" w:rsidRDefault="000C1442" w:rsidP="00515E91">
            <w:pPr>
              <w:pStyle w:val="IEEEStdsTableData-Left"/>
            </w:pPr>
            <w:r w:rsidRPr="00240FBB">
              <w:t>R0057</w:t>
            </w:r>
          </w:p>
        </w:tc>
        <w:tc>
          <w:tcPr>
            <w:tcW w:w="3904" w:type="dxa"/>
            <w:shd w:val="clear" w:color="auto" w:fill="auto"/>
          </w:tcPr>
          <w:p w:rsidR="000C1442" w:rsidRDefault="000C1442" w:rsidP="000C1442">
            <w:pPr>
              <w:pStyle w:val="IEEEStdsTableData-Left"/>
            </w:pPr>
            <w:r>
              <w:t xml:space="preserve">A SERVICE PROVIDER SHOULD reject an incoming request-response SERVICE </w:t>
            </w:r>
          </w:p>
          <w:p w:rsidR="000C1442" w:rsidRDefault="000C1442" w:rsidP="000C1442">
            <w:pPr>
              <w:pStyle w:val="IEEEStdsTableData-Left"/>
            </w:pPr>
            <w:r>
              <w:t xml:space="preserve">OPERATION call on the SET SERVICE if the SERVICE CONSUMER has not subscribed to </w:t>
            </w:r>
          </w:p>
          <w:p w:rsidR="000C1442" w:rsidRDefault="000C1442" w:rsidP="000C1442">
            <w:pPr>
              <w:pStyle w:val="IEEEStdsTableData-Left"/>
            </w:pPr>
            <w:proofErr w:type="spellStart"/>
            <w:proofErr w:type="gramStart"/>
            <w:r>
              <w:t>msg:OperationInvokedReport</w:t>
            </w:r>
            <w:proofErr w:type="spellEnd"/>
            <w:proofErr w:type="gramEnd"/>
            <w:r>
              <w:t xml:space="preserve"> MESSAGEs in advance.</w:t>
            </w:r>
          </w:p>
        </w:tc>
      </w:tr>
      <w:tr w:rsidR="000C1442" w:rsidRPr="000C1442" w:rsidTr="002D63DE">
        <w:tc>
          <w:tcPr>
            <w:tcW w:w="1040" w:type="dxa"/>
            <w:shd w:val="clear" w:color="auto" w:fill="auto"/>
          </w:tcPr>
          <w:p w:rsidR="000C1442" w:rsidRPr="00254E2A" w:rsidRDefault="000C1442" w:rsidP="00515E91">
            <w:pPr>
              <w:pStyle w:val="IEEEStdsTableData-Left"/>
              <w:rPr>
                <w:strike/>
              </w:rPr>
            </w:pPr>
            <w:r w:rsidRPr="00254E2A">
              <w:rPr>
                <w:strike/>
              </w:rPr>
              <w:t>PROV-6</w:t>
            </w:r>
          </w:p>
        </w:tc>
        <w:tc>
          <w:tcPr>
            <w:tcW w:w="1054" w:type="dxa"/>
            <w:shd w:val="clear" w:color="auto" w:fill="auto"/>
          </w:tcPr>
          <w:p w:rsidR="000C1442" w:rsidRDefault="000C1442" w:rsidP="00515E91">
            <w:pPr>
              <w:pStyle w:val="IEEEStdsTableData-Left"/>
            </w:pPr>
            <w:r>
              <w:t>Announce absence, i.e., SERVICE PROVIDER does not send MESSAGES for a certain time</w:t>
            </w:r>
          </w:p>
        </w:tc>
        <w:tc>
          <w:tcPr>
            <w:tcW w:w="2656" w:type="dxa"/>
            <w:shd w:val="clear" w:color="auto" w:fill="auto"/>
          </w:tcPr>
          <w:p w:rsidR="000C1442" w:rsidRPr="00240FBB" w:rsidRDefault="000C1442" w:rsidP="00515E91">
            <w:pPr>
              <w:pStyle w:val="IEEEStdsTableData-Left"/>
            </w:pPr>
            <w:r w:rsidRPr="00240FBB">
              <w:t>R0074</w:t>
            </w:r>
          </w:p>
        </w:tc>
        <w:tc>
          <w:tcPr>
            <w:tcW w:w="3904" w:type="dxa"/>
            <w:shd w:val="clear" w:color="auto" w:fill="auto"/>
          </w:tcPr>
          <w:p w:rsidR="000C1442" w:rsidRDefault="000C1442" w:rsidP="000C1442">
            <w:pPr>
              <w:pStyle w:val="IEEEStdsTableData-Left"/>
            </w:pPr>
            <w:r>
              <w:t xml:space="preserve">A SERVICE PROVIDER SHOULD announce its upcoming absence if it is switching to a </w:t>
            </w:r>
          </w:p>
          <w:p w:rsidR="000C1442" w:rsidRDefault="000C1442" w:rsidP="000C1442">
            <w:pPr>
              <w:pStyle w:val="IEEEStdsTableData-Left"/>
            </w:pPr>
            <w:r>
              <w:t>mode where it is not ready to exchange MESSAGEs with a SERVICE CONSUMER temporarily.</w:t>
            </w:r>
          </w:p>
          <w:p w:rsidR="000C1442" w:rsidRPr="000C1442" w:rsidRDefault="000C1442" w:rsidP="000C1442">
            <w:pPr>
              <w:pStyle w:val="IEEEStdsTableData-Left"/>
              <w:rPr>
                <w:i/>
                <w:iCs/>
              </w:rPr>
            </w:pPr>
            <w:r w:rsidRPr="000C1442">
              <w:rPr>
                <w:i/>
                <w:iCs/>
              </w:rPr>
              <w:t>[will be resolved in Base PKP]</w:t>
            </w:r>
          </w:p>
        </w:tc>
      </w:tr>
      <w:tr w:rsidR="000C1442" w:rsidRPr="000C1442" w:rsidTr="00007C82">
        <w:tc>
          <w:tcPr>
            <w:tcW w:w="1040" w:type="dxa"/>
            <w:shd w:val="clear" w:color="auto" w:fill="auto"/>
          </w:tcPr>
          <w:p w:rsidR="000C1442" w:rsidRDefault="000C1442" w:rsidP="00515E91">
            <w:pPr>
              <w:pStyle w:val="IEEEStdsTableData-Left"/>
            </w:pPr>
            <w:r>
              <w:t>PROV-7</w:t>
            </w:r>
          </w:p>
        </w:tc>
        <w:tc>
          <w:tcPr>
            <w:tcW w:w="1054" w:type="dxa"/>
            <w:shd w:val="clear" w:color="auto" w:fill="auto"/>
          </w:tcPr>
          <w:p w:rsidR="000C1442" w:rsidRDefault="000C1442" w:rsidP="00515E91">
            <w:pPr>
              <w:pStyle w:val="IEEEStdsTableData-Left"/>
            </w:pPr>
            <w:r>
              <w:t>Non-functional requirements</w:t>
            </w:r>
          </w:p>
        </w:tc>
        <w:tc>
          <w:tcPr>
            <w:tcW w:w="2656" w:type="dxa"/>
            <w:shd w:val="clear" w:color="auto" w:fill="auto"/>
          </w:tcPr>
          <w:p w:rsidR="000C1442" w:rsidRPr="00240FBB" w:rsidRDefault="000C1442" w:rsidP="00515E91">
            <w:pPr>
              <w:pStyle w:val="IEEEStdsTableData-Left"/>
            </w:pPr>
            <w:r w:rsidRPr="00240FBB">
              <w:t>R0082</w:t>
            </w:r>
          </w:p>
        </w:tc>
        <w:tc>
          <w:tcPr>
            <w:tcW w:w="3904" w:type="dxa"/>
            <w:shd w:val="clear" w:color="auto" w:fill="auto"/>
          </w:tcPr>
          <w:p w:rsidR="000C1442" w:rsidRDefault="000C1442" w:rsidP="00515E91">
            <w:pPr>
              <w:pStyle w:val="IEEEStdsTableData-Left"/>
            </w:pPr>
            <w:r w:rsidRPr="000C1442">
              <w:t>An MDIB SHOULD include nonfunctional requirements in its descriptive part</w:t>
            </w:r>
            <w:r>
              <w:t>.</w:t>
            </w:r>
          </w:p>
          <w:p w:rsidR="000C1442" w:rsidRPr="000C1442" w:rsidRDefault="000C1442" w:rsidP="00515E91">
            <w:pPr>
              <w:pStyle w:val="IEEEStdsTableData-Left"/>
              <w:rPr>
                <w:i/>
                <w:iCs/>
              </w:rPr>
            </w:pPr>
          </w:p>
        </w:tc>
      </w:tr>
      <w:tr w:rsidR="000C1442" w:rsidRPr="000C1442" w:rsidTr="00946C42">
        <w:tc>
          <w:tcPr>
            <w:tcW w:w="1040" w:type="dxa"/>
            <w:shd w:val="clear" w:color="auto" w:fill="auto"/>
          </w:tcPr>
          <w:p w:rsidR="000C1442" w:rsidRDefault="000C1442" w:rsidP="00515E91">
            <w:pPr>
              <w:pStyle w:val="IEEEStdsTableData-Left"/>
            </w:pPr>
            <w:r>
              <w:t>PROV-8</w:t>
            </w:r>
          </w:p>
        </w:tc>
        <w:tc>
          <w:tcPr>
            <w:tcW w:w="1054" w:type="dxa"/>
            <w:shd w:val="clear" w:color="auto" w:fill="auto"/>
          </w:tcPr>
          <w:p w:rsidR="000C1442" w:rsidRDefault="000C1442" w:rsidP="00515E91">
            <w:pPr>
              <w:pStyle w:val="IEEEStdsTableData-Left"/>
            </w:pPr>
            <w:r>
              <w:t>Include parent MDS descriptor in result</w:t>
            </w:r>
          </w:p>
        </w:tc>
        <w:tc>
          <w:tcPr>
            <w:tcW w:w="2656" w:type="dxa"/>
            <w:shd w:val="clear" w:color="auto" w:fill="auto"/>
          </w:tcPr>
          <w:p w:rsidR="000C1442" w:rsidRPr="00240FBB" w:rsidRDefault="000C1442" w:rsidP="00515E91">
            <w:pPr>
              <w:pStyle w:val="IEEEStdsTableData-Left"/>
            </w:pPr>
            <w:proofErr w:type="spellStart"/>
            <w:proofErr w:type="gramStart"/>
            <w:r w:rsidRPr="00240FBB">
              <w:t>msg:GetMdDescriptionResponse</w:t>
            </w:r>
            <w:proofErr w:type="spellEnd"/>
            <w:proofErr w:type="gramEnd"/>
            <w:r w:rsidRPr="00240FBB">
              <w:t>/</w:t>
            </w:r>
            <w:r>
              <w:br/>
            </w:r>
            <w:proofErr w:type="spellStart"/>
            <w:r w:rsidRPr="00240FBB">
              <w:t>msg:MdDescription</w:t>
            </w:r>
            <w:proofErr w:type="spellEnd"/>
          </w:p>
        </w:tc>
        <w:tc>
          <w:tcPr>
            <w:tcW w:w="3904" w:type="dxa"/>
            <w:shd w:val="clear" w:color="auto" w:fill="auto"/>
          </w:tcPr>
          <w:p w:rsidR="000C1442" w:rsidRDefault="000C1442" w:rsidP="00515E91">
            <w:pPr>
              <w:pStyle w:val="IEEEStdsTableData-Left"/>
            </w:pPr>
            <w:r w:rsidRPr="000C1442">
              <w:rPr>
                <w:i/>
                <w:iCs/>
              </w:rPr>
              <w:t>[</w:t>
            </w:r>
            <w:r>
              <w:rPr>
                <w:i/>
                <w:iCs/>
              </w:rPr>
              <w:t>important if multiple MDSs per MDIB exist; but: multiple MDSs per MDIB should be forbidden and realized by multiple device instead</w:t>
            </w:r>
            <w:r w:rsidRPr="000C1442">
              <w:rPr>
                <w:i/>
                <w:iCs/>
              </w:rPr>
              <w:t>]</w:t>
            </w:r>
          </w:p>
        </w:tc>
      </w:tr>
      <w:tr w:rsidR="000C1442" w:rsidRPr="000C1442" w:rsidTr="007B1853">
        <w:tc>
          <w:tcPr>
            <w:tcW w:w="1040" w:type="dxa"/>
            <w:shd w:val="clear" w:color="auto" w:fill="auto"/>
          </w:tcPr>
          <w:p w:rsidR="000C1442" w:rsidRPr="000C1442" w:rsidRDefault="000C1442" w:rsidP="00515E91">
            <w:pPr>
              <w:pStyle w:val="IEEEStdsTableData-Left"/>
              <w:rPr>
                <w:strike/>
              </w:rPr>
            </w:pPr>
            <w:r w:rsidRPr="000C1442">
              <w:rPr>
                <w:strike/>
              </w:rPr>
              <w:t>PROV-9</w:t>
            </w:r>
          </w:p>
        </w:tc>
        <w:tc>
          <w:tcPr>
            <w:tcW w:w="1054" w:type="dxa"/>
            <w:shd w:val="clear" w:color="auto" w:fill="auto"/>
          </w:tcPr>
          <w:p w:rsidR="000C1442" w:rsidRDefault="000C1442" w:rsidP="00515E91">
            <w:pPr>
              <w:pStyle w:val="IEEEStdsTableData-Left"/>
            </w:pPr>
            <w:r>
              <w:t>Include METRIC retrievability as extension</w:t>
            </w:r>
          </w:p>
        </w:tc>
        <w:tc>
          <w:tcPr>
            <w:tcW w:w="2656" w:type="dxa"/>
            <w:shd w:val="clear" w:color="auto" w:fill="auto"/>
          </w:tcPr>
          <w:p w:rsidR="000C1442" w:rsidRPr="00240FBB" w:rsidRDefault="000C1442" w:rsidP="00515E91">
            <w:pPr>
              <w:pStyle w:val="IEEEStdsTableData-Left"/>
            </w:pPr>
            <w:proofErr w:type="spellStart"/>
            <w:proofErr w:type="gramStart"/>
            <w:r w:rsidRPr="00240FBB">
              <w:t>msg:Retrievability</w:t>
            </w:r>
            <w:proofErr w:type="spellEnd"/>
            <w:proofErr w:type="gramEnd"/>
          </w:p>
        </w:tc>
        <w:tc>
          <w:tcPr>
            <w:tcW w:w="3904" w:type="dxa"/>
            <w:shd w:val="clear" w:color="auto" w:fill="auto"/>
          </w:tcPr>
          <w:p w:rsidR="000C1442" w:rsidRDefault="000C1442" w:rsidP="00515E91">
            <w:pPr>
              <w:pStyle w:val="IEEEStdsTableData-Left"/>
            </w:pPr>
            <w:r w:rsidRPr="000C1442">
              <w:rPr>
                <w:i/>
                <w:iCs/>
              </w:rPr>
              <w:t>[was made mandatory in Glue]</w:t>
            </w:r>
          </w:p>
        </w:tc>
      </w:tr>
      <w:tr w:rsidR="000C1442" w:rsidRPr="000C1442" w:rsidTr="0084586B">
        <w:tc>
          <w:tcPr>
            <w:tcW w:w="1040" w:type="dxa"/>
            <w:shd w:val="clear" w:color="auto" w:fill="auto"/>
          </w:tcPr>
          <w:p w:rsidR="000C1442" w:rsidRPr="00D130B6" w:rsidRDefault="000C1442" w:rsidP="00515E91">
            <w:pPr>
              <w:pStyle w:val="IEEEStdsTableData-Left"/>
            </w:pPr>
            <w:r w:rsidRPr="00D130B6">
              <w:t>PROV-10</w:t>
            </w:r>
          </w:p>
        </w:tc>
        <w:tc>
          <w:tcPr>
            <w:tcW w:w="1054" w:type="dxa"/>
            <w:shd w:val="clear" w:color="auto" w:fill="auto"/>
          </w:tcPr>
          <w:p w:rsidR="000C1442" w:rsidRDefault="000C1442" w:rsidP="00515E91">
            <w:pPr>
              <w:pStyle w:val="IEEEStdsTableData-Left"/>
            </w:pPr>
            <w:r>
              <w:t>Increase of instance identifier</w:t>
            </w:r>
          </w:p>
        </w:tc>
        <w:tc>
          <w:tcPr>
            <w:tcW w:w="2656" w:type="dxa"/>
            <w:shd w:val="clear" w:color="auto" w:fill="auto"/>
          </w:tcPr>
          <w:p w:rsidR="000C1442" w:rsidRPr="00240FBB" w:rsidRDefault="000C1442" w:rsidP="00515E91">
            <w:pPr>
              <w:pStyle w:val="IEEEStdsTableData-Left"/>
            </w:pPr>
            <w:proofErr w:type="spellStart"/>
            <w:proofErr w:type="gramStart"/>
            <w:r w:rsidRPr="00240FBB">
              <w:t>pm:MdibVersionGroup</w:t>
            </w:r>
            <w:proofErr w:type="spellEnd"/>
            <w:proofErr w:type="gramEnd"/>
            <w:r w:rsidRPr="00240FBB">
              <w:t>/</w:t>
            </w:r>
            <w:r>
              <w:br/>
            </w:r>
            <w:proofErr w:type="spellStart"/>
            <w:r w:rsidRPr="00240FBB">
              <w:t>pm:InstanceId</w:t>
            </w:r>
            <w:proofErr w:type="spellEnd"/>
          </w:p>
        </w:tc>
        <w:tc>
          <w:tcPr>
            <w:tcW w:w="3904" w:type="dxa"/>
            <w:shd w:val="clear" w:color="auto" w:fill="auto"/>
          </w:tcPr>
          <w:p w:rsidR="000C1442" w:rsidRDefault="00D130B6" w:rsidP="00515E91">
            <w:pPr>
              <w:pStyle w:val="IEEEStdsTableData-Left"/>
            </w:pPr>
            <w:r w:rsidRPr="000C1442">
              <w:rPr>
                <w:i/>
                <w:iCs/>
              </w:rPr>
              <w:t>[</w:t>
            </w:r>
            <w:r>
              <w:rPr>
                <w:i/>
                <w:iCs/>
              </w:rPr>
              <w:t>if demanded; no significant effect on interoperability</w:t>
            </w:r>
            <w:r w:rsidRPr="000C1442">
              <w:rPr>
                <w:i/>
                <w:iCs/>
              </w:rPr>
              <w:t>]</w:t>
            </w:r>
          </w:p>
        </w:tc>
      </w:tr>
      <w:tr w:rsidR="000C1442" w:rsidRPr="000C1442" w:rsidTr="00AC1E01">
        <w:tc>
          <w:tcPr>
            <w:tcW w:w="1040" w:type="dxa"/>
            <w:shd w:val="clear" w:color="auto" w:fill="auto"/>
          </w:tcPr>
          <w:p w:rsidR="000C1442" w:rsidRDefault="000C1442" w:rsidP="00515E91">
            <w:pPr>
              <w:pStyle w:val="IEEEStdsTableData-Left"/>
            </w:pPr>
            <w:r>
              <w:t>PROV-11</w:t>
            </w:r>
          </w:p>
        </w:tc>
        <w:tc>
          <w:tcPr>
            <w:tcW w:w="1054" w:type="dxa"/>
            <w:shd w:val="clear" w:color="auto" w:fill="auto"/>
          </w:tcPr>
          <w:p w:rsidR="000C1442" w:rsidRDefault="000C1442" w:rsidP="00515E91">
            <w:pPr>
              <w:pStyle w:val="IEEEStdsTableData-Left"/>
            </w:pPr>
            <w:r>
              <w:t>Slot usage</w:t>
            </w:r>
          </w:p>
        </w:tc>
        <w:tc>
          <w:tcPr>
            <w:tcW w:w="2656" w:type="dxa"/>
            <w:shd w:val="clear" w:color="auto" w:fill="auto"/>
          </w:tcPr>
          <w:p w:rsidR="000C1442" w:rsidRPr="00240FBB" w:rsidRDefault="000C1442" w:rsidP="00515E91">
            <w:pPr>
              <w:pStyle w:val="IEEEStdsTableData-Left"/>
            </w:pPr>
            <w:proofErr w:type="spellStart"/>
            <w:proofErr w:type="gramStart"/>
            <w:r w:rsidRPr="00240FBB">
              <w:t>pm:AlertSignalState</w:t>
            </w:r>
            <w:proofErr w:type="spellEnd"/>
            <w:proofErr w:type="gramEnd"/>
            <w:r w:rsidRPr="00240FBB">
              <w:t>/</w:t>
            </w:r>
            <w:r>
              <w:br/>
            </w:r>
            <w:proofErr w:type="spellStart"/>
            <w:r w:rsidRPr="00240FBB">
              <w:t>pm:Slot</w:t>
            </w:r>
            <w:proofErr w:type="spellEnd"/>
          </w:p>
        </w:tc>
        <w:tc>
          <w:tcPr>
            <w:tcW w:w="3904" w:type="dxa"/>
            <w:shd w:val="clear" w:color="auto" w:fill="auto"/>
          </w:tcPr>
          <w:p w:rsidR="000C1442" w:rsidRDefault="00D130B6" w:rsidP="00515E91">
            <w:pPr>
              <w:pStyle w:val="IEEEStdsTableData-Left"/>
            </w:pPr>
            <w:r w:rsidRPr="000C1442">
              <w:rPr>
                <w:i/>
                <w:iCs/>
              </w:rPr>
              <w:t>[</w:t>
            </w:r>
            <w:r>
              <w:rPr>
                <w:i/>
                <w:iCs/>
              </w:rPr>
              <w:t>if demanded; no significant effect on interoperability</w:t>
            </w:r>
            <w:r w:rsidRPr="000C1442">
              <w:rPr>
                <w:i/>
                <w:iCs/>
              </w:rPr>
              <w:t>]</w:t>
            </w:r>
          </w:p>
        </w:tc>
      </w:tr>
      <w:tr w:rsidR="000C1442" w:rsidRPr="000C1442" w:rsidTr="00217004">
        <w:tc>
          <w:tcPr>
            <w:tcW w:w="1040" w:type="dxa"/>
            <w:shd w:val="clear" w:color="auto" w:fill="auto"/>
          </w:tcPr>
          <w:p w:rsidR="000C1442" w:rsidRDefault="000C1442" w:rsidP="00515E91">
            <w:pPr>
              <w:pStyle w:val="IEEEStdsTableData-Left"/>
            </w:pPr>
            <w:r>
              <w:t>PROV-12</w:t>
            </w:r>
          </w:p>
        </w:tc>
        <w:tc>
          <w:tcPr>
            <w:tcW w:w="1054" w:type="dxa"/>
            <w:shd w:val="clear" w:color="auto" w:fill="auto"/>
          </w:tcPr>
          <w:p w:rsidR="000C1442" w:rsidRDefault="000C1442" w:rsidP="00515E91">
            <w:pPr>
              <w:pStyle w:val="IEEEStdsTableData-Left"/>
            </w:pPr>
            <w:r>
              <w:t>Body site states</w:t>
            </w:r>
          </w:p>
        </w:tc>
        <w:tc>
          <w:tcPr>
            <w:tcW w:w="2656" w:type="dxa"/>
            <w:shd w:val="clear" w:color="auto" w:fill="auto"/>
          </w:tcPr>
          <w:p w:rsidR="000C1442" w:rsidRPr="00240FBB" w:rsidRDefault="000C1442" w:rsidP="00515E91">
            <w:pPr>
              <w:pStyle w:val="IEEEStdsTableData-Left"/>
            </w:pPr>
            <w:proofErr w:type="spellStart"/>
            <w:proofErr w:type="gramStart"/>
            <w:r w:rsidRPr="00240FBB">
              <w:t>pm:AbstractMetricState</w:t>
            </w:r>
            <w:proofErr w:type="spellEnd"/>
            <w:proofErr w:type="gramEnd"/>
            <w:r w:rsidRPr="00240FBB">
              <w:t>/</w:t>
            </w:r>
            <w:r>
              <w:br/>
            </w:r>
            <w:proofErr w:type="spellStart"/>
            <w:r w:rsidRPr="00240FBB">
              <w:t>pm:BodySite</w:t>
            </w:r>
            <w:proofErr w:type="spellEnd"/>
          </w:p>
        </w:tc>
        <w:tc>
          <w:tcPr>
            <w:tcW w:w="3904" w:type="dxa"/>
            <w:shd w:val="clear" w:color="auto" w:fill="auto"/>
          </w:tcPr>
          <w:p w:rsidR="000C1442" w:rsidRDefault="00D130B6" w:rsidP="00515E91">
            <w:pPr>
              <w:pStyle w:val="IEEEStdsTableData-Left"/>
            </w:pPr>
            <w:r w:rsidRPr="000C1442">
              <w:rPr>
                <w:i/>
                <w:iCs/>
              </w:rPr>
              <w:t>[</w:t>
            </w:r>
            <w:r>
              <w:rPr>
                <w:i/>
                <w:iCs/>
              </w:rPr>
              <w:t>if demanded; no significant effect on interoperability</w:t>
            </w:r>
            <w:r w:rsidRPr="000C1442">
              <w:rPr>
                <w:i/>
                <w:iCs/>
              </w:rPr>
              <w:t>]</w:t>
            </w:r>
          </w:p>
        </w:tc>
      </w:tr>
    </w:tbl>
    <w:p w:rsidR="001F130F" w:rsidRDefault="001F130F" w:rsidP="001F130F">
      <w:pPr>
        <w:pStyle w:val="berschrift1"/>
        <w:rPr>
          <w:lang w:val="en-US"/>
        </w:rPr>
      </w:pPr>
      <w:r>
        <w:rPr>
          <w:lang w:val="en-US"/>
        </w:rPr>
        <w:t>Service Consumer</w:t>
      </w:r>
    </w:p>
    <w:p w:rsidR="00D130B6" w:rsidRPr="00D130B6" w:rsidRDefault="00D130B6" w:rsidP="00D130B6">
      <w:pPr>
        <w:rPr>
          <w:lang w:val="en-US"/>
        </w:rPr>
      </w:pPr>
      <w:r>
        <w:rPr>
          <w:lang w:val="en-US"/>
        </w:rPr>
        <w:t>CONS-1 is broken; R0115 isn’t optional in the released document.</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1736"/>
        <w:gridCol w:w="992"/>
        <w:gridCol w:w="5029"/>
      </w:tblGrid>
      <w:tr w:rsidR="00D130B6" w:rsidTr="008423E4">
        <w:tc>
          <w:tcPr>
            <w:tcW w:w="897" w:type="dxa"/>
            <w:shd w:val="clear" w:color="auto" w:fill="auto"/>
          </w:tcPr>
          <w:p w:rsidR="00D130B6" w:rsidRDefault="00D130B6" w:rsidP="00515E91">
            <w:pPr>
              <w:pStyle w:val="IEEEStdsTableColumnHead"/>
              <w:jc w:val="left"/>
            </w:pPr>
            <w:r>
              <w:lastRenderedPageBreak/>
              <w:t>Index</w:t>
            </w:r>
          </w:p>
        </w:tc>
        <w:tc>
          <w:tcPr>
            <w:tcW w:w="1736" w:type="dxa"/>
            <w:shd w:val="clear" w:color="auto" w:fill="auto"/>
          </w:tcPr>
          <w:p w:rsidR="00D130B6" w:rsidRDefault="00D130B6" w:rsidP="00515E91">
            <w:pPr>
              <w:pStyle w:val="IEEEStdsTableColumnHead"/>
            </w:pPr>
            <w:r>
              <w:t>Feature</w:t>
            </w:r>
          </w:p>
        </w:tc>
        <w:tc>
          <w:tcPr>
            <w:tcW w:w="992" w:type="dxa"/>
            <w:shd w:val="clear" w:color="auto" w:fill="auto"/>
          </w:tcPr>
          <w:p w:rsidR="00D130B6" w:rsidRDefault="00D130B6" w:rsidP="00515E91">
            <w:pPr>
              <w:pStyle w:val="IEEEStdsTableColumnHead"/>
            </w:pPr>
            <w:r>
              <w:t>Reference</w:t>
            </w:r>
          </w:p>
        </w:tc>
        <w:tc>
          <w:tcPr>
            <w:tcW w:w="5029" w:type="dxa"/>
            <w:shd w:val="clear" w:color="auto" w:fill="auto"/>
          </w:tcPr>
          <w:p w:rsidR="00D130B6" w:rsidRDefault="00D130B6" w:rsidP="00515E91">
            <w:pPr>
              <w:pStyle w:val="IEEEStdsTableColumnHead"/>
            </w:pPr>
            <w:r>
              <w:t>Text</w:t>
            </w:r>
          </w:p>
        </w:tc>
      </w:tr>
      <w:tr w:rsidR="00D130B6" w:rsidRPr="00D130B6" w:rsidTr="004F1A56">
        <w:tc>
          <w:tcPr>
            <w:tcW w:w="897" w:type="dxa"/>
            <w:shd w:val="clear" w:color="auto" w:fill="auto"/>
          </w:tcPr>
          <w:p w:rsidR="00D130B6" w:rsidRPr="00D130B6" w:rsidRDefault="00D130B6" w:rsidP="00515E91">
            <w:pPr>
              <w:pStyle w:val="IEEEStdsTableData-Left"/>
              <w:rPr>
                <w:color w:val="FF0000"/>
              </w:rPr>
            </w:pPr>
            <w:r w:rsidRPr="00D130B6">
              <w:rPr>
                <w:color w:val="FF0000"/>
              </w:rPr>
              <w:t>CONS-1</w:t>
            </w:r>
          </w:p>
        </w:tc>
        <w:tc>
          <w:tcPr>
            <w:tcW w:w="1736" w:type="dxa"/>
            <w:shd w:val="clear" w:color="auto" w:fill="auto"/>
          </w:tcPr>
          <w:p w:rsidR="00D130B6" w:rsidRPr="00D130B6" w:rsidRDefault="00D130B6" w:rsidP="00515E91">
            <w:pPr>
              <w:pStyle w:val="IEEEStdsTableData-Left"/>
              <w:rPr>
                <w:color w:val="FF0000"/>
              </w:rPr>
            </w:pPr>
            <w:r w:rsidRPr="00D130B6">
              <w:rPr>
                <w:color w:val="FF0000"/>
              </w:rPr>
              <w:t xml:space="preserve">Interpretation of </w:t>
            </w:r>
            <w:proofErr w:type="spellStart"/>
            <w:proofErr w:type="gramStart"/>
            <w:r w:rsidRPr="00D130B6">
              <w:rPr>
                <w:color w:val="FF0000"/>
              </w:rPr>
              <w:t>pm:AlertSignalState</w:t>
            </w:r>
            <w:proofErr w:type="spellEnd"/>
            <w:proofErr w:type="gramEnd"/>
            <w:r w:rsidRPr="00D130B6">
              <w:rPr>
                <w:color w:val="FF0000"/>
              </w:rPr>
              <w:t>/</w:t>
            </w:r>
            <w:r w:rsidRPr="00D130B6">
              <w:rPr>
                <w:color w:val="FF0000"/>
              </w:rPr>
              <w:br/>
              <w:t>@Presence</w:t>
            </w:r>
          </w:p>
        </w:tc>
        <w:tc>
          <w:tcPr>
            <w:tcW w:w="992" w:type="dxa"/>
            <w:shd w:val="clear" w:color="auto" w:fill="auto"/>
          </w:tcPr>
          <w:p w:rsidR="00D130B6" w:rsidRPr="00D130B6" w:rsidRDefault="00D130B6" w:rsidP="00515E91">
            <w:pPr>
              <w:pStyle w:val="IEEEStdsTableData-Left"/>
              <w:rPr>
                <w:color w:val="FF0000"/>
              </w:rPr>
            </w:pPr>
            <w:r w:rsidRPr="00D130B6">
              <w:rPr>
                <w:color w:val="FF0000"/>
              </w:rPr>
              <w:t>R0115</w:t>
            </w:r>
          </w:p>
        </w:tc>
        <w:tc>
          <w:tcPr>
            <w:tcW w:w="5029" w:type="dxa"/>
            <w:shd w:val="clear" w:color="auto" w:fill="auto"/>
          </w:tcPr>
          <w:p w:rsidR="00D130B6" w:rsidRPr="00D130B6" w:rsidRDefault="00D130B6" w:rsidP="00D130B6">
            <w:pPr>
              <w:pStyle w:val="IEEEStdsTableData-Left"/>
              <w:rPr>
                <w:color w:val="FF0000"/>
              </w:rPr>
            </w:pPr>
            <w:r w:rsidRPr="00D130B6">
              <w:rPr>
                <w:color w:val="FF0000"/>
              </w:rPr>
              <w:t xml:space="preserve">While </w:t>
            </w:r>
            <w:proofErr w:type="spellStart"/>
            <w:proofErr w:type="gramStart"/>
            <w:r w:rsidRPr="00D130B6">
              <w:rPr>
                <w:color w:val="FF0000"/>
              </w:rPr>
              <w:t>pm:AlertSignalState</w:t>
            </w:r>
            <w:proofErr w:type="spellEnd"/>
            <w:proofErr w:type="gramEnd"/>
            <w:r w:rsidRPr="00D130B6">
              <w:rPr>
                <w:color w:val="FF0000"/>
              </w:rPr>
              <w:t>/@</w:t>
            </w:r>
            <w:proofErr w:type="spellStart"/>
            <w:r w:rsidRPr="00D130B6">
              <w:rPr>
                <w:color w:val="FF0000"/>
              </w:rPr>
              <w:t>ActivationState</w:t>
            </w:r>
            <w:proofErr w:type="spellEnd"/>
            <w:r w:rsidRPr="00D130B6">
              <w:rPr>
                <w:color w:val="FF0000"/>
              </w:rPr>
              <w:t xml:space="preserve"> is “Off,” a SERVICE CONSUMER SHALL </w:t>
            </w:r>
          </w:p>
          <w:p w:rsidR="00D130B6" w:rsidRPr="00D130B6" w:rsidRDefault="00D130B6" w:rsidP="00D130B6">
            <w:pPr>
              <w:pStyle w:val="IEEEStdsTableData-Left"/>
              <w:rPr>
                <w:color w:val="FF0000"/>
              </w:rPr>
            </w:pPr>
            <w:r w:rsidRPr="00D130B6">
              <w:rPr>
                <w:color w:val="FF0000"/>
              </w:rPr>
              <w:t xml:space="preserve">NOT interpret </w:t>
            </w:r>
            <w:proofErr w:type="spellStart"/>
            <w:proofErr w:type="gramStart"/>
            <w:r w:rsidRPr="00D130B6">
              <w:rPr>
                <w:color w:val="FF0000"/>
              </w:rPr>
              <w:t>pm:AlertSignalState</w:t>
            </w:r>
            <w:proofErr w:type="spellEnd"/>
            <w:proofErr w:type="gramEnd"/>
            <w:r w:rsidRPr="00D130B6">
              <w:rPr>
                <w:color w:val="FF0000"/>
              </w:rPr>
              <w:t>/@Presence.</w:t>
            </w:r>
          </w:p>
        </w:tc>
      </w:tr>
    </w:tbl>
    <w:p w:rsidR="001F130F" w:rsidRDefault="001F130F" w:rsidP="001F130F">
      <w:pPr>
        <w:pStyle w:val="berschrift1"/>
        <w:rPr>
          <w:lang w:val="en-US"/>
        </w:rPr>
      </w:pPr>
      <w:r>
        <w:rPr>
          <w:lang w:val="en-US"/>
        </w:rPr>
        <w:t>Remote Control</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4"/>
        <w:gridCol w:w="1438"/>
        <w:gridCol w:w="2166"/>
        <w:gridCol w:w="4246"/>
      </w:tblGrid>
      <w:tr w:rsidR="00D130B6" w:rsidTr="00774437">
        <w:tc>
          <w:tcPr>
            <w:tcW w:w="804" w:type="dxa"/>
            <w:shd w:val="clear" w:color="auto" w:fill="auto"/>
          </w:tcPr>
          <w:p w:rsidR="00D130B6" w:rsidRDefault="00D130B6" w:rsidP="00515E91">
            <w:pPr>
              <w:pStyle w:val="IEEEStdsTableColumnHead"/>
              <w:jc w:val="left"/>
            </w:pPr>
            <w:r>
              <w:t>Index</w:t>
            </w:r>
          </w:p>
        </w:tc>
        <w:tc>
          <w:tcPr>
            <w:tcW w:w="1438" w:type="dxa"/>
            <w:shd w:val="clear" w:color="auto" w:fill="auto"/>
          </w:tcPr>
          <w:p w:rsidR="00D130B6" w:rsidRDefault="00D130B6" w:rsidP="00515E91">
            <w:pPr>
              <w:pStyle w:val="IEEEStdsTableColumnHead"/>
            </w:pPr>
            <w:r>
              <w:t>Feature</w:t>
            </w:r>
          </w:p>
        </w:tc>
        <w:tc>
          <w:tcPr>
            <w:tcW w:w="2166" w:type="dxa"/>
            <w:shd w:val="clear" w:color="auto" w:fill="auto"/>
          </w:tcPr>
          <w:p w:rsidR="00D130B6" w:rsidRDefault="00D130B6" w:rsidP="00515E91">
            <w:pPr>
              <w:pStyle w:val="IEEEStdsTableColumnHead"/>
            </w:pPr>
            <w:r>
              <w:t>Reference</w:t>
            </w:r>
          </w:p>
        </w:tc>
        <w:tc>
          <w:tcPr>
            <w:tcW w:w="4246" w:type="dxa"/>
            <w:shd w:val="clear" w:color="auto" w:fill="auto"/>
          </w:tcPr>
          <w:p w:rsidR="00D130B6" w:rsidRDefault="00D130B6" w:rsidP="00515E91">
            <w:pPr>
              <w:pStyle w:val="IEEEStdsTableColumnHead"/>
            </w:pPr>
            <w:r>
              <w:t>Text</w:t>
            </w:r>
          </w:p>
        </w:tc>
      </w:tr>
      <w:tr w:rsidR="00D130B6" w:rsidRPr="00D130B6" w:rsidTr="00404A0B">
        <w:tc>
          <w:tcPr>
            <w:tcW w:w="804" w:type="dxa"/>
            <w:shd w:val="clear" w:color="auto" w:fill="auto"/>
          </w:tcPr>
          <w:p w:rsidR="00D130B6" w:rsidRDefault="00D130B6" w:rsidP="00515E91">
            <w:pPr>
              <w:pStyle w:val="IEEEStdsTableData-Left"/>
            </w:pPr>
            <w:r>
              <w:t>SCO-1</w:t>
            </w:r>
          </w:p>
        </w:tc>
        <w:tc>
          <w:tcPr>
            <w:tcW w:w="1438" w:type="dxa"/>
            <w:shd w:val="clear" w:color="auto" w:fill="auto"/>
          </w:tcPr>
          <w:p w:rsidR="00D130B6" w:rsidRDefault="00D130B6" w:rsidP="00515E91">
            <w:pPr>
              <w:pStyle w:val="IEEEStdsTableData-Left"/>
            </w:pPr>
            <w:r>
              <w:t>Provide remote capabilities</w:t>
            </w:r>
          </w:p>
        </w:tc>
        <w:tc>
          <w:tcPr>
            <w:tcW w:w="2166" w:type="dxa"/>
            <w:shd w:val="clear" w:color="auto" w:fill="auto"/>
          </w:tcPr>
          <w:p w:rsidR="00D130B6" w:rsidRDefault="00D130B6" w:rsidP="00515E91">
            <w:pPr>
              <w:pStyle w:val="IEEEStdsTableData-Left"/>
            </w:pPr>
            <w:r w:rsidRPr="00240FBB">
              <w:t>R0011</w:t>
            </w:r>
          </w:p>
        </w:tc>
        <w:tc>
          <w:tcPr>
            <w:tcW w:w="4246" w:type="dxa"/>
            <w:shd w:val="clear" w:color="auto" w:fill="auto"/>
          </w:tcPr>
          <w:p w:rsidR="00D130B6" w:rsidRPr="00D130B6" w:rsidRDefault="00D130B6" w:rsidP="00515E91">
            <w:pPr>
              <w:pStyle w:val="IEEEStdsTableData-Left"/>
              <w:rPr>
                <w:i/>
                <w:iCs/>
              </w:rPr>
            </w:pPr>
            <w:r w:rsidRPr="00D130B6">
              <w:rPr>
                <w:i/>
                <w:iCs/>
              </w:rPr>
              <w:t>[Same as PROV-4 – if remote control is supported, R0011 should be mandatory]</w:t>
            </w:r>
          </w:p>
        </w:tc>
      </w:tr>
      <w:tr w:rsidR="00D130B6" w:rsidRPr="00D130B6" w:rsidTr="004E1EEF">
        <w:tc>
          <w:tcPr>
            <w:tcW w:w="804" w:type="dxa"/>
            <w:shd w:val="clear" w:color="auto" w:fill="auto"/>
          </w:tcPr>
          <w:p w:rsidR="00D130B6" w:rsidRDefault="00D130B6" w:rsidP="00515E91">
            <w:pPr>
              <w:pStyle w:val="IEEEStdsTableData-Left"/>
            </w:pPr>
            <w:r>
              <w:t>SCO-2</w:t>
            </w:r>
          </w:p>
        </w:tc>
        <w:tc>
          <w:tcPr>
            <w:tcW w:w="1438" w:type="dxa"/>
            <w:shd w:val="clear" w:color="auto" w:fill="auto"/>
          </w:tcPr>
          <w:p w:rsidR="00D130B6" w:rsidRDefault="00D130B6" w:rsidP="00515E91">
            <w:pPr>
              <w:pStyle w:val="IEEEStdsTableData-Left"/>
            </w:pPr>
            <w:r>
              <w:t>Context state create and update.</w:t>
            </w:r>
          </w:p>
        </w:tc>
        <w:tc>
          <w:tcPr>
            <w:tcW w:w="2166" w:type="dxa"/>
            <w:shd w:val="clear" w:color="auto" w:fill="auto"/>
          </w:tcPr>
          <w:p w:rsidR="00D130B6" w:rsidRDefault="00D130B6" w:rsidP="00515E91">
            <w:pPr>
              <w:pStyle w:val="IEEEStdsTableData-Left"/>
            </w:pPr>
            <w:proofErr w:type="spellStart"/>
            <w:proofErr w:type="gramStart"/>
            <w:r w:rsidRPr="00240FBB">
              <w:t>msg:SetContextState</w:t>
            </w:r>
            <w:proofErr w:type="spellEnd"/>
            <w:proofErr w:type="gramEnd"/>
            <w:r w:rsidRPr="00240FBB">
              <w:t>/</w:t>
            </w:r>
            <w:r>
              <w:br/>
            </w:r>
            <w:proofErr w:type="spellStart"/>
            <w:r w:rsidRPr="00240FBB">
              <w:t>msg:ProposedContextState</w:t>
            </w:r>
            <w:proofErr w:type="spellEnd"/>
          </w:p>
        </w:tc>
        <w:tc>
          <w:tcPr>
            <w:tcW w:w="4246" w:type="dxa"/>
            <w:shd w:val="clear" w:color="auto" w:fill="auto"/>
          </w:tcPr>
          <w:p w:rsidR="00D130B6" w:rsidRDefault="00D130B6" w:rsidP="00D130B6">
            <w:pPr>
              <w:pStyle w:val="IEEEStdsTableData-Left"/>
            </w:pPr>
            <w:proofErr w:type="spellStart"/>
            <w:r>
              <w:t>ProposedContextState</w:t>
            </w:r>
            <w:proofErr w:type="spellEnd"/>
            <w:r>
              <w:t xml:space="preserve"> comprises the context states that </w:t>
            </w:r>
            <w:proofErr w:type="gramStart"/>
            <w:r>
              <w:t>have to</w:t>
            </w:r>
            <w:proofErr w:type="gramEnd"/>
            <w:r>
              <w:t xml:space="preserve"> be inserted or updated: </w:t>
            </w:r>
          </w:p>
          <w:p w:rsidR="00D130B6" w:rsidRDefault="00D130B6" w:rsidP="00D130B6">
            <w:pPr>
              <w:pStyle w:val="IEEEStdsTableData-Left"/>
            </w:pPr>
          </w:p>
          <w:p w:rsidR="00D130B6" w:rsidRDefault="00D130B6" w:rsidP="00D130B6">
            <w:pPr>
              <w:pStyle w:val="IEEEStdsTableData-Left"/>
            </w:pPr>
            <w:r>
              <w:t xml:space="preserve">— If </w:t>
            </w:r>
            <w:proofErr w:type="spellStart"/>
            <w:r>
              <w:t>ProposedContextState</w:t>
            </w:r>
            <w:proofErr w:type="spellEnd"/>
            <w:r>
              <w:t xml:space="preserve">/@Handle is equal </w:t>
            </w:r>
            <w:proofErr w:type="spellStart"/>
            <w:r>
              <w:t>ProposedContextState</w:t>
            </w:r>
            <w:proofErr w:type="spellEnd"/>
            <w:r>
              <w:t>/@</w:t>
            </w:r>
            <w:proofErr w:type="spellStart"/>
            <w:r>
              <w:t>DescriptorHandle</w:t>
            </w:r>
            <w:proofErr w:type="spellEnd"/>
            <w:r>
              <w:t xml:space="preserve">, the proposed </w:t>
            </w:r>
          </w:p>
          <w:p w:rsidR="00D130B6" w:rsidRDefault="00D130B6" w:rsidP="00D130B6">
            <w:pPr>
              <w:pStyle w:val="IEEEStdsTableData-Left"/>
            </w:pPr>
            <w:r>
              <w:t xml:space="preserve">object SHOULD be created as a new context state. </w:t>
            </w:r>
          </w:p>
          <w:p w:rsidR="00D130B6" w:rsidRDefault="00D130B6" w:rsidP="00D130B6">
            <w:pPr>
              <w:pStyle w:val="IEEEStdsTableData-Left"/>
            </w:pPr>
            <w:r>
              <w:t xml:space="preserve">— If </w:t>
            </w:r>
            <w:proofErr w:type="spellStart"/>
            <w:r>
              <w:t>ProposedContextState</w:t>
            </w:r>
            <w:proofErr w:type="spellEnd"/>
            <w:r>
              <w:t xml:space="preserve">/@Handle is not equal </w:t>
            </w:r>
            <w:proofErr w:type="spellStart"/>
            <w:r>
              <w:t>ProposedContextState</w:t>
            </w:r>
            <w:proofErr w:type="spellEnd"/>
            <w:r>
              <w:t>/@</w:t>
            </w:r>
            <w:proofErr w:type="spellStart"/>
            <w:r>
              <w:t>DescriptorHandle</w:t>
            </w:r>
            <w:proofErr w:type="spellEnd"/>
            <w:r>
              <w:t xml:space="preserve">, the </w:t>
            </w:r>
          </w:p>
          <w:p w:rsidR="00D130B6" w:rsidRDefault="00D130B6" w:rsidP="00D130B6">
            <w:pPr>
              <w:pStyle w:val="IEEEStdsTableData-Left"/>
            </w:pPr>
            <w:r>
              <w:t xml:space="preserve"> proposed object SHOULD be modified.</w:t>
            </w:r>
          </w:p>
          <w:p w:rsidR="00D130B6" w:rsidRDefault="00D130B6" w:rsidP="00D130B6">
            <w:pPr>
              <w:pStyle w:val="IEEEStdsTableData-Left"/>
            </w:pPr>
          </w:p>
          <w:p w:rsidR="00D130B6" w:rsidRPr="00300771" w:rsidRDefault="00D130B6" w:rsidP="00D130B6">
            <w:pPr>
              <w:pStyle w:val="IEEEStdsTableData-Left"/>
            </w:pPr>
            <w:r w:rsidRPr="000C1442">
              <w:rPr>
                <w:i/>
                <w:iCs/>
              </w:rPr>
              <w:t>[</w:t>
            </w:r>
            <w:r>
              <w:rPr>
                <w:i/>
                <w:iCs/>
              </w:rPr>
              <w:t>if demanded</w:t>
            </w:r>
            <w:r>
              <w:rPr>
                <w:i/>
                <w:iCs/>
              </w:rPr>
              <w:t xml:space="preserve">; </w:t>
            </w:r>
            <w:r>
              <w:rPr>
                <w:i/>
                <w:iCs/>
              </w:rPr>
              <w:t>significant effect on interoperability</w:t>
            </w:r>
            <w:r w:rsidRPr="000C1442">
              <w:rPr>
                <w:i/>
                <w:iCs/>
              </w:rPr>
              <w:t>]</w:t>
            </w:r>
          </w:p>
        </w:tc>
      </w:tr>
    </w:tbl>
    <w:p w:rsidR="001F130F" w:rsidRDefault="001F130F" w:rsidP="001F130F">
      <w:pPr>
        <w:pStyle w:val="berschrift1"/>
      </w:pPr>
      <w:proofErr w:type="spellStart"/>
      <w:r>
        <w:t>Context</w:t>
      </w:r>
      <w:proofErr w:type="spellEnd"/>
      <w:r>
        <w:t xml:space="preserve"> Processing</w:t>
      </w:r>
    </w:p>
    <w:p w:rsidR="005D093E" w:rsidRPr="005D093E" w:rsidRDefault="005D093E" w:rsidP="005D093E">
      <w:pPr>
        <w:rPr>
          <w:lang w:val="en-US"/>
        </w:rPr>
      </w:pPr>
      <w:r w:rsidRPr="005D093E">
        <w:rPr>
          <w:lang w:val="en-US"/>
        </w:rPr>
        <w:t xml:space="preserve">Context processing pertains to </w:t>
      </w:r>
      <w:r>
        <w:rPr>
          <w:lang w:val="en-US"/>
        </w:rPr>
        <w:t xml:space="preserve">effective utilization of context information like workflow (e.g., orders) info, patient demographics and locations. A general concept should be described how to cope with contexts in terms of </w:t>
      </w:r>
      <w:proofErr w:type="spellStart"/>
      <w:r>
        <w:rPr>
          <w:lang w:val="en-US"/>
        </w:rPr>
        <w:t>SDPi</w:t>
      </w:r>
      <w:proofErr w:type="spellEnd"/>
      <w:r>
        <w:rPr>
          <w:lang w:val="en-US"/>
        </w:rPr>
        <w:t>, i.e. device coupling mechanisms should be described informally in TF-1 and formally in TF-2 (as transaction?).</w:t>
      </w:r>
    </w:p>
    <w:tbl>
      <w:tblPr>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9"/>
        <w:gridCol w:w="1275"/>
        <w:gridCol w:w="3064"/>
        <w:gridCol w:w="3416"/>
      </w:tblGrid>
      <w:tr w:rsidR="00D130B6" w:rsidTr="00664FF3">
        <w:tc>
          <w:tcPr>
            <w:tcW w:w="899" w:type="dxa"/>
            <w:shd w:val="clear" w:color="auto" w:fill="auto"/>
          </w:tcPr>
          <w:p w:rsidR="00D130B6" w:rsidRDefault="00D130B6" w:rsidP="00515E91">
            <w:pPr>
              <w:pStyle w:val="IEEEStdsTableColumnHead"/>
              <w:jc w:val="left"/>
            </w:pPr>
            <w:r>
              <w:lastRenderedPageBreak/>
              <w:t>Index</w:t>
            </w:r>
          </w:p>
        </w:tc>
        <w:tc>
          <w:tcPr>
            <w:tcW w:w="1275" w:type="dxa"/>
            <w:shd w:val="clear" w:color="auto" w:fill="auto"/>
          </w:tcPr>
          <w:p w:rsidR="00D130B6" w:rsidRDefault="00D130B6" w:rsidP="00515E91">
            <w:pPr>
              <w:pStyle w:val="IEEEStdsTableColumnHead"/>
            </w:pPr>
            <w:r>
              <w:t>Feature</w:t>
            </w:r>
          </w:p>
        </w:tc>
        <w:tc>
          <w:tcPr>
            <w:tcW w:w="3064" w:type="dxa"/>
            <w:shd w:val="clear" w:color="auto" w:fill="auto"/>
          </w:tcPr>
          <w:p w:rsidR="00D130B6" w:rsidRDefault="00D130B6" w:rsidP="00515E91">
            <w:pPr>
              <w:pStyle w:val="IEEEStdsTableColumnHead"/>
            </w:pPr>
            <w:r>
              <w:t>Reference</w:t>
            </w:r>
          </w:p>
        </w:tc>
        <w:tc>
          <w:tcPr>
            <w:tcW w:w="3416" w:type="dxa"/>
            <w:shd w:val="clear" w:color="auto" w:fill="auto"/>
          </w:tcPr>
          <w:p w:rsidR="00D130B6" w:rsidRDefault="00D130B6" w:rsidP="00515E91">
            <w:pPr>
              <w:pStyle w:val="IEEEStdsTableColumnHead"/>
            </w:pPr>
            <w:r>
              <w:t>Text</w:t>
            </w:r>
          </w:p>
        </w:tc>
      </w:tr>
      <w:tr w:rsidR="00D130B6" w:rsidRPr="000C1442" w:rsidTr="005D2593">
        <w:tc>
          <w:tcPr>
            <w:tcW w:w="899" w:type="dxa"/>
            <w:shd w:val="clear" w:color="auto" w:fill="auto"/>
          </w:tcPr>
          <w:p w:rsidR="00D130B6" w:rsidRDefault="00D130B6" w:rsidP="00515E91">
            <w:pPr>
              <w:pStyle w:val="IEEEStdsTableData-Left"/>
            </w:pPr>
            <w:r>
              <w:t>CTXT-1</w:t>
            </w:r>
          </w:p>
        </w:tc>
        <w:tc>
          <w:tcPr>
            <w:tcW w:w="1275" w:type="dxa"/>
            <w:shd w:val="clear" w:color="auto" w:fill="auto"/>
          </w:tcPr>
          <w:p w:rsidR="00D130B6" w:rsidRDefault="00D130B6" w:rsidP="00515E91">
            <w:pPr>
              <w:pStyle w:val="IEEEStdsTableData-Left"/>
            </w:pPr>
            <w:r>
              <w:t>Patient context</w:t>
            </w:r>
          </w:p>
        </w:tc>
        <w:tc>
          <w:tcPr>
            <w:tcW w:w="3064" w:type="dxa"/>
            <w:shd w:val="clear" w:color="auto" w:fill="auto"/>
          </w:tcPr>
          <w:p w:rsidR="00D130B6" w:rsidRDefault="00D130B6" w:rsidP="00515E91">
            <w:pPr>
              <w:pStyle w:val="IEEEStdsTableData-Left"/>
            </w:pPr>
            <w:r w:rsidRPr="00C31D40">
              <w:t>R0014</w:t>
            </w:r>
          </w:p>
        </w:tc>
        <w:tc>
          <w:tcPr>
            <w:tcW w:w="3416" w:type="dxa"/>
            <w:shd w:val="clear" w:color="auto" w:fill="auto"/>
          </w:tcPr>
          <w:p w:rsidR="00D130B6" w:rsidRPr="00B504B2" w:rsidRDefault="005D093E" w:rsidP="005D093E">
            <w:pPr>
              <w:pStyle w:val="IEEEStdsTableData-Left"/>
            </w:pPr>
            <w:bookmarkStart w:id="0" w:name="_GoBack"/>
            <w:bookmarkEnd w:id="0"/>
            <w:r>
              <w:t xml:space="preserve">If a SERVICE PROVIDER or POC MEDICAL DEVICE is, e.g., capable of determining to which patient the POC MEDICAL DEVICE is currently connected to, this capability SHOULD be expressed in the MDS context with a </w:t>
            </w:r>
            <w:proofErr w:type="spellStart"/>
            <w:proofErr w:type="gramStart"/>
            <w:r>
              <w:t>pm:PatientContextDescriptor</w:t>
            </w:r>
            <w:proofErr w:type="spellEnd"/>
            <w:proofErr w:type="gramEnd"/>
            <w:r>
              <w:t>.</w:t>
            </w:r>
          </w:p>
        </w:tc>
      </w:tr>
      <w:tr w:rsidR="00D130B6" w:rsidRPr="000C1442" w:rsidTr="00683CE3">
        <w:tc>
          <w:tcPr>
            <w:tcW w:w="899" w:type="dxa"/>
            <w:shd w:val="clear" w:color="auto" w:fill="auto"/>
          </w:tcPr>
          <w:p w:rsidR="00D130B6" w:rsidRDefault="00D130B6" w:rsidP="00515E91">
            <w:pPr>
              <w:pStyle w:val="IEEEStdsTableData-Left"/>
            </w:pPr>
            <w:r>
              <w:t>CTXT-2</w:t>
            </w:r>
          </w:p>
        </w:tc>
        <w:tc>
          <w:tcPr>
            <w:tcW w:w="1275" w:type="dxa"/>
            <w:shd w:val="clear" w:color="auto" w:fill="auto"/>
          </w:tcPr>
          <w:p w:rsidR="00D130B6" w:rsidRDefault="00D130B6" w:rsidP="00515E91">
            <w:pPr>
              <w:pStyle w:val="IEEEStdsTableData-Left"/>
            </w:pPr>
            <w:r>
              <w:t>Location context</w:t>
            </w:r>
          </w:p>
        </w:tc>
        <w:tc>
          <w:tcPr>
            <w:tcW w:w="3064" w:type="dxa"/>
            <w:shd w:val="clear" w:color="auto" w:fill="auto"/>
          </w:tcPr>
          <w:p w:rsidR="00D130B6" w:rsidRPr="00C31D40" w:rsidRDefault="00D130B6" w:rsidP="00515E91">
            <w:pPr>
              <w:pStyle w:val="IEEEStdsTableData-Left"/>
            </w:pPr>
            <w:r w:rsidRPr="00C31D40">
              <w:t>R0015</w:t>
            </w:r>
          </w:p>
        </w:tc>
        <w:tc>
          <w:tcPr>
            <w:tcW w:w="3416" w:type="dxa"/>
            <w:shd w:val="clear" w:color="auto" w:fill="auto"/>
          </w:tcPr>
          <w:p w:rsidR="00D130B6" w:rsidRPr="00B504B2" w:rsidRDefault="005D093E" w:rsidP="005D093E">
            <w:pPr>
              <w:pStyle w:val="IEEEStdsTableData-Left"/>
            </w:pPr>
            <w:r>
              <w:t xml:space="preserve">If a SERVICE PROVIDER or POC MEDICAL DEVICE is, e.g., capable of determining in which location the POC MEDICAL DEVICE is currently operated, this capability SHOULD be expressed in the MDS context with a </w:t>
            </w:r>
            <w:proofErr w:type="spellStart"/>
            <w:proofErr w:type="gramStart"/>
            <w:r>
              <w:t>pm:LocationContextDescriptor</w:t>
            </w:r>
            <w:proofErr w:type="spellEnd"/>
            <w:proofErr w:type="gramEnd"/>
            <w:r>
              <w:t>.</w:t>
            </w:r>
          </w:p>
        </w:tc>
      </w:tr>
      <w:tr w:rsidR="00D130B6" w:rsidRPr="000C1442" w:rsidTr="004907AC">
        <w:tc>
          <w:tcPr>
            <w:tcW w:w="899" w:type="dxa"/>
            <w:shd w:val="clear" w:color="auto" w:fill="auto"/>
          </w:tcPr>
          <w:p w:rsidR="00D130B6" w:rsidRDefault="00D130B6" w:rsidP="00515E91">
            <w:pPr>
              <w:pStyle w:val="IEEEStdsTableData-Left"/>
            </w:pPr>
            <w:r>
              <w:t>CTXT-3</w:t>
            </w:r>
          </w:p>
        </w:tc>
        <w:tc>
          <w:tcPr>
            <w:tcW w:w="1275" w:type="dxa"/>
            <w:shd w:val="clear" w:color="auto" w:fill="auto"/>
          </w:tcPr>
          <w:p w:rsidR="00D130B6" w:rsidRDefault="00D130B6" w:rsidP="00515E91">
            <w:pPr>
              <w:pStyle w:val="IEEEStdsTableData-Left"/>
            </w:pPr>
            <w:r>
              <w:t>Workflow context</w:t>
            </w:r>
          </w:p>
        </w:tc>
        <w:tc>
          <w:tcPr>
            <w:tcW w:w="3064" w:type="dxa"/>
            <w:shd w:val="clear" w:color="auto" w:fill="auto"/>
          </w:tcPr>
          <w:p w:rsidR="00D130B6" w:rsidRPr="00C31D40" w:rsidRDefault="00D130B6" w:rsidP="00515E91">
            <w:pPr>
              <w:pStyle w:val="IEEEStdsTableData-Left"/>
            </w:pPr>
            <w:r w:rsidRPr="00240FBB">
              <w:t>R0016</w:t>
            </w:r>
          </w:p>
        </w:tc>
        <w:tc>
          <w:tcPr>
            <w:tcW w:w="3416" w:type="dxa"/>
            <w:shd w:val="clear" w:color="auto" w:fill="auto"/>
          </w:tcPr>
          <w:p w:rsidR="00D130B6" w:rsidRPr="00B504B2" w:rsidRDefault="005D093E" w:rsidP="005D093E">
            <w:pPr>
              <w:pStyle w:val="IEEEStdsTableData-Left"/>
            </w:pPr>
            <w:r>
              <w:t xml:space="preserve">If a SERVICE PROVIDER or POC MEDICAL DEVICE is, e.g., capable of determining in which clinical workflow the POC MEDICAL DEVICE is currently participating, this capability SHOULD be expressed in the MDS context with a </w:t>
            </w:r>
            <w:proofErr w:type="spellStart"/>
            <w:proofErr w:type="gramStart"/>
            <w:r>
              <w:t>pm:WorkflowContextDescriptor</w:t>
            </w:r>
            <w:proofErr w:type="spellEnd"/>
            <w:proofErr w:type="gramEnd"/>
            <w:r>
              <w:t>.</w:t>
            </w:r>
          </w:p>
        </w:tc>
      </w:tr>
      <w:tr w:rsidR="00D130B6" w:rsidRPr="000C1442" w:rsidTr="009F4198">
        <w:tc>
          <w:tcPr>
            <w:tcW w:w="899" w:type="dxa"/>
            <w:shd w:val="clear" w:color="auto" w:fill="auto"/>
          </w:tcPr>
          <w:p w:rsidR="00D130B6" w:rsidRDefault="00D130B6" w:rsidP="00515E91">
            <w:pPr>
              <w:pStyle w:val="IEEEStdsTableData-Left"/>
            </w:pPr>
            <w:r>
              <w:t>CTXT-4</w:t>
            </w:r>
          </w:p>
        </w:tc>
        <w:tc>
          <w:tcPr>
            <w:tcW w:w="1275" w:type="dxa"/>
            <w:shd w:val="clear" w:color="auto" w:fill="auto"/>
          </w:tcPr>
          <w:p w:rsidR="00D130B6" w:rsidRDefault="00D130B6" w:rsidP="00515E91">
            <w:pPr>
              <w:pStyle w:val="IEEEStdsTableData-Left"/>
            </w:pPr>
            <w:r>
              <w:t>Operator context</w:t>
            </w:r>
          </w:p>
        </w:tc>
        <w:tc>
          <w:tcPr>
            <w:tcW w:w="3064" w:type="dxa"/>
            <w:shd w:val="clear" w:color="auto" w:fill="auto"/>
          </w:tcPr>
          <w:p w:rsidR="00D130B6" w:rsidRPr="00C31D40" w:rsidRDefault="00D130B6" w:rsidP="00515E91">
            <w:pPr>
              <w:pStyle w:val="IEEEStdsTableData-Left"/>
            </w:pPr>
            <w:r w:rsidRPr="00240FBB">
              <w:t>R0017</w:t>
            </w:r>
          </w:p>
        </w:tc>
        <w:tc>
          <w:tcPr>
            <w:tcW w:w="3416" w:type="dxa"/>
            <w:shd w:val="clear" w:color="auto" w:fill="auto"/>
          </w:tcPr>
          <w:p w:rsidR="00D130B6" w:rsidRPr="00B504B2" w:rsidRDefault="005D093E" w:rsidP="005D093E">
            <w:pPr>
              <w:pStyle w:val="IEEEStdsTableData-Left"/>
            </w:pPr>
            <w:r>
              <w:t xml:space="preserve">If a SERVICE PROVIDER or POC MEDICAL DEVICE is, e.g., capable of determining who is currently operating the POC MEDICAL DEVICE, this capability SHOULD be expressed in the MDS context with a </w:t>
            </w:r>
            <w:proofErr w:type="spellStart"/>
            <w:proofErr w:type="gramStart"/>
            <w:r>
              <w:t>pm:OperatorContextDescriptor</w:t>
            </w:r>
            <w:proofErr w:type="spellEnd"/>
            <w:proofErr w:type="gramEnd"/>
            <w:r>
              <w:t>.</w:t>
            </w:r>
          </w:p>
        </w:tc>
      </w:tr>
      <w:tr w:rsidR="00D130B6" w:rsidRPr="000C1442" w:rsidTr="00315461">
        <w:tc>
          <w:tcPr>
            <w:tcW w:w="899" w:type="dxa"/>
            <w:shd w:val="clear" w:color="auto" w:fill="auto"/>
          </w:tcPr>
          <w:p w:rsidR="00D130B6" w:rsidRDefault="00D130B6" w:rsidP="00515E91">
            <w:pPr>
              <w:pStyle w:val="IEEEStdsTableData-Left"/>
            </w:pPr>
            <w:r>
              <w:t>CTXT-5</w:t>
            </w:r>
          </w:p>
        </w:tc>
        <w:tc>
          <w:tcPr>
            <w:tcW w:w="1275" w:type="dxa"/>
            <w:shd w:val="clear" w:color="auto" w:fill="auto"/>
          </w:tcPr>
          <w:p w:rsidR="00D130B6" w:rsidRDefault="00D130B6" w:rsidP="00515E91">
            <w:pPr>
              <w:pStyle w:val="IEEEStdsTableData-Left"/>
            </w:pPr>
            <w:r>
              <w:t>Means context</w:t>
            </w:r>
          </w:p>
        </w:tc>
        <w:tc>
          <w:tcPr>
            <w:tcW w:w="3064" w:type="dxa"/>
            <w:shd w:val="clear" w:color="auto" w:fill="auto"/>
          </w:tcPr>
          <w:p w:rsidR="00D130B6" w:rsidRPr="00C31D40" w:rsidRDefault="00D130B6" w:rsidP="00515E91">
            <w:pPr>
              <w:pStyle w:val="IEEEStdsTableData-Left"/>
            </w:pPr>
            <w:r w:rsidRPr="00240FBB">
              <w:t>R0018</w:t>
            </w:r>
          </w:p>
        </w:tc>
        <w:tc>
          <w:tcPr>
            <w:tcW w:w="3416" w:type="dxa"/>
            <w:shd w:val="clear" w:color="auto" w:fill="auto"/>
          </w:tcPr>
          <w:p w:rsidR="00D130B6" w:rsidRPr="00B504B2" w:rsidRDefault="005D093E" w:rsidP="005D093E">
            <w:pPr>
              <w:pStyle w:val="IEEEStdsTableData-Left"/>
            </w:pPr>
            <w:r>
              <w:t xml:space="preserve">If a SERVICE PROVIDER or POC MEDICAL DEVICE is, e.g., capable of determining which virtual or physical means the POC MEDICAL DEVICE is using, this capability SHOULD be expressed in the MDS context with a </w:t>
            </w:r>
            <w:proofErr w:type="spellStart"/>
            <w:proofErr w:type="gramStart"/>
            <w:r>
              <w:t>pm:MeansContextDescriptor</w:t>
            </w:r>
            <w:proofErr w:type="spellEnd"/>
            <w:proofErr w:type="gramEnd"/>
            <w:r>
              <w:t xml:space="preserve">.  </w:t>
            </w:r>
          </w:p>
        </w:tc>
      </w:tr>
      <w:tr w:rsidR="00D130B6" w:rsidRPr="000C1442" w:rsidTr="00911C46">
        <w:tc>
          <w:tcPr>
            <w:tcW w:w="899" w:type="dxa"/>
            <w:shd w:val="clear" w:color="auto" w:fill="auto"/>
          </w:tcPr>
          <w:p w:rsidR="00D130B6" w:rsidRDefault="00D130B6" w:rsidP="00515E91">
            <w:pPr>
              <w:pStyle w:val="IEEEStdsTableData-Left"/>
            </w:pPr>
            <w:r>
              <w:t>CTXT-6</w:t>
            </w:r>
          </w:p>
        </w:tc>
        <w:tc>
          <w:tcPr>
            <w:tcW w:w="1275" w:type="dxa"/>
            <w:shd w:val="clear" w:color="auto" w:fill="auto"/>
          </w:tcPr>
          <w:p w:rsidR="00D130B6" w:rsidRDefault="00D130B6" w:rsidP="00515E91">
            <w:pPr>
              <w:pStyle w:val="IEEEStdsTableData-Left"/>
            </w:pPr>
            <w:r>
              <w:t>Ensemble context</w:t>
            </w:r>
          </w:p>
        </w:tc>
        <w:tc>
          <w:tcPr>
            <w:tcW w:w="3064" w:type="dxa"/>
            <w:shd w:val="clear" w:color="auto" w:fill="auto"/>
          </w:tcPr>
          <w:p w:rsidR="00D130B6" w:rsidRPr="00C31D40" w:rsidRDefault="00D130B6" w:rsidP="00515E91">
            <w:pPr>
              <w:pStyle w:val="IEEEStdsTableData-Left"/>
            </w:pPr>
            <w:r w:rsidRPr="00240FBB">
              <w:t>R0019</w:t>
            </w:r>
          </w:p>
        </w:tc>
        <w:tc>
          <w:tcPr>
            <w:tcW w:w="3416" w:type="dxa"/>
            <w:shd w:val="clear" w:color="auto" w:fill="auto"/>
          </w:tcPr>
          <w:p w:rsidR="00D130B6" w:rsidRPr="00B504B2" w:rsidRDefault="005D093E" w:rsidP="005D093E">
            <w:pPr>
              <w:pStyle w:val="IEEEStdsTableData-Left"/>
            </w:pPr>
            <w:r>
              <w:t xml:space="preserve">If a SERVICE PROVIDER or POC MEDICAL DEVICE is, e.g., capable of determining in which logical group the POC MEDICAL DEVICE is currently operated, this capability SHOULD be expressed in the MDS context with a </w:t>
            </w:r>
            <w:proofErr w:type="spellStart"/>
            <w:proofErr w:type="gramStart"/>
            <w:r>
              <w:t>pm:EnsembleContextDescriptor</w:t>
            </w:r>
            <w:proofErr w:type="spellEnd"/>
            <w:proofErr w:type="gramEnd"/>
            <w:r>
              <w:t>.</w:t>
            </w:r>
          </w:p>
        </w:tc>
      </w:tr>
      <w:tr w:rsidR="00D130B6" w:rsidTr="00F64652">
        <w:tc>
          <w:tcPr>
            <w:tcW w:w="899" w:type="dxa"/>
            <w:shd w:val="clear" w:color="auto" w:fill="auto"/>
          </w:tcPr>
          <w:p w:rsidR="00D130B6" w:rsidRDefault="00D130B6" w:rsidP="00515E91">
            <w:pPr>
              <w:pStyle w:val="IEEEStdsTableData-Left"/>
            </w:pPr>
            <w:r>
              <w:t>CTXT-7</w:t>
            </w:r>
          </w:p>
        </w:tc>
        <w:tc>
          <w:tcPr>
            <w:tcW w:w="1275" w:type="dxa"/>
            <w:shd w:val="clear" w:color="auto" w:fill="auto"/>
          </w:tcPr>
          <w:p w:rsidR="00D130B6" w:rsidRDefault="00D130B6" w:rsidP="00515E91">
            <w:pPr>
              <w:pStyle w:val="IEEEStdsTableData-Left"/>
            </w:pPr>
            <w:r>
              <w:t>Context state create and update.</w:t>
            </w:r>
          </w:p>
        </w:tc>
        <w:tc>
          <w:tcPr>
            <w:tcW w:w="3064" w:type="dxa"/>
            <w:shd w:val="clear" w:color="auto" w:fill="auto"/>
          </w:tcPr>
          <w:p w:rsidR="00D130B6" w:rsidRPr="00C31D40" w:rsidRDefault="00D130B6" w:rsidP="00515E91">
            <w:pPr>
              <w:pStyle w:val="IEEEStdsTableData-Left"/>
            </w:pPr>
            <w:proofErr w:type="spellStart"/>
            <w:proofErr w:type="gramStart"/>
            <w:r w:rsidRPr="00240FBB">
              <w:t>msg:SetContextState</w:t>
            </w:r>
            <w:proofErr w:type="spellEnd"/>
            <w:proofErr w:type="gramEnd"/>
            <w:r w:rsidRPr="00240FBB">
              <w:t>/</w:t>
            </w:r>
            <w:r>
              <w:br/>
            </w:r>
            <w:proofErr w:type="spellStart"/>
            <w:r w:rsidRPr="00240FBB">
              <w:t>msg:ProposedContextState</w:t>
            </w:r>
            <w:proofErr w:type="spellEnd"/>
          </w:p>
        </w:tc>
        <w:tc>
          <w:tcPr>
            <w:tcW w:w="3416" w:type="dxa"/>
            <w:shd w:val="clear" w:color="auto" w:fill="auto"/>
          </w:tcPr>
          <w:p w:rsidR="00D130B6" w:rsidRPr="005D093E" w:rsidRDefault="005D093E" w:rsidP="00515E91">
            <w:pPr>
              <w:pStyle w:val="IEEEStdsTableData-Left"/>
              <w:rPr>
                <w:i/>
                <w:iCs/>
              </w:rPr>
            </w:pPr>
            <w:r w:rsidRPr="005D093E">
              <w:rPr>
                <w:i/>
                <w:iCs/>
              </w:rPr>
              <w:t>[See SCO-</w:t>
            </w:r>
            <w:r w:rsidR="008B0E31">
              <w:rPr>
                <w:i/>
                <w:iCs/>
              </w:rPr>
              <w:t>2</w:t>
            </w:r>
            <w:r w:rsidRPr="005D093E">
              <w:rPr>
                <w:i/>
                <w:iCs/>
              </w:rPr>
              <w:t>]</w:t>
            </w:r>
          </w:p>
        </w:tc>
      </w:tr>
      <w:tr w:rsidR="00D130B6" w:rsidRPr="000C1442" w:rsidTr="00DC527D">
        <w:tc>
          <w:tcPr>
            <w:tcW w:w="899" w:type="dxa"/>
            <w:shd w:val="clear" w:color="auto" w:fill="auto"/>
          </w:tcPr>
          <w:p w:rsidR="00D130B6" w:rsidRPr="008B0E31" w:rsidRDefault="00D130B6" w:rsidP="00515E91">
            <w:pPr>
              <w:pStyle w:val="IEEEStdsTableData-Left"/>
            </w:pPr>
            <w:r w:rsidRPr="008B0E31">
              <w:t>CTXT-8</w:t>
            </w:r>
          </w:p>
        </w:tc>
        <w:tc>
          <w:tcPr>
            <w:tcW w:w="1275" w:type="dxa"/>
            <w:shd w:val="clear" w:color="auto" w:fill="auto"/>
          </w:tcPr>
          <w:p w:rsidR="00D130B6" w:rsidRDefault="00D130B6" w:rsidP="00515E91">
            <w:pPr>
              <w:pStyle w:val="IEEEStdsTableData-Left"/>
            </w:pPr>
            <w:r>
              <w:t>Express quality of measurements regarding patient context related information</w:t>
            </w:r>
          </w:p>
        </w:tc>
        <w:tc>
          <w:tcPr>
            <w:tcW w:w="3064" w:type="dxa"/>
            <w:shd w:val="clear" w:color="auto" w:fill="auto"/>
          </w:tcPr>
          <w:p w:rsidR="00D130B6" w:rsidRPr="00C31D40" w:rsidRDefault="00D130B6" w:rsidP="00515E91">
            <w:pPr>
              <w:pStyle w:val="IEEEStdsTableData-Left"/>
            </w:pPr>
            <w:r w:rsidRPr="00C915AA">
              <w:t>R5012</w:t>
            </w:r>
          </w:p>
        </w:tc>
        <w:tc>
          <w:tcPr>
            <w:tcW w:w="3416" w:type="dxa"/>
            <w:shd w:val="clear" w:color="auto" w:fill="auto"/>
          </w:tcPr>
          <w:p w:rsidR="00D130B6" w:rsidRDefault="005D093E" w:rsidP="005D093E">
            <w:pPr>
              <w:pStyle w:val="IEEEStdsTableData-Left"/>
            </w:pPr>
            <w:r>
              <w:t>If the POC MEDICAL DEVICE itself has patient-related observations (e.g., weight, height) as in- or output, these SHOULD be modelled as METRICs.</w:t>
            </w:r>
          </w:p>
          <w:p w:rsidR="005D093E" w:rsidRPr="005D093E" w:rsidRDefault="005D093E" w:rsidP="005D093E">
            <w:pPr>
              <w:pStyle w:val="IEEEStdsTableData-Left"/>
              <w:rPr>
                <w:i/>
                <w:iCs/>
              </w:rPr>
            </w:pPr>
            <w:r w:rsidRPr="005D093E">
              <w:rPr>
                <w:i/>
                <w:iCs/>
              </w:rPr>
              <w:t>[</w:t>
            </w:r>
            <w:r w:rsidR="008B0E31">
              <w:rPr>
                <w:i/>
                <w:iCs/>
              </w:rPr>
              <w:t xml:space="preserve">is </w:t>
            </w:r>
            <w:r>
              <w:rPr>
                <w:i/>
                <w:iCs/>
              </w:rPr>
              <w:t>validated patient context data good enough from the quality perspective</w:t>
            </w:r>
            <w:r w:rsidR="008B0E31">
              <w:rPr>
                <w:i/>
                <w:iCs/>
              </w:rPr>
              <w:t xml:space="preserve"> or not?</w:t>
            </w:r>
            <w:r w:rsidRPr="005D093E">
              <w:rPr>
                <w:i/>
                <w:iCs/>
              </w:rPr>
              <w:t>]</w:t>
            </w:r>
          </w:p>
        </w:tc>
      </w:tr>
    </w:tbl>
    <w:p w:rsidR="001F130F" w:rsidRPr="001F130F" w:rsidRDefault="001F130F" w:rsidP="001F130F">
      <w:pPr>
        <w:rPr>
          <w:lang w:val="en-US"/>
        </w:rPr>
      </w:pPr>
    </w:p>
    <w:sectPr w:rsidR="001F130F" w:rsidRPr="001F130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C75" w:rsidRDefault="00D33C75" w:rsidP="00D33C75">
      <w:pPr>
        <w:spacing w:after="0" w:line="240" w:lineRule="auto"/>
      </w:pPr>
      <w:r>
        <w:separator/>
      </w:r>
    </w:p>
  </w:endnote>
  <w:endnote w:type="continuationSeparator" w:id="0">
    <w:p w:rsidR="00D33C75" w:rsidRDefault="00D33C75" w:rsidP="00D3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C75" w:rsidRDefault="00D33C75" w:rsidP="00D33C75">
      <w:pPr>
        <w:spacing w:after="0" w:line="240" w:lineRule="auto"/>
      </w:pPr>
      <w:r>
        <w:separator/>
      </w:r>
    </w:p>
  </w:footnote>
  <w:footnote w:type="continuationSeparator" w:id="0">
    <w:p w:rsidR="00D33C75" w:rsidRDefault="00D33C75" w:rsidP="00D33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37"/>
    <w:rsid w:val="000C1442"/>
    <w:rsid w:val="001F130F"/>
    <w:rsid w:val="00211377"/>
    <w:rsid w:val="00254E2A"/>
    <w:rsid w:val="0054069D"/>
    <w:rsid w:val="005D093E"/>
    <w:rsid w:val="00612164"/>
    <w:rsid w:val="006943CA"/>
    <w:rsid w:val="006F76F1"/>
    <w:rsid w:val="007444D4"/>
    <w:rsid w:val="008B0E31"/>
    <w:rsid w:val="009D2E66"/>
    <w:rsid w:val="00B04566"/>
    <w:rsid w:val="00B760AA"/>
    <w:rsid w:val="00D130B6"/>
    <w:rsid w:val="00D33C75"/>
    <w:rsid w:val="00E970E9"/>
    <w:rsid w:val="00EB1737"/>
    <w:rsid w:val="00FA1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5977"/>
  <w15:chartTrackingRefBased/>
  <w15:docId w15:val="{F6813513-0533-4E81-B0A5-2907C6DDF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1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B1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B1737"/>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EB1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173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B1737"/>
    <w:rPr>
      <w:rFonts w:asciiTheme="majorHAnsi" w:eastAsiaTheme="majorEastAsia" w:hAnsiTheme="majorHAnsi" w:cstheme="majorBidi"/>
      <w:color w:val="2E74B5" w:themeColor="accent1" w:themeShade="BF"/>
      <w:sz w:val="32"/>
      <w:szCs w:val="32"/>
    </w:rPr>
  </w:style>
  <w:style w:type="paragraph" w:customStyle="1" w:styleId="IEEEStdsTableColumnHead">
    <w:name w:val="IEEEStds Table Column Head"/>
    <w:basedOn w:val="Standard"/>
    <w:rsid w:val="00EB1737"/>
    <w:pPr>
      <w:keepNext/>
      <w:keepLines/>
      <w:spacing w:after="0" w:line="240" w:lineRule="auto"/>
      <w:jc w:val="center"/>
    </w:pPr>
    <w:rPr>
      <w:rFonts w:ascii="Times New Roman" w:eastAsia="Times New Roman" w:hAnsi="Times New Roman" w:cs="Times New Roman"/>
      <w:b/>
      <w:sz w:val="18"/>
      <w:szCs w:val="20"/>
      <w:lang w:val="en-US" w:eastAsia="ja-JP"/>
    </w:rPr>
  </w:style>
  <w:style w:type="paragraph" w:customStyle="1" w:styleId="IEEEStdsTableData-Left">
    <w:name w:val="IEEEStds Table Data - Left"/>
    <w:basedOn w:val="Standard"/>
    <w:rsid w:val="00EB1737"/>
    <w:pPr>
      <w:keepNext/>
      <w:keepLines/>
      <w:spacing w:after="0" w:line="240" w:lineRule="auto"/>
    </w:pPr>
    <w:rPr>
      <w:rFonts w:ascii="Times New Roman" w:eastAsia="Times New Roman" w:hAnsi="Times New Roman" w:cs="Times New Roman"/>
      <w:sz w:val="18"/>
      <w:szCs w:val="20"/>
      <w:lang w:val="en-US" w:eastAsia="ja-JP"/>
    </w:rPr>
  </w:style>
  <w:style w:type="paragraph" w:styleId="Sprechblasentext">
    <w:name w:val="Balloon Text"/>
    <w:basedOn w:val="Standard"/>
    <w:link w:val="SprechblasentextZchn"/>
    <w:uiPriority w:val="99"/>
    <w:semiHidden/>
    <w:unhideWhenUsed/>
    <w:rsid w:val="001F130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F13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66CC-2BBF-4258-9045-B7A73C97B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918</Words>
  <Characters>5512</Characters>
  <Application>Microsoft Office Word</Application>
  <DocSecurity>0</DocSecurity>
  <Lines>367</Lines>
  <Paragraphs>207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Gregorczyk, David</dc:creator>
  <cp:keywords/>
  <dc:description/>
  <cp:lastModifiedBy>Gregorczyk, David</cp:lastModifiedBy>
  <cp:revision>5</cp:revision>
  <dcterms:created xsi:type="dcterms:W3CDTF">2020-07-21T11:10:00Z</dcterms:created>
  <dcterms:modified xsi:type="dcterms:W3CDTF">2020-07-22T13:45:00Z</dcterms:modified>
</cp:coreProperties>
</file>