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C23" w:rsidRDefault="00EB1737" w:rsidP="00EB1737">
      <w:pPr>
        <w:pStyle w:val="Titel"/>
      </w:pPr>
      <w:r>
        <w:t>MDPWS Features</w:t>
      </w:r>
    </w:p>
    <w:p w:rsidR="00EB1737" w:rsidRDefault="00EB1737" w:rsidP="00EB1737">
      <w:pPr>
        <w:pStyle w:val="berschrift1"/>
      </w:pPr>
      <w:r>
        <w:t>General</w:t>
      </w:r>
    </w:p>
    <w:p w:rsidR="00D33C75" w:rsidRPr="00D33C75" w:rsidRDefault="00D33C75" w:rsidP="00D33C75">
      <w:pPr>
        <w:rPr>
          <w:lang w:val="en-US"/>
        </w:rPr>
      </w:pPr>
      <w:r w:rsidRPr="00D33C75">
        <w:rPr>
          <w:lang w:val="en-US"/>
        </w:rPr>
        <w:t>General MDPWS optional requirements. N</w:t>
      </w:r>
      <w:r>
        <w:rPr>
          <w:lang w:val="en-US"/>
        </w:rPr>
        <w:t>one of them are mandatory and don’t need to be mandatory in order to be interoperable.</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1701"/>
        <w:gridCol w:w="992"/>
        <w:gridCol w:w="5062"/>
        <w:tblGridChange w:id="0">
          <w:tblGrid>
            <w:gridCol w:w="899"/>
            <w:gridCol w:w="1701"/>
            <w:gridCol w:w="992"/>
            <w:gridCol w:w="5062"/>
          </w:tblGrid>
        </w:tblGridChange>
      </w:tblGrid>
      <w:tr w:rsidR="00D33C75" w:rsidTr="00515E91">
        <w:tc>
          <w:tcPr>
            <w:tcW w:w="899" w:type="dxa"/>
            <w:shd w:val="clear" w:color="auto" w:fill="auto"/>
          </w:tcPr>
          <w:p w:rsidR="00D33C75" w:rsidRDefault="00D33C75" w:rsidP="00515E91">
            <w:pPr>
              <w:pStyle w:val="IEEEStdsTableColumnHead"/>
              <w:jc w:val="left"/>
            </w:pPr>
            <w:r>
              <w:t>Index</w:t>
            </w:r>
          </w:p>
        </w:tc>
        <w:tc>
          <w:tcPr>
            <w:tcW w:w="1701" w:type="dxa"/>
            <w:shd w:val="clear" w:color="auto" w:fill="auto"/>
          </w:tcPr>
          <w:p w:rsidR="00D33C75" w:rsidRDefault="00D33C75" w:rsidP="00515E91">
            <w:pPr>
              <w:pStyle w:val="IEEEStdsTableColumnHead"/>
            </w:pPr>
            <w:r>
              <w:t>Feature</w:t>
            </w:r>
          </w:p>
        </w:tc>
        <w:tc>
          <w:tcPr>
            <w:tcW w:w="992" w:type="dxa"/>
            <w:shd w:val="clear" w:color="auto" w:fill="auto"/>
          </w:tcPr>
          <w:p w:rsidR="00D33C75" w:rsidRDefault="00D33C75" w:rsidP="00515E91">
            <w:pPr>
              <w:pStyle w:val="IEEEStdsTableColumnHead"/>
            </w:pPr>
            <w:r>
              <w:t>Reference</w:t>
            </w:r>
          </w:p>
        </w:tc>
        <w:tc>
          <w:tcPr>
            <w:tcW w:w="5062" w:type="dxa"/>
            <w:shd w:val="clear" w:color="auto" w:fill="auto"/>
          </w:tcPr>
          <w:p w:rsidR="00D33C75" w:rsidRDefault="00D33C75" w:rsidP="00515E91">
            <w:pPr>
              <w:pStyle w:val="IEEEStdsTableColumnHead"/>
            </w:pPr>
            <w:r>
              <w:t>Text</w:t>
            </w:r>
          </w:p>
        </w:tc>
      </w:tr>
      <w:tr w:rsidR="00D33C75" w:rsidRPr="00EB1737" w:rsidTr="00515E91">
        <w:tc>
          <w:tcPr>
            <w:tcW w:w="899" w:type="dxa"/>
            <w:shd w:val="clear" w:color="auto" w:fill="auto"/>
          </w:tcPr>
          <w:p w:rsidR="00D33C75" w:rsidRPr="00D33C75" w:rsidRDefault="00D33C75" w:rsidP="00515E91">
            <w:pPr>
              <w:pStyle w:val="IEEEStdsTableData-Left"/>
              <w:rPr>
                <w:strike/>
              </w:rPr>
            </w:pPr>
            <w:r w:rsidRPr="00D33C75">
              <w:rPr>
                <w:strike/>
              </w:rPr>
              <w:t>GEN-1</w:t>
            </w:r>
          </w:p>
        </w:tc>
        <w:tc>
          <w:tcPr>
            <w:tcW w:w="1701" w:type="dxa"/>
            <w:shd w:val="clear" w:color="auto" w:fill="auto"/>
          </w:tcPr>
          <w:p w:rsidR="00D33C75" w:rsidRDefault="00D33C75" w:rsidP="00515E91">
            <w:pPr>
              <w:pStyle w:val="IEEEStdsTableData-Left"/>
            </w:pPr>
            <w:r>
              <w:t>SOAP-over-UDP messaging</w:t>
            </w:r>
          </w:p>
        </w:tc>
        <w:tc>
          <w:tcPr>
            <w:tcW w:w="992" w:type="dxa"/>
            <w:shd w:val="clear" w:color="auto" w:fill="auto"/>
          </w:tcPr>
          <w:p w:rsidR="00D33C75" w:rsidRDefault="00D33C75" w:rsidP="00515E91">
            <w:pPr>
              <w:pStyle w:val="IEEEStdsTableData-Left"/>
            </w:pPr>
            <w:r w:rsidRPr="003976FA">
              <w:t>R0002</w:t>
            </w:r>
          </w:p>
        </w:tc>
        <w:tc>
          <w:tcPr>
            <w:tcW w:w="5062" w:type="dxa"/>
            <w:shd w:val="clear" w:color="auto" w:fill="auto"/>
          </w:tcPr>
          <w:p w:rsidR="00D33C75" w:rsidRDefault="00D33C75" w:rsidP="00515E91">
            <w:pPr>
              <w:pStyle w:val="IEEEStdsTableData-Left"/>
            </w:pPr>
            <w:r w:rsidRPr="00EB1737">
              <w:t>A SERVICE MAY reject a SOAP ENVELOPE received over UDP that has more than MAX_ _UDP_ENVELOPE_SIZE octets if it is received via the discovery port. Otherwise, it SHOULD NOT be rejected.</w:t>
            </w:r>
          </w:p>
        </w:tc>
      </w:tr>
      <w:tr w:rsidR="00D33C75" w:rsidRPr="00EB1737" w:rsidTr="00515E91">
        <w:tc>
          <w:tcPr>
            <w:tcW w:w="899" w:type="dxa"/>
            <w:shd w:val="clear" w:color="auto" w:fill="auto"/>
          </w:tcPr>
          <w:p w:rsidR="00D33C75" w:rsidRPr="00D33C75" w:rsidRDefault="00D33C75" w:rsidP="00515E91">
            <w:pPr>
              <w:pStyle w:val="IEEEStdsTableData-Left"/>
              <w:rPr>
                <w:strike/>
              </w:rPr>
            </w:pPr>
            <w:r w:rsidRPr="00D33C75">
              <w:rPr>
                <w:strike/>
              </w:rPr>
              <w:t>GEN-2</w:t>
            </w:r>
          </w:p>
        </w:tc>
        <w:tc>
          <w:tcPr>
            <w:tcW w:w="1701" w:type="dxa"/>
            <w:shd w:val="clear" w:color="auto" w:fill="auto"/>
          </w:tcPr>
          <w:p w:rsidR="00D33C75" w:rsidRDefault="00D33C75" w:rsidP="00515E91">
            <w:pPr>
              <w:pStyle w:val="IEEEStdsTableData-Left"/>
            </w:pPr>
            <w:r>
              <w:t>SOAP-over-UDP messaging</w:t>
            </w:r>
          </w:p>
        </w:tc>
        <w:tc>
          <w:tcPr>
            <w:tcW w:w="992" w:type="dxa"/>
            <w:shd w:val="clear" w:color="auto" w:fill="auto"/>
          </w:tcPr>
          <w:p w:rsidR="00D33C75" w:rsidRDefault="00D33C75" w:rsidP="00515E91">
            <w:pPr>
              <w:pStyle w:val="IEEEStdsTableData-Left"/>
            </w:pPr>
            <w:r>
              <w:t>R0003</w:t>
            </w:r>
          </w:p>
        </w:tc>
        <w:tc>
          <w:tcPr>
            <w:tcW w:w="5062" w:type="dxa"/>
            <w:shd w:val="clear" w:color="auto" w:fill="auto"/>
          </w:tcPr>
          <w:p w:rsidR="00D33C75" w:rsidRDefault="00D33C75" w:rsidP="00515E91">
            <w:pPr>
              <w:pStyle w:val="IEEEStdsTableData-Left"/>
            </w:pPr>
            <w:r w:rsidRPr="00EB1737">
              <w:t>A CLIENT MAY reject a SOAP ENVELOPE received over UDP that has more than MAX_ _UDP_ENVELOPE_SIZE octets if it is received via the discovery port. Otherwise, it SHOULD NOT be rejected.</w:t>
            </w:r>
          </w:p>
        </w:tc>
      </w:tr>
      <w:tr w:rsidR="00D33C75" w:rsidRPr="00EB1737" w:rsidTr="00515E91">
        <w:tc>
          <w:tcPr>
            <w:tcW w:w="899" w:type="dxa"/>
            <w:shd w:val="clear" w:color="auto" w:fill="auto"/>
          </w:tcPr>
          <w:p w:rsidR="00D33C75" w:rsidRPr="00D33C75" w:rsidRDefault="00D33C75" w:rsidP="00515E91">
            <w:pPr>
              <w:pStyle w:val="IEEEStdsTableData-Left"/>
              <w:rPr>
                <w:strike/>
              </w:rPr>
            </w:pPr>
            <w:r w:rsidRPr="00D33C75">
              <w:rPr>
                <w:strike/>
              </w:rPr>
              <w:t>GEN-3</w:t>
            </w:r>
          </w:p>
        </w:tc>
        <w:tc>
          <w:tcPr>
            <w:tcW w:w="1701" w:type="dxa"/>
            <w:shd w:val="clear" w:color="auto" w:fill="auto"/>
          </w:tcPr>
          <w:p w:rsidR="00D33C75" w:rsidRDefault="00D33C75" w:rsidP="00515E91">
            <w:pPr>
              <w:pStyle w:val="IEEEStdsTableData-Left"/>
            </w:pPr>
            <w:r>
              <w:t>SOAP-over-HTTP messaging</w:t>
            </w:r>
          </w:p>
        </w:tc>
        <w:tc>
          <w:tcPr>
            <w:tcW w:w="992" w:type="dxa"/>
            <w:shd w:val="clear" w:color="auto" w:fill="auto"/>
          </w:tcPr>
          <w:p w:rsidR="00D33C75" w:rsidRDefault="00D33C75" w:rsidP="00515E91">
            <w:pPr>
              <w:pStyle w:val="IEEEStdsTableData-Left"/>
            </w:pPr>
            <w:r>
              <w:t>R0006</w:t>
            </w:r>
          </w:p>
        </w:tc>
        <w:tc>
          <w:tcPr>
            <w:tcW w:w="5062" w:type="dxa"/>
            <w:shd w:val="clear" w:color="auto" w:fill="auto"/>
          </w:tcPr>
          <w:p w:rsidR="00D33C75" w:rsidRDefault="00D33C75" w:rsidP="00515E91">
            <w:pPr>
              <w:pStyle w:val="IEEEStdsTableData-Left"/>
            </w:pPr>
            <w:r w:rsidRPr="00EB1737">
              <w:t>A SERVICE SHOULD NOT send a TEXT SOAP ENVELOPE with more than MAX_LARGE_ENVELOPE_SIZE octets.</w:t>
            </w:r>
          </w:p>
        </w:tc>
      </w:tr>
      <w:tr w:rsidR="00D33C75" w:rsidRPr="00EB1737" w:rsidTr="00515E91">
        <w:tc>
          <w:tcPr>
            <w:tcW w:w="899" w:type="dxa"/>
            <w:shd w:val="clear" w:color="auto" w:fill="auto"/>
          </w:tcPr>
          <w:p w:rsidR="00D33C75" w:rsidRPr="00D33C75" w:rsidRDefault="00D33C75" w:rsidP="00515E91">
            <w:pPr>
              <w:pStyle w:val="IEEEStdsTableData-Left"/>
              <w:rPr>
                <w:strike/>
              </w:rPr>
            </w:pPr>
            <w:r w:rsidRPr="00D33C75">
              <w:rPr>
                <w:strike/>
              </w:rPr>
              <w:t>GEN-4</w:t>
            </w:r>
          </w:p>
        </w:tc>
        <w:tc>
          <w:tcPr>
            <w:tcW w:w="1701" w:type="dxa"/>
            <w:shd w:val="clear" w:color="auto" w:fill="auto"/>
          </w:tcPr>
          <w:p w:rsidR="00D33C75" w:rsidRDefault="00D33C75" w:rsidP="00515E91">
            <w:pPr>
              <w:pStyle w:val="IEEEStdsTableData-Left"/>
            </w:pPr>
            <w:r>
              <w:t>Service Description</w:t>
            </w:r>
          </w:p>
        </w:tc>
        <w:tc>
          <w:tcPr>
            <w:tcW w:w="992" w:type="dxa"/>
            <w:shd w:val="clear" w:color="auto" w:fill="auto"/>
          </w:tcPr>
          <w:p w:rsidR="00D33C75" w:rsidRDefault="00D33C75" w:rsidP="00515E91">
            <w:pPr>
              <w:pStyle w:val="IEEEStdsTableData-Left"/>
            </w:pPr>
            <w:r>
              <w:t>R0012</w:t>
            </w:r>
          </w:p>
        </w:tc>
        <w:tc>
          <w:tcPr>
            <w:tcW w:w="5062" w:type="dxa"/>
            <w:shd w:val="clear" w:color="auto" w:fill="auto"/>
          </w:tcPr>
          <w:p w:rsidR="00D33C75" w:rsidRDefault="00D33C75" w:rsidP="00515E91">
            <w:pPr>
              <w:pStyle w:val="IEEEStdsTableData-Left"/>
            </w:pPr>
            <w:r w:rsidRPr="00EB1737">
              <w:t>If a HOSTED SERVICE receives a MESSAGE that is inconsistent with its WSDL description, the HOSTED SERVICE SHOULD generate a SOAP Fault with a Code Value of "Sender", unless a "</w:t>
            </w:r>
            <w:proofErr w:type="spellStart"/>
            <w:r w:rsidRPr="00EB1737">
              <w:t>MustUnderstand</w:t>
            </w:r>
            <w:proofErr w:type="spellEnd"/>
            <w:r w:rsidRPr="00EB1737">
              <w:t>" or "</w:t>
            </w:r>
            <w:proofErr w:type="spellStart"/>
            <w:r w:rsidRPr="00EB1737">
              <w:t>VersionMismatch</w:t>
            </w:r>
            <w:proofErr w:type="spellEnd"/>
            <w:r w:rsidRPr="00EB1737">
              <w:t>" Fault is generated.</w:t>
            </w:r>
          </w:p>
        </w:tc>
      </w:tr>
    </w:tbl>
    <w:p w:rsidR="00EB1737" w:rsidRDefault="00EB1737" w:rsidP="00EB1737">
      <w:pPr>
        <w:pStyle w:val="berschrift1"/>
        <w:rPr>
          <w:lang w:val="en-US"/>
        </w:rPr>
      </w:pPr>
      <w:r>
        <w:rPr>
          <w:lang w:val="en-US"/>
        </w:rPr>
        <w:t>Streaming</w:t>
      </w:r>
    </w:p>
    <w:p w:rsidR="00D33C75" w:rsidRPr="00D33C75" w:rsidRDefault="00D33C75" w:rsidP="00D33C75">
      <w:pPr>
        <w:rPr>
          <w:lang w:val="en-US"/>
        </w:rPr>
      </w:pPr>
      <w:r>
        <w:rPr>
          <w:lang w:val="en-US"/>
        </w:rPr>
        <w:t>Streaming is a feature of MDPWS to allow sending waveform streams via UDP multicast. Streaming is an optional feature that is not recommended to be used as the data is conveyed using an unsecured channel, and securing the channel requires extra, non-standard-conforming efforts</w:t>
      </w:r>
      <w:r w:rsidR="009D2E66">
        <w:rPr>
          <w:lang w:val="en-US"/>
        </w:rPr>
        <w:t xml:space="preserve"> (establishing a shared key between participants in the UDP multicast cast group). If streaming needs to be supported, every ICS statement except for STRM-4 should be made mandatory.</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1701"/>
        <w:gridCol w:w="992"/>
        <w:gridCol w:w="5062"/>
        <w:tblGridChange w:id="1">
          <w:tblGrid>
            <w:gridCol w:w="899"/>
            <w:gridCol w:w="1701"/>
            <w:gridCol w:w="992"/>
            <w:gridCol w:w="5062"/>
          </w:tblGrid>
        </w:tblGridChange>
      </w:tblGrid>
      <w:tr w:rsidR="00D33C75" w:rsidTr="00515E91">
        <w:tc>
          <w:tcPr>
            <w:tcW w:w="899" w:type="dxa"/>
            <w:shd w:val="clear" w:color="auto" w:fill="auto"/>
          </w:tcPr>
          <w:p w:rsidR="00D33C75" w:rsidRDefault="00D33C75" w:rsidP="00515E91">
            <w:pPr>
              <w:pStyle w:val="IEEEStdsTableColumnHead"/>
              <w:jc w:val="left"/>
            </w:pPr>
            <w:r>
              <w:lastRenderedPageBreak/>
              <w:t>Index</w:t>
            </w:r>
          </w:p>
        </w:tc>
        <w:tc>
          <w:tcPr>
            <w:tcW w:w="1701" w:type="dxa"/>
            <w:shd w:val="clear" w:color="auto" w:fill="auto"/>
          </w:tcPr>
          <w:p w:rsidR="00D33C75" w:rsidRDefault="00D33C75" w:rsidP="00515E91">
            <w:pPr>
              <w:pStyle w:val="IEEEStdsTableColumnHead"/>
            </w:pPr>
            <w:r>
              <w:t>Feature</w:t>
            </w:r>
          </w:p>
        </w:tc>
        <w:tc>
          <w:tcPr>
            <w:tcW w:w="992" w:type="dxa"/>
            <w:shd w:val="clear" w:color="auto" w:fill="auto"/>
          </w:tcPr>
          <w:p w:rsidR="00D33C75" w:rsidRDefault="00D33C75" w:rsidP="00515E91">
            <w:pPr>
              <w:pStyle w:val="IEEEStdsTableColumnHead"/>
            </w:pPr>
            <w:r>
              <w:t>Reference</w:t>
            </w:r>
          </w:p>
        </w:tc>
        <w:tc>
          <w:tcPr>
            <w:tcW w:w="5062" w:type="dxa"/>
            <w:shd w:val="clear" w:color="auto" w:fill="auto"/>
          </w:tcPr>
          <w:p w:rsidR="00D33C75" w:rsidRDefault="00D33C75" w:rsidP="00515E91">
            <w:pPr>
              <w:pStyle w:val="IEEEStdsTableColumnHead"/>
            </w:pPr>
            <w:r>
              <w:t>Text</w:t>
            </w:r>
          </w:p>
        </w:tc>
      </w:tr>
      <w:tr w:rsidR="00D33C75" w:rsidRPr="00EB1737" w:rsidTr="00515E91">
        <w:tc>
          <w:tcPr>
            <w:tcW w:w="899" w:type="dxa"/>
            <w:shd w:val="clear" w:color="auto" w:fill="auto"/>
          </w:tcPr>
          <w:p w:rsidR="00D33C75" w:rsidRDefault="00D33C75" w:rsidP="00515E91">
            <w:pPr>
              <w:pStyle w:val="IEEEStdsTableData-Left"/>
            </w:pPr>
            <w:r>
              <w:t>STRM-1</w:t>
            </w:r>
          </w:p>
        </w:tc>
        <w:tc>
          <w:tcPr>
            <w:tcW w:w="1701" w:type="dxa"/>
            <w:shd w:val="clear" w:color="auto" w:fill="auto"/>
          </w:tcPr>
          <w:p w:rsidR="00D33C75" w:rsidRDefault="00D33C75" w:rsidP="00515E91">
            <w:pPr>
              <w:pStyle w:val="IEEEStdsTableData-Left"/>
            </w:pPr>
            <w:r>
              <w:t>SOAP-over-UDP messaging</w:t>
            </w:r>
          </w:p>
        </w:tc>
        <w:tc>
          <w:tcPr>
            <w:tcW w:w="992" w:type="dxa"/>
            <w:shd w:val="clear" w:color="auto" w:fill="auto"/>
          </w:tcPr>
          <w:p w:rsidR="00D33C75" w:rsidRDefault="00D33C75" w:rsidP="00515E91">
            <w:pPr>
              <w:pStyle w:val="IEEEStdsTableData-Left"/>
            </w:pPr>
            <w:r w:rsidRPr="003976FA">
              <w:t>R0002</w:t>
            </w:r>
          </w:p>
        </w:tc>
        <w:tc>
          <w:tcPr>
            <w:tcW w:w="5062" w:type="dxa"/>
            <w:shd w:val="clear" w:color="auto" w:fill="auto"/>
          </w:tcPr>
          <w:p w:rsidR="00D33C75" w:rsidRDefault="00D33C75" w:rsidP="00515E91">
            <w:pPr>
              <w:pStyle w:val="IEEEStdsTableData-Left"/>
            </w:pPr>
            <w:r w:rsidRPr="00D33C75">
              <w:t>A SERVICE MAY reject a SOAP ENVELOPE received over UDP that has more than MAX_ _UDP_ENVELOPE_SIZE octets if it is received via the discovery port. Otherwise, it SHOULD NOT be rejected.</w:t>
            </w:r>
          </w:p>
        </w:tc>
      </w:tr>
      <w:tr w:rsidR="00D33C75" w:rsidRPr="00EB1737" w:rsidTr="00515E91">
        <w:tc>
          <w:tcPr>
            <w:tcW w:w="899" w:type="dxa"/>
            <w:shd w:val="clear" w:color="auto" w:fill="auto"/>
          </w:tcPr>
          <w:p w:rsidR="00D33C75" w:rsidRDefault="00D33C75" w:rsidP="00515E91">
            <w:pPr>
              <w:pStyle w:val="IEEEStdsTableData-Left"/>
            </w:pPr>
            <w:r>
              <w:t>STRM-2</w:t>
            </w:r>
          </w:p>
        </w:tc>
        <w:tc>
          <w:tcPr>
            <w:tcW w:w="1701" w:type="dxa"/>
            <w:shd w:val="clear" w:color="auto" w:fill="auto"/>
          </w:tcPr>
          <w:p w:rsidR="00D33C75" w:rsidRDefault="00D33C75" w:rsidP="00515E91">
            <w:pPr>
              <w:pStyle w:val="IEEEStdsTableData-Left"/>
            </w:pPr>
            <w:r>
              <w:t>SOAP-over-UDP messaging</w:t>
            </w:r>
          </w:p>
        </w:tc>
        <w:tc>
          <w:tcPr>
            <w:tcW w:w="992" w:type="dxa"/>
            <w:shd w:val="clear" w:color="auto" w:fill="auto"/>
          </w:tcPr>
          <w:p w:rsidR="00D33C75" w:rsidRDefault="00D33C75" w:rsidP="00515E91">
            <w:pPr>
              <w:pStyle w:val="IEEEStdsTableData-Left"/>
            </w:pPr>
            <w:r>
              <w:t>R0003</w:t>
            </w:r>
          </w:p>
        </w:tc>
        <w:tc>
          <w:tcPr>
            <w:tcW w:w="5062" w:type="dxa"/>
            <w:shd w:val="clear" w:color="auto" w:fill="auto"/>
          </w:tcPr>
          <w:p w:rsidR="00D33C75" w:rsidRDefault="00D33C75" w:rsidP="00515E91">
            <w:pPr>
              <w:pStyle w:val="IEEEStdsTableData-Left"/>
            </w:pPr>
            <w:r w:rsidRPr="00D33C75">
              <w:t>A CLIENT MAY reject a SOAP ENVELOPE received over UDP that has more than MAX_ _UDP_ENVELOPE_SIZE octets if it is received via the discovery port. Otherwise, it SHOULD NOT be rejected.</w:t>
            </w:r>
          </w:p>
        </w:tc>
      </w:tr>
      <w:tr w:rsidR="00D33C75" w:rsidRPr="00EB1737" w:rsidTr="00515E91">
        <w:tc>
          <w:tcPr>
            <w:tcW w:w="899" w:type="dxa"/>
            <w:shd w:val="clear" w:color="auto" w:fill="auto"/>
          </w:tcPr>
          <w:p w:rsidR="00D33C75" w:rsidRDefault="00D33C75" w:rsidP="00515E91">
            <w:pPr>
              <w:pStyle w:val="IEEEStdsTableData-Left"/>
            </w:pPr>
            <w:r>
              <w:t>STRM-3</w:t>
            </w:r>
          </w:p>
        </w:tc>
        <w:tc>
          <w:tcPr>
            <w:tcW w:w="1701" w:type="dxa"/>
            <w:shd w:val="clear" w:color="auto" w:fill="auto"/>
          </w:tcPr>
          <w:p w:rsidR="00D33C75" w:rsidRDefault="00D33C75" w:rsidP="00515E91">
            <w:pPr>
              <w:pStyle w:val="IEEEStdsTableData-Left"/>
            </w:pPr>
            <w:r>
              <w:t>Message sequencing</w:t>
            </w:r>
          </w:p>
        </w:tc>
        <w:tc>
          <w:tcPr>
            <w:tcW w:w="992" w:type="dxa"/>
            <w:shd w:val="clear" w:color="auto" w:fill="auto"/>
          </w:tcPr>
          <w:p w:rsidR="00D33C75" w:rsidRDefault="00D33C75" w:rsidP="00515E91">
            <w:pPr>
              <w:pStyle w:val="IEEEStdsTableData-Left"/>
            </w:pPr>
            <w:r>
              <w:t>R0027</w:t>
            </w:r>
          </w:p>
        </w:tc>
        <w:tc>
          <w:tcPr>
            <w:tcW w:w="5062" w:type="dxa"/>
            <w:shd w:val="clear" w:color="auto" w:fill="auto"/>
          </w:tcPr>
          <w:p w:rsidR="00D33C75" w:rsidRDefault="00D33C75" w:rsidP="00515E91">
            <w:pPr>
              <w:pStyle w:val="IEEEStdsTableData-Left"/>
            </w:pPr>
            <w:r w:rsidRPr="00D33C75">
              <w:t xml:space="preserve">If the </w:t>
            </w:r>
            <w:proofErr w:type="spellStart"/>
            <w:r w:rsidRPr="00D33C75">
              <w:t>AppSequence</w:t>
            </w:r>
            <w:proofErr w:type="spellEnd"/>
            <w:r w:rsidRPr="00D33C75">
              <w:t xml:space="preserve"> header from [WS-Discovery] is used to establish MESSAGE sequence numbering, the </w:t>
            </w:r>
            <w:proofErr w:type="spellStart"/>
            <w:r w:rsidRPr="00D33C75">
              <w:t>SequenceId</w:t>
            </w:r>
            <w:proofErr w:type="spellEnd"/>
            <w:r w:rsidRPr="00D33C75">
              <w:t xml:space="preserve"> attribute SHOULD be set to the </w:t>
            </w:r>
            <w:proofErr w:type="spellStart"/>
            <w:proofErr w:type="gramStart"/>
            <w:r w:rsidRPr="00D33C75">
              <w:t>wsa:action</w:t>
            </w:r>
            <w:proofErr w:type="spellEnd"/>
            <w:proofErr w:type="gramEnd"/>
            <w:r w:rsidRPr="00D33C75">
              <w:t xml:space="preserve"> URI of the transmitted MESSAGE and the </w:t>
            </w:r>
            <w:proofErr w:type="spellStart"/>
            <w:r w:rsidRPr="00D33C75">
              <w:t>MessageNumber</w:t>
            </w:r>
            <w:proofErr w:type="spellEnd"/>
            <w:r w:rsidRPr="00D33C75">
              <w:t xml:space="preserve"> attribute SHALL be incremented by 1.</w:t>
            </w:r>
          </w:p>
        </w:tc>
      </w:tr>
      <w:tr w:rsidR="00D33C75" w:rsidRPr="00D33C75" w:rsidTr="00515E91">
        <w:tc>
          <w:tcPr>
            <w:tcW w:w="899" w:type="dxa"/>
            <w:shd w:val="clear" w:color="auto" w:fill="auto"/>
          </w:tcPr>
          <w:p w:rsidR="00D33C75" w:rsidRPr="00D33C75" w:rsidRDefault="00D33C75" w:rsidP="00515E91">
            <w:pPr>
              <w:pStyle w:val="IEEEStdsTableData-Left"/>
              <w:rPr>
                <w:strike/>
              </w:rPr>
            </w:pPr>
            <w:r w:rsidRPr="00D33C75">
              <w:rPr>
                <w:strike/>
              </w:rPr>
              <w:t>STRM-4</w:t>
            </w:r>
          </w:p>
        </w:tc>
        <w:tc>
          <w:tcPr>
            <w:tcW w:w="1701" w:type="dxa"/>
            <w:shd w:val="clear" w:color="auto" w:fill="auto"/>
          </w:tcPr>
          <w:p w:rsidR="00D33C75" w:rsidRDefault="00D33C75" w:rsidP="00515E91">
            <w:pPr>
              <w:pStyle w:val="IEEEStdsTableData-Left"/>
            </w:pPr>
            <w:r>
              <w:t>Ability of dereferencing target namespace</w:t>
            </w:r>
          </w:p>
        </w:tc>
        <w:tc>
          <w:tcPr>
            <w:tcW w:w="992" w:type="dxa"/>
            <w:shd w:val="clear" w:color="auto" w:fill="auto"/>
          </w:tcPr>
          <w:p w:rsidR="00D33C75" w:rsidRDefault="00D33C75" w:rsidP="00515E91">
            <w:pPr>
              <w:pStyle w:val="IEEEStdsTableData-Left"/>
            </w:pPr>
            <w:r>
              <w:t xml:space="preserve">Clause </w:t>
            </w:r>
            <w:r>
              <w:fldChar w:fldCharType="begin"/>
            </w:r>
            <w:r>
              <w:instrText xml:space="preserve"> REF _Ref456869050 \r \h </w:instrText>
            </w:r>
            <w:r>
              <w:fldChar w:fldCharType="separate"/>
            </w:r>
            <w:r>
              <w:t>8.2</w:t>
            </w:r>
            <w:r>
              <w:fldChar w:fldCharType="end"/>
            </w:r>
          </w:p>
        </w:tc>
        <w:tc>
          <w:tcPr>
            <w:tcW w:w="5062" w:type="dxa"/>
            <w:shd w:val="clear" w:color="auto" w:fill="auto"/>
          </w:tcPr>
          <w:p w:rsidR="00D33C75" w:rsidRDefault="00D33C75" w:rsidP="00515E91">
            <w:pPr>
              <w:pStyle w:val="IEEEStdsTableData-Left"/>
            </w:pPr>
            <w:r w:rsidRPr="00D33C75">
              <w:t xml:space="preserve">ATTRIBUTE defines the namespace affiliation of the Stream Types declared within the </w:t>
            </w:r>
            <w:proofErr w:type="spellStart"/>
            <w:r w:rsidRPr="00D33C75">
              <w:t>StreamDescriptions</w:t>
            </w:r>
            <w:proofErr w:type="spellEnd"/>
            <w:r w:rsidRPr="00D33C75">
              <w:t xml:space="preserve">. Its value SHALL be an absolute IRI [RFC 3987]. It SHOULD be </w:t>
            </w:r>
            <w:proofErr w:type="gramStart"/>
            <w:r w:rsidRPr="00D33C75">
              <w:t>dereferenceable .</w:t>
            </w:r>
            <w:proofErr w:type="gramEnd"/>
          </w:p>
        </w:tc>
      </w:tr>
    </w:tbl>
    <w:p w:rsidR="00EB1737" w:rsidRDefault="00EB1737" w:rsidP="00EB1737">
      <w:pPr>
        <w:pStyle w:val="berschrift1"/>
        <w:rPr>
          <w:lang w:val="en-US"/>
        </w:rPr>
      </w:pPr>
      <w:r>
        <w:rPr>
          <w:lang w:val="en-US"/>
        </w:rPr>
        <w:t>Safe data transmission</w:t>
      </w:r>
    </w:p>
    <w:p w:rsidR="009D2E66" w:rsidRPr="009D2E66" w:rsidRDefault="009D2E66" w:rsidP="009D2E66">
      <w:pPr>
        <w:rPr>
          <w:lang w:val="en-US"/>
        </w:rPr>
      </w:pPr>
      <w:r>
        <w:rPr>
          <w:lang w:val="en-US"/>
        </w:rPr>
        <w:t xml:space="preserve">Safe data transmission pertains to single-fault safety and safety contexts. Safe data transmission is an optional feature that requires implementations to process and expose XML on their APIs, hence it is recommended to </w:t>
      </w:r>
      <w:r>
        <w:rPr>
          <w:lang w:val="en-US"/>
        </w:rPr>
        <w:t xml:space="preserve">only </w:t>
      </w:r>
      <w:r>
        <w:rPr>
          <w:lang w:val="en-US"/>
        </w:rPr>
        <w:t>be used in very specific scenarios with pre-defined attribution. If dual-channel (</w:t>
      </w:r>
      <w:r>
        <w:rPr>
          <w:lang w:val="en-US"/>
        </w:rPr>
        <w:t>single-fault safety</w:t>
      </w:r>
      <w:r>
        <w:rPr>
          <w:lang w:val="en-US"/>
        </w:rPr>
        <w:t>)</w:t>
      </w:r>
      <w:r>
        <w:rPr>
          <w:lang w:val="en-US"/>
        </w:rPr>
        <w:t xml:space="preserve"> </w:t>
      </w:r>
      <w:r>
        <w:rPr>
          <w:lang w:val="en-US"/>
        </w:rPr>
        <w:t xml:space="preserve">is used, SAFE-2 and SAFE-3 ought to be mandatory. </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1701"/>
        <w:gridCol w:w="992"/>
        <w:gridCol w:w="5033"/>
        <w:tblGridChange w:id="2">
          <w:tblGrid>
            <w:gridCol w:w="899"/>
            <w:gridCol w:w="1701"/>
            <w:gridCol w:w="992"/>
            <w:gridCol w:w="5033"/>
          </w:tblGrid>
        </w:tblGridChange>
      </w:tblGrid>
      <w:tr w:rsidR="009D2E66" w:rsidTr="00515E91">
        <w:tc>
          <w:tcPr>
            <w:tcW w:w="899" w:type="dxa"/>
            <w:shd w:val="clear" w:color="auto" w:fill="auto"/>
          </w:tcPr>
          <w:p w:rsidR="009D2E66" w:rsidRDefault="009D2E66" w:rsidP="00515E91">
            <w:pPr>
              <w:pStyle w:val="IEEEStdsTableColumnHead"/>
              <w:jc w:val="left"/>
            </w:pPr>
            <w:r>
              <w:t>Index</w:t>
            </w:r>
          </w:p>
        </w:tc>
        <w:tc>
          <w:tcPr>
            <w:tcW w:w="1701" w:type="dxa"/>
            <w:shd w:val="clear" w:color="auto" w:fill="auto"/>
          </w:tcPr>
          <w:p w:rsidR="009D2E66" w:rsidRDefault="009D2E66" w:rsidP="00515E91">
            <w:pPr>
              <w:pStyle w:val="IEEEStdsTableColumnHead"/>
            </w:pPr>
            <w:r>
              <w:t>Feature</w:t>
            </w:r>
          </w:p>
        </w:tc>
        <w:tc>
          <w:tcPr>
            <w:tcW w:w="992" w:type="dxa"/>
            <w:shd w:val="clear" w:color="auto" w:fill="auto"/>
          </w:tcPr>
          <w:p w:rsidR="009D2E66" w:rsidRDefault="009D2E66" w:rsidP="00515E91">
            <w:pPr>
              <w:pStyle w:val="IEEEStdsTableColumnHead"/>
            </w:pPr>
            <w:r>
              <w:t>Reference</w:t>
            </w:r>
          </w:p>
        </w:tc>
        <w:tc>
          <w:tcPr>
            <w:tcW w:w="5033" w:type="dxa"/>
            <w:shd w:val="clear" w:color="auto" w:fill="auto"/>
          </w:tcPr>
          <w:p w:rsidR="009D2E66" w:rsidRDefault="009D2E66" w:rsidP="00515E91">
            <w:pPr>
              <w:pStyle w:val="IEEEStdsTableColumnHead"/>
            </w:pPr>
            <w:r>
              <w:t>Text</w:t>
            </w:r>
          </w:p>
        </w:tc>
      </w:tr>
      <w:tr w:rsidR="009D2E66" w:rsidRPr="00EB1737" w:rsidTr="00515E91">
        <w:tc>
          <w:tcPr>
            <w:tcW w:w="899" w:type="dxa"/>
            <w:shd w:val="clear" w:color="auto" w:fill="auto"/>
          </w:tcPr>
          <w:p w:rsidR="009D2E66" w:rsidRPr="009D2E66" w:rsidRDefault="009D2E66" w:rsidP="00515E91">
            <w:pPr>
              <w:pStyle w:val="IEEEStdsTableData-Left"/>
              <w:rPr>
                <w:strike/>
              </w:rPr>
            </w:pPr>
            <w:r w:rsidRPr="009D2E66">
              <w:rPr>
                <w:strike/>
              </w:rPr>
              <w:t>SAFE-1</w:t>
            </w:r>
          </w:p>
        </w:tc>
        <w:tc>
          <w:tcPr>
            <w:tcW w:w="1701" w:type="dxa"/>
            <w:shd w:val="clear" w:color="auto" w:fill="auto"/>
          </w:tcPr>
          <w:p w:rsidR="009D2E66" w:rsidRDefault="009D2E66" w:rsidP="00515E91">
            <w:pPr>
              <w:pStyle w:val="IEEEStdsTableData-Left"/>
            </w:pPr>
            <w:r>
              <w:t>Safety Requirements Advertising</w:t>
            </w:r>
          </w:p>
        </w:tc>
        <w:tc>
          <w:tcPr>
            <w:tcW w:w="992" w:type="dxa"/>
            <w:shd w:val="clear" w:color="auto" w:fill="auto"/>
          </w:tcPr>
          <w:p w:rsidR="009D2E66" w:rsidRDefault="009D2E66" w:rsidP="00515E91">
            <w:pPr>
              <w:pStyle w:val="IEEEStdsTableData-Left"/>
            </w:pPr>
            <w:r w:rsidRPr="003976FA">
              <w:t>R00</w:t>
            </w:r>
            <w:r>
              <w:t>29</w:t>
            </w:r>
          </w:p>
        </w:tc>
        <w:tc>
          <w:tcPr>
            <w:tcW w:w="5033" w:type="dxa"/>
            <w:shd w:val="clear" w:color="auto" w:fill="auto"/>
          </w:tcPr>
          <w:p w:rsidR="009D2E66" w:rsidRPr="00300771" w:rsidRDefault="009D2E66" w:rsidP="00515E91">
            <w:pPr>
              <w:pStyle w:val="IEEEStdsTableData-Left"/>
            </w:pPr>
            <w:r w:rsidRPr="00D33C75">
              <w:t xml:space="preserve">A DEVICE SHOULD indicate its feature support of clause 9 of this standard by including the </w:t>
            </w:r>
            <w:proofErr w:type="spellStart"/>
            <w:r w:rsidRPr="00D33C75">
              <w:t>SafetyReqAssertion</w:t>
            </w:r>
            <w:proofErr w:type="spellEnd"/>
            <w:r w:rsidRPr="00D33C75">
              <w:t xml:space="preserve"> within its WSDL.</w:t>
            </w:r>
          </w:p>
        </w:tc>
      </w:tr>
      <w:tr w:rsidR="009D2E66" w:rsidRPr="00EB1737" w:rsidTr="00515E91">
        <w:tc>
          <w:tcPr>
            <w:tcW w:w="899" w:type="dxa"/>
            <w:shd w:val="clear" w:color="auto" w:fill="auto"/>
          </w:tcPr>
          <w:p w:rsidR="009D2E66" w:rsidRDefault="009D2E66" w:rsidP="00515E91">
            <w:pPr>
              <w:pStyle w:val="IEEEStdsTableData-Left"/>
            </w:pPr>
            <w:r>
              <w:t>SAFE-2</w:t>
            </w:r>
          </w:p>
        </w:tc>
        <w:tc>
          <w:tcPr>
            <w:tcW w:w="1701" w:type="dxa"/>
            <w:shd w:val="clear" w:color="auto" w:fill="auto"/>
          </w:tcPr>
          <w:p w:rsidR="009D2E66" w:rsidRDefault="009D2E66" w:rsidP="00515E91">
            <w:pPr>
              <w:pStyle w:val="IEEEStdsTableData-Left"/>
            </w:pPr>
            <w:r>
              <w:t>Representation Generation Algorithms</w:t>
            </w:r>
          </w:p>
        </w:tc>
        <w:tc>
          <w:tcPr>
            <w:tcW w:w="992" w:type="dxa"/>
            <w:shd w:val="clear" w:color="auto" w:fill="auto"/>
          </w:tcPr>
          <w:p w:rsidR="009D2E66" w:rsidRDefault="009D2E66" w:rsidP="00515E91">
            <w:pPr>
              <w:pStyle w:val="IEEEStdsTableData-Left"/>
            </w:pPr>
            <w:r w:rsidRPr="003976FA">
              <w:t>R0036</w:t>
            </w:r>
          </w:p>
        </w:tc>
        <w:tc>
          <w:tcPr>
            <w:tcW w:w="5033" w:type="dxa"/>
            <w:shd w:val="clear" w:color="auto" w:fill="auto"/>
          </w:tcPr>
          <w:p w:rsidR="009D2E66" w:rsidRPr="00300771" w:rsidRDefault="009D2E66" w:rsidP="00515E91">
            <w:pPr>
              <w:pStyle w:val="IEEEStdsTableData-Left"/>
            </w:pPr>
            <w:r w:rsidRPr="00D33C75">
              <w:t xml:space="preserve">A DEVICE SHOULD support </w:t>
            </w:r>
            <w:proofErr w:type="gramStart"/>
            <w:r w:rsidRPr="00D33C75">
              <w:t>mdpws:HexSHA</w:t>
            </w:r>
            <w:proofErr w:type="gramEnd"/>
            <w:r w:rsidRPr="00D33C75">
              <w:t>1 if safety-related transmission with a second channel is required.</w:t>
            </w:r>
          </w:p>
        </w:tc>
      </w:tr>
      <w:tr w:rsidR="009D2E66" w:rsidRPr="00EB1737" w:rsidTr="00515E91">
        <w:tc>
          <w:tcPr>
            <w:tcW w:w="899" w:type="dxa"/>
            <w:shd w:val="clear" w:color="auto" w:fill="auto"/>
          </w:tcPr>
          <w:p w:rsidR="009D2E66" w:rsidRDefault="009D2E66" w:rsidP="00515E91">
            <w:pPr>
              <w:pStyle w:val="IEEEStdsTableData-Left"/>
            </w:pPr>
            <w:r>
              <w:t>SAFE-3</w:t>
            </w:r>
          </w:p>
        </w:tc>
        <w:tc>
          <w:tcPr>
            <w:tcW w:w="1701" w:type="dxa"/>
            <w:shd w:val="clear" w:color="auto" w:fill="auto"/>
          </w:tcPr>
          <w:p w:rsidR="009D2E66" w:rsidRDefault="009D2E66" w:rsidP="00515E91">
            <w:pPr>
              <w:pStyle w:val="IEEEStdsTableData-Left"/>
            </w:pPr>
            <w:r>
              <w:t>Transformation Algorithms</w:t>
            </w:r>
          </w:p>
        </w:tc>
        <w:tc>
          <w:tcPr>
            <w:tcW w:w="992" w:type="dxa"/>
            <w:shd w:val="clear" w:color="auto" w:fill="auto"/>
          </w:tcPr>
          <w:p w:rsidR="009D2E66" w:rsidRDefault="009D2E66" w:rsidP="00515E91">
            <w:pPr>
              <w:pStyle w:val="IEEEStdsTableData-Left"/>
            </w:pPr>
            <w:r>
              <w:t>R0039</w:t>
            </w:r>
          </w:p>
        </w:tc>
        <w:tc>
          <w:tcPr>
            <w:tcW w:w="5033" w:type="dxa"/>
            <w:shd w:val="clear" w:color="auto" w:fill="auto"/>
          </w:tcPr>
          <w:p w:rsidR="009D2E66" w:rsidRDefault="009D2E66" w:rsidP="00515E91">
            <w:pPr>
              <w:pStyle w:val="IEEEStdsTableData-Left"/>
            </w:pPr>
            <w:r w:rsidRPr="00D33C75">
              <w:t>A DEVICE SHOULD support mdpws:xml-exc-c14n if safety-related transmission with a second channel is required.</w:t>
            </w:r>
          </w:p>
        </w:tc>
      </w:tr>
    </w:tbl>
    <w:p w:rsidR="00EB1737" w:rsidRDefault="00EB1737" w:rsidP="00EB1737">
      <w:pPr>
        <w:pStyle w:val="berschrift1"/>
        <w:rPr>
          <w:lang w:val="en-US"/>
        </w:rPr>
      </w:pPr>
      <w:r>
        <w:rPr>
          <w:lang w:val="en-US"/>
        </w:rPr>
        <w:t>Compact Representation</w:t>
      </w:r>
    </w:p>
    <w:p w:rsidR="00FA13F2" w:rsidRDefault="009D2E66" w:rsidP="009D2E66">
      <w:pPr>
        <w:rPr>
          <w:lang w:val="en-US"/>
        </w:rPr>
      </w:pPr>
      <w:r>
        <w:rPr>
          <w:lang w:val="en-US"/>
        </w:rPr>
        <w:t>An efficient representation of XML is called EXI. EXI is an optional feature, potentially being a candidate</w:t>
      </w:r>
      <w:r w:rsidR="00FA13F2">
        <w:rPr>
          <w:lang w:val="en-US"/>
        </w:rPr>
        <w:t xml:space="preserve"> for effective and efficient compression. Unfortunately, there is barely any support for EXI in the market and a custom implementation comes at tremendous costs. Hence, it is not recommended to use EXI, but rather switch to </w:t>
      </w:r>
      <w:proofErr w:type="spellStart"/>
      <w:r w:rsidR="00FA13F2">
        <w:rPr>
          <w:lang w:val="en-US"/>
        </w:rPr>
        <w:t>gzip</w:t>
      </w:r>
      <w:proofErr w:type="spellEnd"/>
      <w:r w:rsidR="00FA13F2">
        <w:rPr>
          <w:lang w:val="en-US"/>
        </w:rPr>
        <w:t xml:space="preserve"> or LZ4 which can be negotiated by means of HTTP. HTTP-based compression is not XML-aware and hence XML needs to be serialized first, then to be compressed, whereas EXI instantly generates a compressed data stream from XML </w:t>
      </w:r>
      <w:proofErr w:type="spellStart"/>
      <w:r w:rsidR="00FA13F2">
        <w:rPr>
          <w:lang w:val="en-US"/>
        </w:rPr>
        <w:t>infosets</w:t>
      </w:r>
      <w:proofErr w:type="spellEnd"/>
      <w:r w:rsidR="00FA13F2">
        <w:rPr>
          <w:lang w:val="en-US"/>
        </w:rPr>
        <w:t>.</w:t>
      </w:r>
    </w:p>
    <w:p w:rsidR="00FA13F2" w:rsidRPr="009D2E66" w:rsidRDefault="00FA13F2" w:rsidP="009D2E66">
      <w:pPr>
        <w:rPr>
          <w:lang w:val="en-US"/>
        </w:rPr>
      </w:pPr>
      <w:r>
        <w:rPr>
          <w:lang w:val="en-US"/>
        </w:rPr>
        <w:t xml:space="preserve">If EXI is used, CP-1 and CP-2 are completely free to support or not as this only affects the resulting </w:t>
      </w:r>
      <w:proofErr w:type="gramStart"/>
      <w:r>
        <w:rPr>
          <w:lang w:val="en-US"/>
        </w:rPr>
        <w:t>compression  rate</w:t>
      </w:r>
      <w:proofErr w:type="gramEnd"/>
      <w:r>
        <w:rPr>
          <w:lang w:val="en-US"/>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1701"/>
        <w:gridCol w:w="992"/>
        <w:gridCol w:w="5033"/>
        <w:tblGridChange w:id="3">
          <w:tblGrid>
            <w:gridCol w:w="899"/>
            <w:gridCol w:w="1701"/>
            <w:gridCol w:w="992"/>
            <w:gridCol w:w="5033"/>
          </w:tblGrid>
        </w:tblGridChange>
      </w:tblGrid>
      <w:tr w:rsidR="00EB1737" w:rsidTr="00173F0F">
        <w:tc>
          <w:tcPr>
            <w:tcW w:w="899" w:type="dxa"/>
            <w:shd w:val="clear" w:color="auto" w:fill="auto"/>
          </w:tcPr>
          <w:p w:rsidR="00EB1737" w:rsidRDefault="00EB1737" w:rsidP="00515E91">
            <w:pPr>
              <w:pStyle w:val="IEEEStdsTableColumnHead"/>
              <w:jc w:val="left"/>
            </w:pPr>
            <w:r>
              <w:t>Index</w:t>
            </w:r>
          </w:p>
        </w:tc>
        <w:tc>
          <w:tcPr>
            <w:tcW w:w="1701" w:type="dxa"/>
            <w:shd w:val="clear" w:color="auto" w:fill="auto"/>
          </w:tcPr>
          <w:p w:rsidR="00EB1737" w:rsidRDefault="00EB1737" w:rsidP="00515E91">
            <w:pPr>
              <w:pStyle w:val="IEEEStdsTableColumnHead"/>
            </w:pPr>
            <w:r>
              <w:t>Feature</w:t>
            </w:r>
          </w:p>
        </w:tc>
        <w:tc>
          <w:tcPr>
            <w:tcW w:w="992" w:type="dxa"/>
            <w:shd w:val="clear" w:color="auto" w:fill="auto"/>
          </w:tcPr>
          <w:p w:rsidR="00EB1737" w:rsidRDefault="00EB1737" w:rsidP="00515E91">
            <w:pPr>
              <w:pStyle w:val="IEEEStdsTableColumnHead"/>
            </w:pPr>
            <w:r>
              <w:t>Reference</w:t>
            </w:r>
          </w:p>
        </w:tc>
        <w:tc>
          <w:tcPr>
            <w:tcW w:w="5033" w:type="dxa"/>
            <w:shd w:val="clear" w:color="auto" w:fill="auto"/>
          </w:tcPr>
          <w:p w:rsidR="00EB1737" w:rsidRDefault="00EB1737" w:rsidP="00515E91">
            <w:pPr>
              <w:pStyle w:val="IEEEStdsTableColumnHead"/>
            </w:pPr>
            <w:r>
              <w:t>Text</w:t>
            </w:r>
          </w:p>
        </w:tc>
      </w:tr>
      <w:tr w:rsidR="00EB1737" w:rsidRPr="00EB1737" w:rsidTr="00357936">
        <w:tc>
          <w:tcPr>
            <w:tcW w:w="899" w:type="dxa"/>
            <w:shd w:val="clear" w:color="auto" w:fill="auto"/>
          </w:tcPr>
          <w:p w:rsidR="00EB1737" w:rsidRDefault="00EB1737" w:rsidP="00515E91">
            <w:pPr>
              <w:pStyle w:val="IEEEStdsTableData-Left"/>
            </w:pPr>
            <w:r>
              <w:lastRenderedPageBreak/>
              <w:t>CP-1</w:t>
            </w:r>
          </w:p>
        </w:tc>
        <w:tc>
          <w:tcPr>
            <w:tcW w:w="1701" w:type="dxa"/>
            <w:shd w:val="clear" w:color="auto" w:fill="auto"/>
          </w:tcPr>
          <w:p w:rsidR="00EB1737" w:rsidRDefault="00EB1737" w:rsidP="00515E91">
            <w:pPr>
              <w:pStyle w:val="IEEEStdsTableData-Left"/>
            </w:pPr>
            <w:r>
              <w:t>EXI</w:t>
            </w:r>
          </w:p>
        </w:tc>
        <w:tc>
          <w:tcPr>
            <w:tcW w:w="992" w:type="dxa"/>
            <w:shd w:val="clear" w:color="auto" w:fill="auto"/>
          </w:tcPr>
          <w:p w:rsidR="00EB1737" w:rsidRDefault="00EB1737" w:rsidP="00515E91">
            <w:pPr>
              <w:pStyle w:val="IEEEStdsTableData-Left"/>
            </w:pPr>
            <w:r w:rsidRPr="003976FA">
              <w:t>R00</w:t>
            </w:r>
            <w:r>
              <w:t>22</w:t>
            </w:r>
          </w:p>
        </w:tc>
        <w:tc>
          <w:tcPr>
            <w:tcW w:w="5033" w:type="dxa"/>
            <w:shd w:val="clear" w:color="auto" w:fill="auto"/>
          </w:tcPr>
          <w:p w:rsidR="00EB1737" w:rsidRPr="00300771" w:rsidRDefault="00D33C75" w:rsidP="00515E91">
            <w:pPr>
              <w:pStyle w:val="IEEEStdsTableData-Left"/>
            </w:pPr>
            <w:r w:rsidRPr="00D33C75">
              <w:t xml:space="preserve">If a DEVICE supports EXI, then it SHOULD support </w:t>
            </w:r>
            <w:proofErr w:type="gramStart"/>
            <w:r w:rsidRPr="00D33C75">
              <w:t>schema-informed</w:t>
            </w:r>
            <w:proofErr w:type="gramEnd"/>
            <w:r w:rsidRPr="00D33C75">
              <w:t xml:space="preserve"> EXI streams with compressed option set to true and default values for the other Options [EXI10].</w:t>
            </w:r>
          </w:p>
        </w:tc>
      </w:tr>
      <w:tr w:rsidR="00EB1737" w:rsidRPr="00EB1737" w:rsidTr="007F6A2E">
        <w:tc>
          <w:tcPr>
            <w:tcW w:w="899" w:type="dxa"/>
            <w:shd w:val="clear" w:color="auto" w:fill="auto"/>
          </w:tcPr>
          <w:p w:rsidR="00EB1737" w:rsidRDefault="00EB1737" w:rsidP="00515E91">
            <w:pPr>
              <w:pStyle w:val="IEEEStdsTableData-Left"/>
            </w:pPr>
            <w:r>
              <w:t>CP-2</w:t>
            </w:r>
          </w:p>
        </w:tc>
        <w:tc>
          <w:tcPr>
            <w:tcW w:w="1701" w:type="dxa"/>
            <w:shd w:val="clear" w:color="auto" w:fill="auto"/>
          </w:tcPr>
          <w:p w:rsidR="00EB1737" w:rsidRDefault="00EB1737" w:rsidP="00515E91">
            <w:pPr>
              <w:pStyle w:val="IEEEStdsTableData-Left"/>
            </w:pPr>
            <w:r>
              <w:t>EXI</w:t>
            </w:r>
          </w:p>
        </w:tc>
        <w:tc>
          <w:tcPr>
            <w:tcW w:w="992" w:type="dxa"/>
            <w:shd w:val="clear" w:color="auto" w:fill="auto"/>
          </w:tcPr>
          <w:p w:rsidR="00EB1737" w:rsidRDefault="00EB1737" w:rsidP="00515E91">
            <w:pPr>
              <w:pStyle w:val="IEEEStdsTableData-Left"/>
            </w:pPr>
            <w:r>
              <w:t>R0023</w:t>
            </w:r>
          </w:p>
        </w:tc>
        <w:tc>
          <w:tcPr>
            <w:tcW w:w="5033" w:type="dxa"/>
            <w:shd w:val="clear" w:color="auto" w:fill="auto"/>
          </w:tcPr>
          <w:p w:rsidR="00EB1737" w:rsidRPr="00300771" w:rsidRDefault="00D33C75" w:rsidP="00515E91">
            <w:pPr>
              <w:pStyle w:val="IEEEStdsTableData-Left"/>
            </w:pPr>
            <w:r w:rsidRPr="00D33C75">
              <w:t xml:space="preserve">If a CLIENT supports EXI, then it SHOULD support </w:t>
            </w:r>
            <w:proofErr w:type="gramStart"/>
            <w:r w:rsidRPr="00D33C75">
              <w:t>schema-informed</w:t>
            </w:r>
            <w:proofErr w:type="gramEnd"/>
            <w:r w:rsidRPr="00D33C75">
              <w:t xml:space="preserve"> EXI streams with compressed option set to true and default values for the other Options [EXI10].</w:t>
            </w:r>
          </w:p>
        </w:tc>
      </w:tr>
    </w:tbl>
    <w:p w:rsidR="00EB1737" w:rsidRDefault="00EB1737" w:rsidP="00EB1737">
      <w:pPr>
        <w:pStyle w:val="berschrift1"/>
        <w:rPr>
          <w:lang w:val="en-US"/>
        </w:rPr>
      </w:pPr>
      <w:r>
        <w:rPr>
          <w:lang w:val="en-US"/>
        </w:rPr>
        <w:t>Secured Discovery</w:t>
      </w:r>
    </w:p>
    <w:p w:rsidR="00FA13F2" w:rsidRPr="00FA13F2" w:rsidRDefault="00FA13F2" w:rsidP="00FA13F2">
      <w:pPr>
        <w:rPr>
          <w:lang w:val="en-US"/>
        </w:rPr>
      </w:pPr>
      <w:r>
        <w:rPr>
          <w:lang w:val="en-US"/>
        </w:rPr>
        <w:t>WS-Discovery comes with a mode that supports message integrity, called compact signatures.</w:t>
      </w:r>
      <w:r w:rsidR="0054069D">
        <w:rPr>
          <w:lang w:val="en-US"/>
        </w:rPr>
        <w:t xml:space="preserve"> Compact signatures facilitate participants</w:t>
      </w:r>
      <w:r>
        <w:rPr>
          <w:lang w:val="en-US"/>
        </w:rPr>
        <w:t xml:space="preserve"> to trust any information that is received over multicast. However, computing compact signatures is </w:t>
      </w:r>
      <w:r w:rsidR="0054069D">
        <w:rPr>
          <w:lang w:val="en-US"/>
        </w:rPr>
        <w:t>expensive</w:t>
      </w:r>
      <w:r>
        <w:rPr>
          <w:lang w:val="en-US"/>
        </w:rPr>
        <w:t xml:space="preserve"> </w:t>
      </w:r>
      <w:r w:rsidR="0054069D">
        <w:rPr>
          <w:lang w:val="en-US"/>
        </w:rPr>
        <w:t>and hence might be out of scope for resource constrained devices. Compact signature should never be a mandatory feature.</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1701"/>
        <w:gridCol w:w="992"/>
        <w:gridCol w:w="5033"/>
        <w:tblGridChange w:id="4">
          <w:tblGrid>
            <w:gridCol w:w="899"/>
            <w:gridCol w:w="1701"/>
            <w:gridCol w:w="992"/>
            <w:gridCol w:w="5033"/>
          </w:tblGrid>
        </w:tblGridChange>
      </w:tblGrid>
      <w:tr w:rsidR="00EB1737" w:rsidTr="00E3512A">
        <w:tc>
          <w:tcPr>
            <w:tcW w:w="899" w:type="dxa"/>
            <w:shd w:val="clear" w:color="auto" w:fill="auto"/>
          </w:tcPr>
          <w:p w:rsidR="00EB1737" w:rsidRDefault="00EB1737" w:rsidP="00515E91">
            <w:pPr>
              <w:pStyle w:val="IEEEStdsTableColumnHead"/>
              <w:jc w:val="left"/>
            </w:pPr>
            <w:r>
              <w:t>Index</w:t>
            </w:r>
          </w:p>
        </w:tc>
        <w:tc>
          <w:tcPr>
            <w:tcW w:w="1701" w:type="dxa"/>
            <w:shd w:val="clear" w:color="auto" w:fill="auto"/>
          </w:tcPr>
          <w:p w:rsidR="00EB1737" w:rsidRDefault="00EB1737" w:rsidP="00515E91">
            <w:pPr>
              <w:pStyle w:val="IEEEStdsTableColumnHead"/>
            </w:pPr>
            <w:r>
              <w:t>Feature</w:t>
            </w:r>
          </w:p>
        </w:tc>
        <w:tc>
          <w:tcPr>
            <w:tcW w:w="992" w:type="dxa"/>
            <w:shd w:val="clear" w:color="auto" w:fill="auto"/>
          </w:tcPr>
          <w:p w:rsidR="00EB1737" w:rsidRDefault="00EB1737" w:rsidP="00515E91">
            <w:pPr>
              <w:pStyle w:val="IEEEStdsTableColumnHead"/>
            </w:pPr>
            <w:r>
              <w:t>Reference</w:t>
            </w:r>
          </w:p>
        </w:tc>
        <w:tc>
          <w:tcPr>
            <w:tcW w:w="5033" w:type="dxa"/>
            <w:shd w:val="clear" w:color="auto" w:fill="auto"/>
          </w:tcPr>
          <w:p w:rsidR="00EB1737" w:rsidRDefault="00EB1737" w:rsidP="00515E91">
            <w:pPr>
              <w:pStyle w:val="IEEEStdsTableColumnHead"/>
            </w:pPr>
            <w:r>
              <w:t>Text</w:t>
            </w:r>
          </w:p>
        </w:tc>
      </w:tr>
      <w:tr w:rsidR="00EB1737" w:rsidRPr="00EB1737" w:rsidTr="00EA212A">
        <w:tc>
          <w:tcPr>
            <w:tcW w:w="899" w:type="dxa"/>
            <w:shd w:val="clear" w:color="auto" w:fill="auto"/>
          </w:tcPr>
          <w:p w:rsidR="00EB1737" w:rsidRPr="0054069D" w:rsidRDefault="00EB1737" w:rsidP="00515E91">
            <w:pPr>
              <w:pStyle w:val="IEEEStdsTableData-Left"/>
              <w:rPr>
                <w:strike/>
              </w:rPr>
            </w:pPr>
            <w:r w:rsidRPr="0054069D">
              <w:rPr>
                <w:strike/>
              </w:rPr>
              <w:t>SEC-1</w:t>
            </w:r>
          </w:p>
        </w:tc>
        <w:tc>
          <w:tcPr>
            <w:tcW w:w="1701" w:type="dxa"/>
            <w:shd w:val="clear" w:color="auto" w:fill="auto"/>
          </w:tcPr>
          <w:p w:rsidR="00EB1737" w:rsidRDefault="00EB1737" w:rsidP="00515E91">
            <w:pPr>
              <w:pStyle w:val="IEEEStdsTableData-Left"/>
            </w:pPr>
            <w:r>
              <w:t>Security of Probe MESSAGEs</w:t>
            </w:r>
          </w:p>
        </w:tc>
        <w:tc>
          <w:tcPr>
            <w:tcW w:w="992" w:type="dxa"/>
            <w:shd w:val="clear" w:color="auto" w:fill="auto"/>
          </w:tcPr>
          <w:p w:rsidR="00EB1737" w:rsidRDefault="00EB1737" w:rsidP="00515E91">
            <w:pPr>
              <w:pStyle w:val="IEEEStdsTableData-Left"/>
            </w:pPr>
            <w:r>
              <w:t>R0015</w:t>
            </w:r>
          </w:p>
        </w:tc>
        <w:tc>
          <w:tcPr>
            <w:tcW w:w="5033" w:type="dxa"/>
            <w:shd w:val="clear" w:color="auto" w:fill="auto"/>
          </w:tcPr>
          <w:p w:rsidR="00EB1737" w:rsidRPr="00B504B2" w:rsidRDefault="00D33C75" w:rsidP="00515E91">
            <w:pPr>
              <w:pStyle w:val="IEEEStdsTableData-Left"/>
            </w:pPr>
            <w:r w:rsidRPr="00D33C75">
              <w:t>A DEVICE SHOULD support receiving and responding to a Probe SOAP ENVELOPE over HTTP using a SECURE CHANNEL.</w:t>
            </w:r>
          </w:p>
        </w:tc>
      </w:tr>
    </w:tbl>
    <w:p w:rsidR="001F130F" w:rsidRPr="001F130F" w:rsidRDefault="001F130F" w:rsidP="001D64DC">
      <w:pPr>
        <w:pStyle w:val="berschrift1"/>
        <w:rPr>
          <w:lang w:val="en-US"/>
        </w:rPr>
      </w:pPr>
      <w:bookmarkStart w:id="5" w:name="_GoBack"/>
      <w:bookmarkEnd w:id="5"/>
    </w:p>
    <w:sectPr w:rsidR="001F130F" w:rsidRPr="001F130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C75" w:rsidRDefault="00D33C75" w:rsidP="00D33C75">
      <w:pPr>
        <w:spacing w:after="0" w:line="240" w:lineRule="auto"/>
      </w:pPr>
      <w:r>
        <w:separator/>
      </w:r>
    </w:p>
  </w:endnote>
  <w:endnote w:type="continuationSeparator" w:id="0">
    <w:p w:rsidR="00D33C75" w:rsidRDefault="00D33C75" w:rsidP="00D3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C75" w:rsidRDefault="00D33C75" w:rsidP="00D33C75">
      <w:pPr>
        <w:spacing w:after="0" w:line="240" w:lineRule="auto"/>
      </w:pPr>
      <w:r>
        <w:separator/>
      </w:r>
    </w:p>
  </w:footnote>
  <w:footnote w:type="continuationSeparator" w:id="0">
    <w:p w:rsidR="00D33C75" w:rsidRDefault="00D33C75" w:rsidP="00D33C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37"/>
    <w:rsid w:val="001D64DC"/>
    <w:rsid w:val="001F130F"/>
    <w:rsid w:val="0054069D"/>
    <w:rsid w:val="00612164"/>
    <w:rsid w:val="006943CA"/>
    <w:rsid w:val="009D2E66"/>
    <w:rsid w:val="00D33C75"/>
    <w:rsid w:val="00E970E9"/>
    <w:rsid w:val="00EB1737"/>
    <w:rsid w:val="00FA1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C84C"/>
  <w15:chartTrackingRefBased/>
  <w15:docId w15:val="{F6813513-0533-4E81-B0A5-2907C6DD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1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B1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B1737"/>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B1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173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B1737"/>
    <w:rPr>
      <w:rFonts w:asciiTheme="majorHAnsi" w:eastAsiaTheme="majorEastAsia" w:hAnsiTheme="majorHAnsi" w:cstheme="majorBidi"/>
      <w:color w:val="2E74B5" w:themeColor="accent1" w:themeShade="BF"/>
      <w:sz w:val="32"/>
      <w:szCs w:val="32"/>
    </w:rPr>
  </w:style>
  <w:style w:type="paragraph" w:customStyle="1" w:styleId="IEEEStdsTableColumnHead">
    <w:name w:val="IEEEStds Table Column Head"/>
    <w:basedOn w:val="Standard"/>
    <w:rsid w:val="00EB1737"/>
    <w:pPr>
      <w:keepNext/>
      <w:keepLines/>
      <w:spacing w:after="0" w:line="240" w:lineRule="auto"/>
      <w:jc w:val="center"/>
    </w:pPr>
    <w:rPr>
      <w:rFonts w:ascii="Times New Roman" w:eastAsia="Times New Roman" w:hAnsi="Times New Roman" w:cs="Times New Roman"/>
      <w:b/>
      <w:sz w:val="18"/>
      <w:szCs w:val="20"/>
      <w:lang w:val="en-US" w:eastAsia="ja-JP"/>
    </w:rPr>
  </w:style>
  <w:style w:type="paragraph" w:customStyle="1" w:styleId="IEEEStdsTableData-Left">
    <w:name w:val="IEEEStds Table Data - Left"/>
    <w:basedOn w:val="Standard"/>
    <w:rsid w:val="00EB1737"/>
    <w:pPr>
      <w:keepNext/>
      <w:keepLines/>
      <w:spacing w:after="0" w:line="240" w:lineRule="auto"/>
    </w:pPr>
    <w:rPr>
      <w:rFonts w:ascii="Times New Roman" w:eastAsia="Times New Roman" w:hAnsi="Times New Roman" w:cs="Times New Roman"/>
      <w:sz w:val="18"/>
      <w:szCs w:val="20"/>
      <w:lang w:val="en-US" w:eastAsia="ja-JP"/>
    </w:rPr>
  </w:style>
  <w:style w:type="paragraph" w:styleId="Sprechblasentext">
    <w:name w:val="Balloon Text"/>
    <w:basedOn w:val="Standard"/>
    <w:link w:val="SprechblasentextZchn"/>
    <w:uiPriority w:val="99"/>
    <w:semiHidden/>
    <w:unhideWhenUsed/>
    <w:rsid w:val="001F130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13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2190-514C-4277-9E15-01F965B7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727</Words>
  <Characters>4353</Characters>
  <Application>Microsoft Office Word</Application>
  <DocSecurity>0</DocSecurity>
  <Lines>103</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Gregorczyk, David</dc:creator>
  <cp:keywords/>
  <dc:description/>
  <cp:lastModifiedBy>Gregorczyk, David</cp:lastModifiedBy>
  <cp:revision>3</cp:revision>
  <dcterms:created xsi:type="dcterms:W3CDTF">2020-07-21T11:10:00Z</dcterms:created>
  <dcterms:modified xsi:type="dcterms:W3CDTF">2020-07-22T11:08:00Z</dcterms:modified>
</cp:coreProperties>
</file>