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10603" w14:textId="77777777" w:rsidR="00906C8A" w:rsidRDefault="00906C8A" w:rsidP="00332C60"/>
    <w:p w14:paraId="471085A5" w14:textId="6D552E1D"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5077CE">
        <w:rPr>
          <w:rFonts w:asciiTheme="minorHAnsi" w:hAnsiTheme="minorHAnsi" w:cstheme="minorHAnsi"/>
        </w:rPr>
        <w:t xml:space="preserve">Devices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5FE3DBA3" w14:textId="77777777" w:rsidR="00906C8A" w:rsidRPr="00906C8A" w:rsidRDefault="00906C8A" w:rsidP="00332C60"/>
    <w:p w14:paraId="436DEE1B" w14:textId="1D875AB6"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5077CE">
        <w:rPr>
          <w:rFonts w:asciiTheme="minorHAnsi" w:hAnsiTheme="minorHAnsi" w:cstheme="minorHAnsi"/>
          <w:sz w:val="24"/>
        </w:rPr>
        <w:t>Medical Device Interoperability Reference Architecture (MDIRA)</w:t>
      </w:r>
    </w:p>
    <w:p w14:paraId="6B545F3E" w14:textId="11EEEAC5"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5077CE">
        <w:rPr>
          <w:rFonts w:asciiTheme="minorHAnsi" w:hAnsiTheme="minorHAnsi" w:cstheme="minorHAnsi"/>
        </w:rPr>
        <w:t xml:space="preserve"> </w:t>
      </w:r>
      <w:r w:rsidR="005077CE">
        <w:rPr>
          <w:rFonts w:asciiTheme="minorHAnsi" w:hAnsiTheme="minorHAnsi" w:cstheme="minorHAnsi"/>
        </w:rPr>
        <w:tab/>
      </w:r>
      <w:r w:rsidR="005077CE">
        <w:rPr>
          <w:rFonts w:asciiTheme="minorHAnsi" w:hAnsiTheme="minorHAnsi" w:cstheme="minorHAnsi"/>
        </w:rPr>
        <w:tab/>
        <w:t>Todd Cooper</w:t>
      </w:r>
    </w:p>
    <w:p w14:paraId="1ED6BAC5" w14:textId="08CCCF51"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5077CE">
        <w:rPr>
          <w:rFonts w:asciiTheme="minorHAnsi" w:hAnsiTheme="minorHAnsi" w:cstheme="minorHAnsi"/>
        </w:rPr>
        <w:tab/>
      </w:r>
      <w:r w:rsidR="005077CE">
        <w:rPr>
          <w:rFonts w:asciiTheme="minorHAnsi" w:hAnsiTheme="minorHAnsi" w:cstheme="minorHAnsi"/>
        </w:rPr>
        <w:tab/>
        <w:t>JHU/APL Team, incl. Todd Cooper</w:t>
      </w:r>
    </w:p>
    <w:p w14:paraId="2EC7EB1D" w14:textId="60D71472"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5077CE">
        <w:rPr>
          <w:rFonts w:asciiTheme="minorHAnsi" w:hAnsiTheme="minorHAnsi" w:cstheme="minorHAnsi"/>
        </w:rPr>
        <w:tab/>
      </w:r>
      <w:r w:rsidR="005077CE">
        <w:rPr>
          <w:rFonts w:asciiTheme="minorHAnsi" w:hAnsiTheme="minorHAnsi" w:cstheme="minorHAnsi"/>
        </w:rPr>
        <w:tab/>
      </w:r>
      <w:r w:rsidR="005077CE">
        <w:rPr>
          <w:rFonts w:asciiTheme="minorHAnsi" w:hAnsiTheme="minorHAnsi" w:cstheme="minorHAnsi"/>
        </w:rPr>
        <w:tab/>
        <w:t>2020.09.18</w:t>
      </w:r>
    </w:p>
    <w:p w14:paraId="46937F51" w14:textId="53BEBDBC"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5077CE">
        <w:rPr>
          <w:rFonts w:asciiTheme="minorHAnsi" w:hAnsiTheme="minorHAnsi" w:cstheme="minorHAnsi"/>
        </w:rPr>
        <w:tab/>
      </w:r>
      <w:r w:rsidR="005077CE">
        <w:rPr>
          <w:rFonts w:asciiTheme="minorHAnsi" w:hAnsiTheme="minorHAnsi" w:cstheme="minorHAnsi"/>
        </w:rPr>
        <w:tab/>
      </w:r>
      <w:r w:rsidR="005077CE">
        <w:rPr>
          <w:rFonts w:asciiTheme="minorHAnsi" w:hAnsiTheme="minorHAnsi" w:cstheme="minorHAnsi"/>
        </w:rPr>
        <w:tab/>
      </w:r>
      <w:r w:rsidR="00686BCF">
        <w:rPr>
          <w:rFonts w:asciiTheme="minorHAnsi" w:hAnsiTheme="minorHAnsi" w:cstheme="minorHAnsi"/>
        </w:rPr>
        <w:t>1.</w:t>
      </w:r>
      <w:r w:rsidR="00825ECC">
        <w:rPr>
          <w:rFonts w:asciiTheme="minorHAnsi" w:hAnsiTheme="minorHAnsi" w:cstheme="minorHAnsi"/>
        </w:rPr>
        <w:t>1</w:t>
      </w:r>
    </w:p>
    <w:p w14:paraId="238820B7" w14:textId="346C683B"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5077CE">
        <w:rPr>
          <w:rFonts w:asciiTheme="minorHAnsi" w:hAnsiTheme="minorHAnsi" w:cstheme="minorHAnsi"/>
        </w:rPr>
        <w:tab/>
      </w:r>
      <w:r w:rsidR="005077CE">
        <w:rPr>
          <w:rFonts w:asciiTheme="minorHAnsi" w:hAnsiTheme="minorHAnsi" w:cstheme="minorHAnsi"/>
        </w:rPr>
        <w:tab/>
      </w:r>
      <w:r w:rsidR="005077CE">
        <w:rPr>
          <w:rFonts w:asciiTheme="minorHAnsi" w:hAnsiTheme="minorHAnsi" w:cstheme="minorHAnsi"/>
        </w:rPr>
        <w:tab/>
        <w:t>Devices</w:t>
      </w:r>
    </w:p>
    <w:p w14:paraId="385BE19A"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73161041" w14:textId="65BB2A16" w:rsidR="005077CE" w:rsidRDefault="005077CE" w:rsidP="00825ECC">
      <w:pPr>
        <w:ind w:left="360"/>
        <w:rPr>
          <w:rFonts w:asciiTheme="minorHAnsi" w:hAnsiTheme="minorHAnsi" w:cstheme="minorHAnsi"/>
        </w:rPr>
      </w:pPr>
      <w:r>
        <w:rPr>
          <w:rFonts w:asciiTheme="minorHAnsi" w:hAnsiTheme="minorHAnsi" w:cstheme="minorHAnsi"/>
        </w:rPr>
        <w:t>The Johns Hopkins University / Applied Physics Lab (JHU/APL)</w:t>
      </w:r>
      <w:r w:rsidR="000F6C62">
        <w:rPr>
          <w:rFonts w:asciiTheme="minorHAnsi" w:hAnsiTheme="minorHAnsi" w:cstheme="minorHAnsi"/>
        </w:rPr>
        <w:t xml:space="preserve"> has been conducting applied </w:t>
      </w:r>
      <w:r w:rsidR="00825ECC" w:rsidRPr="00825ECC">
        <w:rPr>
          <w:rFonts w:asciiTheme="minorHAnsi" w:hAnsiTheme="minorHAnsi" w:cstheme="minorHAnsi"/>
        </w:rPr>
        <w:t xml:space="preserve">research </w:t>
      </w:r>
      <w:r w:rsidR="00825ECC" w:rsidRPr="00825ECC">
        <w:rPr>
          <w:rFonts w:asciiTheme="minorHAnsi" w:hAnsiTheme="minorHAnsi" w:cstheme="minorHAnsi"/>
          <w:b/>
          <w:bCs/>
          <w:i/>
          <w:iCs/>
        </w:rPr>
        <w:t xml:space="preserve">for </w:t>
      </w:r>
      <w:r w:rsidR="00825ECC" w:rsidRPr="00825ECC">
        <w:rPr>
          <w:rFonts w:asciiTheme="minorHAnsi" w:hAnsiTheme="minorHAnsi" w:cstheme="minorHAnsi"/>
          <w:b/>
          <w:bCs/>
          <w:i/>
          <w:iCs/>
        </w:rPr>
        <w:t>technical architectures to support autonomous medical systems for prolonged care in austere environments and hospitals of the future</w:t>
      </w:r>
      <w:r w:rsidR="00825ECC">
        <w:rPr>
          <w:rFonts w:asciiTheme="minorHAnsi" w:hAnsiTheme="minorHAnsi" w:cstheme="minorHAnsi"/>
        </w:rPr>
        <w:t>.  This resulted in</w:t>
      </w:r>
      <w:r w:rsidR="000F6C62">
        <w:rPr>
          <w:rFonts w:asciiTheme="minorHAnsi" w:hAnsiTheme="minorHAnsi" w:cstheme="minorHAnsi"/>
        </w:rPr>
        <w:t xml:space="preserve"> the specification of a Medical Device Interoperability Reference Architecture (MDIRA) </w:t>
      </w:r>
      <w:r w:rsidR="001C172D">
        <w:rPr>
          <w:rFonts w:asciiTheme="minorHAnsi" w:hAnsiTheme="minorHAnsi" w:cstheme="minorHAnsi"/>
        </w:rPr>
        <w:t xml:space="preserve">that utilizes the Integrated Clinical Environment (ICE) framework standardized by ASTM and now AAMI 2700 series.  In building a MDIRA Reference Implementation (RI), the MDIRA team utilized the ISO/IEEE 11073 Service-oriented Device Connectivity (SDC) standards, creating a service-oriented ICE </w:t>
      </w:r>
      <w:r w:rsidR="008E55B5">
        <w:rPr>
          <w:rFonts w:asciiTheme="minorHAnsi" w:hAnsiTheme="minorHAnsi" w:cstheme="minorHAnsi"/>
        </w:rPr>
        <w:t xml:space="preserve">prototype demonstration </w:t>
      </w:r>
      <w:r w:rsidR="001C172D">
        <w:rPr>
          <w:rFonts w:asciiTheme="minorHAnsi" w:hAnsiTheme="minorHAnsi" w:cstheme="minorHAnsi"/>
        </w:rPr>
        <w:t>implementation</w:t>
      </w:r>
      <w:r w:rsidR="008E55B5">
        <w:rPr>
          <w:rFonts w:asciiTheme="minorHAnsi" w:hAnsiTheme="minorHAnsi" w:cstheme="minorHAnsi"/>
        </w:rPr>
        <w:t xml:space="preserve"> </w:t>
      </w:r>
      <w:r w:rsidR="001C172D">
        <w:rPr>
          <w:rFonts w:asciiTheme="minorHAnsi" w:hAnsiTheme="minorHAnsi" w:cstheme="minorHAnsi"/>
        </w:rPr>
        <w:t xml:space="preserve"> of the MDIRA specification. </w:t>
      </w:r>
    </w:p>
    <w:p w14:paraId="3E07E5ED" w14:textId="654CACBE" w:rsidR="001C172D" w:rsidRDefault="001C172D" w:rsidP="00D47856">
      <w:pPr>
        <w:ind w:left="360"/>
        <w:rPr>
          <w:rFonts w:asciiTheme="minorHAnsi" w:hAnsiTheme="minorHAnsi" w:cstheme="minorHAnsi"/>
        </w:rPr>
      </w:pPr>
      <w:r>
        <w:rPr>
          <w:rFonts w:asciiTheme="minorHAnsi" w:hAnsiTheme="minorHAnsi" w:cstheme="minorHAnsi"/>
        </w:rPr>
        <w:t xml:space="preserve">The specific </w:t>
      </w:r>
      <w:r w:rsidR="008E55B5">
        <w:rPr>
          <w:rFonts w:asciiTheme="minorHAnsi" w:hAnsiTheme="minorHAnsi" w:cstheme="minorHAnsi"/>
        </w:rPr>
        <w:t>challenges and opportunities related to</w:t>
      </w:r>
      <w:r>
        <w:rPr>
          <w:rFonts w:asciiTheme="minorHAnsi" w:hAnsiTheme="minorHAnsi" w:cstheme="minorHAnsi"/>
        </w:rPr>
        <w:t xml:space="preserve"> </w:t>
      </w:r>
      <w:r w:rsidR="008E55B5">
        <w:rPr>
          <w:rFonts w:asciiTheme="minorHAnsi" w:hAnsiTheme="minorHAnsi" w:cstheme="minorHAnsi"/>
        </w:rPr>
        <w:t xml:space="preserve">Device Point-of-care Interoperability (DPI) is well established … for decades.  The specific APL MDIRA program value proposition is well illustrated in the video referenced in the following section.  Once the reference implementation is completed, though, demonstrating the feasibility and value of the MDIRA, the </w:t>
      </w:r>
      <w:r w:rsidR="008E55B5" w:rsidRPr="008E55B5">
        <w:rPr>
          <w:rFonts w:asciiTheme="minorHAnsi" w:hAnsiTheme="minorHAnsi" w:cstheme="minorHAnsi"/>
          <w:b/>
          <w:bCs/>
          <w:i/>
          <w:iCs/>
        </w:rPr>
        <w:t>next problem</w:t>
      </w:r>
      <w:r w:rsidR="008E55B5">
        <w:rPr>
          <w:rFonts w:asciiTheme="minorHAnsi" w:hAnsiTheme="minorHAnsi" w:cstheme="minorHAnsi"/>
        </w:rPr>
        <w:t xml:space="preserve"> is how to advance toward establishing an ecosystem of conformant, interoperable acute care medical device products.  </w:t>
      </w:r>
    </w:p>
    <w:p w14:paraId="19B70E6E"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3F12D2AD" w14:textId="45FAF4B9" w:rsidR="008E55B5" w:rsidRDefault="008E55B5" w:rsidP="00E12C05">
      <w:pPr>
        <w:ind w:left="360"/>
        <w:rPr>
          <w:rFonts w:asciiTheme="minorHAnsi" w:hAnsiTheme="minorHAnsi" w:cstheme="minorHAnsi"/>
        </w:rPr>
      </w:pPr>
      <w:r>
        <w:rPr>
          <w:rFonts w:asciiTheme="minorHAnsi" w:hAnsiTheme="minorHAnsi" w:cstheme="minorHAnsi"/>
        </w:rPr>
        <w:t xml:space="preserve">The JHU/APL MDIRA project use cases are well documented on the </w:t>
      </w:r>
      <w:hyperlink r:id="rId7" w:history="1">
        <w:r w:rsidRPr="008E55B5">
          <w:rPr>
            <w:rStyle w:val="Hyperlink"/>
            <w:rFonts w:asciiTheme="minorHAnsi" w:hAnsiTheme="minorHAnsi" w:cstheme="minorHAnsi"/>
          </w:rPr>
          <w:t>project’s public web site</w:t>
        </w:r>
      </w:hyperlink>
      <w:r>
        <w:rPr>
          <w:rFonts w:asciiTheme="minorHAnsi" w:hAnsiTheme="minorHAnsi" w:cstheme="minorHAnsi"/>
        </w:rPr>
        <w:t xml:space="preserve">, as well as illustrated in a </w:t>
      </w:r>
      <w:hyperlink r:id="rId8" w:history="1">
        <w:r w:rsidRPr="008E55B5">
          <w:rPr>
            <w:rStyle w:val="Hyperlink"/>
            <w:rFonts w:asciiTheme="minorHAnsi" w:hAnsiTheme="minorHAnsi" w:cstheme="minorHAnsi"/>
          </w:rPr>
          <w:t>video (YouTube)</w:t>
        </w:r>
      </w:hyperlink>
      <w:r>
        <w:rPr>
          <w:rFonts w:asciiTheme="minorHAnsi" w:hAnsiTheme="minorHAnsi" w:cstheme="minorHAnsi"/>
        </w:rPr>
        <w:t xml:space="preserve">.  </w:t>
      </w:r>
      <w:r w:rsidR="00510E0C">
        <w:rPr>
          <w:rFonts w:asciiTheme="minorHAnsi" w:hAnsiTheme="minorHAnsi" w:cstheme="minorHAnsi"/>
        </w:rPr>
        <w:t xml:space="preserve">Analysis of this use case was also included in the </w:t>
      </w:r>
      <w:hyperlink r:id="rId9" w:history="1">
        <w:r w:rsidR="00510E0C" w:rsidRPr="00510E0C">
          <w:rPr>
            <w:rStyle w:val="Hyperlink"/>
            <w:rFonts w:asciiTheme="minorHAnsi" w:hAnsiTheme="minorHAnsi" w:cstheme="minorHAnsi"/>
          </w:rPr>
          <w:t>IHE SDPi White Paper</w:t>
        </w:r>
      </w:hyperlink>
      <w:r w:rsidR="00510E0C">
        <w:rPr>
          <w:rFonts w:asciiTheme="minorHAnsi" w:hAnsiTheme="minorHAnsi" w:cstheme="minorHAnsi"/>
        </w:rPr>
        <w:t xml:space="preserve">, as well as inclusion of the ICE-related use cases in the </w:t>
      </w:r>
      <w:hyperlink r:id="rId10" w:history="1">
        <w:r w:rsidR="00510E0C" w:rsidRPr="00510E0C">
          <w:rPr>
            <w:rStyle w:val="Hyperlink"/>
            <w:rFonts w:asciiTheme="minorHAnsi" w:hAnsiTheme="minorHAnsi" w:cstheme="minorHAnsi"/>
          </w:rPr>
          <w:t>SDPi White Paper – Use Case Compendium document</w:t>
        </w:r>
      </w:hyperlink>
      <w:r w:rsidR="00510E0C">
        <w:rPr>
          <w:rFonts w:asciiTheme="minorHAnsi" w:hAnsiTheme="minorHAnsi" w:cstheme="minorHAnsi"/>
        </w:rPr>
        <w:t xml:space="preserve">.   Additionally, as part of the Gemini MDI using SDPi+FHIR project, </w:t>
      </w:r>
      <w:r w:rsidR="00510E0C">
        <w:rPr>
          <w:rFonts w:asciiTheme="minorHAnsi" w:hAnsiTheme="minorHAnsi" w:cstheme="minorHAnsi"/>
        </w:rPr>
        <w:lastRenderedPageBreak/>
        <w:t xml:space="preserve">in anticipation of this profile proposal a </w:t>
      </w:r>
      <w:hyperlink r:id="rId11" w:history="1">
        <w:r w:rsidR="00510E0C" w:rsidRPr="00510E0C">
          <w:rPr>
            <w:rStyle w:val="Hyperlink"/>
            <w:rFonts w:asciiTheme="minorHAnsi" w:hAnsiTheme="minorHAnsi" w:cstheme="minorHAnsi"/>
          </w:rPr>
          <w:t>confluence page with additional reference materials was created for the MDIRA Narrative</w:t>
        </w:r>
      </w:hyperlink>
      <w:r w:rsidR="00510E0C">
        <w:rPr>
          <w:rFonts w:asciiTheme="minorHAnsi" w:hAnsiTheme="minorHAnsi" w:cstheme="minorHAnsi"/>
        </w:rPr>
        <w:t>.</w:t>
      </w:r>
    </w:p>
    <w:p w14:paraId="1B939267" w14:textId="015C37EB" w:rsidR="000F6C62" w:rsidRPr="000F6C62" w:rsidRDefault="00825ECC" w:rsidP="00E12C05">
      <w:pPr>
        <w:ind w:left="360"/>
        <w:rPr>
          <w:rFonts w:asciiTheme="minorHAnsi" w:hAnsiTheme="minorHAnsi" w:cstheme="minorHAnsi"/>
        </w:rPr>
      </w:pPr>
      <w:r>
        <w:rPr>
          <w:rFonts w:asciiTheme="minorHAnsi" w:hAnsiTheme="minorHAnsi" w:cstheme="minorHAnsi"/>
        </w:rPr>
        <w:t xml:space="preserve">Specific use cases </w:t>
      </w:r>
      <w:r w:rsidRPr="00825ECC">
        <w:rPr>
          <w:rFonts w:asciiTheme="minorHAnsi" w:hAnsiTheme="minorHAnsi" w:cstheme="minorHAnsi"/>
        </w:rPr>
        <w:t xml:space="preserve">focus on </w:t>
      </w:r>
      <w:r w:rsidRPr="00825ECC">
        <w:rPr>
          <w:rFonts w:asciiTheme="minorHAnsi" w:hAnsiTheme="minorHAnsi" w:cstheme="minorHAnsi"/>
          <w:b/>
          <w:bCs/>
          <w:i/>
          <w:iCs/>
        </w:rPr>
        <w:t>trauma and critical care in austere environments</w:t>
      </w:r>
      <w:r>
        <w:rPr>
          <w:rFonts w:asciiTheme="minorHAnsi" w:hAnsiTheme="minorHAnsi" w:cstheme="minorHAnsi"/>
          <w:b/>
          <w:bCs/>
          <w:i/>
          <w:iCs/>
        </w:rPr>
        <w:t>, including military conflict and natural disaster contexts.</w:t>
      </w:r>
    </w:p>
    <w:p w14:paraId="1425EFD1" w14:textId="77777777"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0F846619" w14:textId="79EC994F" w:rsidR="00F423E4" w:rsidRDefault="00F423E4" w:rsidP="00BC69BB">
      <w:pPr>
        <w:ind w:left="360"/>
        <w:rPr>
          <w:rFonts w:asciiTheme="minorHAnsi" w:hAnsiTheme="minorHAnsi" w:cstheme="minorHAnsi"/>
        </w:rPr>
      </w:pPr>
      <w:r>
        <w:rPr>
          <w:rFonts w:asciiTheme="minorHAnsi" w:hAnsiTheme="minorHAnsi" w:cstheme="minorHAnsi"/>
        </w:rPr>
        <w:t>The Gemini SDPi+FHIR program’s Hanging Gardens framework establishes the context for the MDIRA profile being proposed:</w:t>
      </w:r>
    </w:p>
    <w:p w14:paraId="111D547C" w14:textId="2E9650F9" w:rsidR="00F423E4" w:rsidRDefault="00F423E4" w:rsidP="00F423E4">
      <w:pPr>
        <w:ind w:left="360"/>
        <w:jc w:val="center"/>
        <w:rPr>
          <w:rFonts w:asciiTheme="minorHAnsi" w:hAnsiTheme="minorHAnsi" w:cstheme="minorHAnsi"/>
        </w:rPr>
      </w:pPr>
      <w:r>
        <w:rPr>
          <w:rFonts w:asciiTheme="minorHAnsi" w:hAnsiTheme="minorHAnsi" w:cstheme="minorHAnsi"/>
          <w:noProof/>
        </w:rPr>
        <w:drawing>
          <wp:inline distT="0" distB="0" distL="0" distR="0" wp14:anchorId="57AD393F" wp14:editId="3747F4B8">
            <wp:extent cx="3302442" cy="2463004"/>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02442" cy="2463004"/>
                    </a:xfrm>
                    <a:prstGeom prst="rect">
                      <a:avLst/>
                    </a:prstGeom>
                  </pic:spPr>
                </pic:pic>
              </a:graphicData>
            </a:graphic>
          </wp:inline>
        </w:drawing>
      </w:r>
    </w:p>
    <w:p w14:paraId="363C1CE1" w14:textId="1FB688F4" w:rsidR="000F6C62" w:rsidRDefault="00F423E4" w:rsidP="00BC69BB">
      <w:pPr>
        <w:ind w:left="360"/>
        <w:rPr>
          <w:rFonts w:asciiTheme="minorHAnsi" w:hAnsiTheme="minorHAnsi" w:cstheme="minorHAnsi"/>
        </w:rPr>
      </w:pPr>
      <w:r>
        <w:rPr>
          <w:rFonts w:asciiTheme="minorHAnsi" w:hAnsiTheme="minorHAnsi" w:cstheme="minorHAnsi"/>
        </w:rPr>
        <w:t>Specifically, the IHE Devices MDIRA profile would be part of the “</w:t>
      </w:r>
      <w:r w:rsidRPr="00742370">
        <w:rPr>
          <w:rFonts w:asciiTheme="minorHAnsi" w:hAnsiTheme="minorHAnsi" w:cstheme="minorHAnsi"/>
          <w:i/>
          <w:iCs/>
        </w:rPr>
        <w:t>SDPi+FHIR Profiles / IGs</w:t>
      </w:r>
      <w:r>
        <w:rPr>
          <w:rFonts w:asciiTheme="minorHAnsi" w:hAnsiTheme="minorHAnsi" w:cstheme="minorHAnsi"/>
        </w:rPr>
        <w:t xml:space="preserve">” layer, and would leverage </w:t>
      </w:r>
      <w:r w:rsidR="00742370">
        <w:rPr>
          <w:rFonts w:asciiTheme="minorHAnsi" w:hAnsiTheme="minorHAnsi" w:cstheme="minorHAnsi"/>
        </w:rPr>
        <w:t>the other standards identified in the model, including:</w:t>
      </w:r>
    </w:p>
    <w:p w14:paraId="196CB7C5" w14:textId="47FF1EDD" w:rsidR="00742370" w:rsidRDefault="00742370" w:rsidP="00742370">
      <w:pPr>
        <w:pStyle w:val="ListParagraph"/>
        <w:numPr>
          <w:ilvl w:val="0"/>
          <w:numId w:val="32"/>
        </w:numPr>
        <w:rPr>
          <w:rFonts w:asciiTheme="minorHAnsi" w:hAnsiTheme="minorHAnsi" w:cstheme="minorHAnsi"/>
        </w:rPr>
      </w:pPr>
      <w:r>
        <w:rPr>
          <w:rFonts w:asciiTheme="minorHAnsi" w:hAnsiTheme="minorHAnsi" w:cstheme="minorHAnsi"/>
        </w:rPr>
        <w:t xml:space="preserve">JHU/APL MDIRA Specification (ver 1.1) </w:t>
      </w:r>
    </w:p>
    <w:p w14:paraId="5EB2C19F" w14:textId="315B6C69" w:rsidR="00742370" w:rsidRDefault="00742370" w:rsidP="00742370">
      <w:pPr>
        <w:pStyle w:val="ListParagraph"/>
        <w:numPr>
          <w:ilvl w:val="0"/>
          <w:numId w:val="32"/>
        </w:numPr>
        <w:rPr>
          <w:rFonts w:asciiTheme="minorHAnsi" w:hAnsiTheme="minorHAnsi" w:cstheme="minorHAnsi"/>
        </w:rPr>
      </w:pPr>
      <w:r>
        <w:rPr>
          <w:rFonts w:asciiTheme="minorHAnsi" w:hAnsiTheme="minorHAnsi" w:cstheme="minorHAnsi"/>
        </w:rPr>
        <w:t>IHE SDPi Profiles (and profiled ISO/IEEE 11073 SDC standards)</w:t>
      </w:r>
    </w:p>
    <w:p w14:paraId="1B5AD7C1" w14:textId="3AFBDB97" w:rsidR="00742370" w:rsidRPr="00742370" w:rsidRDefault="00742370" w:rsidP="00742370">
      <w:pPr>
        <w:pStyle w:val="ListParagraph"/>
        <w:numPr>
          <w:ilvl w:val="0"/>
          <w:numId w:val="32"/>
        </w:numPr>
        <w:rPr>
          <w:rFonts w:asciiTheme="minorHAnsi" w:hAnsiTheme="minorHAnsi" w:cstheme="minorHAnsi"/>
        </w:rPr>
      </w:pPr>
      <w:r>
        <w:rPr>
          <w:rFonts w:asciiTheme="minorHAnsi" w:hAnsiTheme="minorHAnsi" w:cstheme="minorHAnsi"/>
        </w:rPr>
        <w:t>AAMI 2700-1 ICE standard &amp; 2700-2 Forensics Data Logger (draft) standard</w:t>
      </w:r>
    </w:p>
    <w:p w14:paraId="5D86E683" w14:textId="3F50C459" w:rsidR="00742370" w:rsidRPr="00742370" w:rsidRDefault="00742370" w:rsidP="00742370">
      <w:pPr>
        <w:ind w:left="360"/>
        <w:rPr>
          <w:rFonts w:asciiTheme="minorHAnsi" w:hAnsiTheme="minorHAnsi" w:cstheme="minorHAnsi"/>
        </w:rPr>
      </w:pPr>
      <w:r>
        <w:rPr>
          <w:rFonts w:asciiTheme="minorHAnsi" w:hAnsiTheme="minorHAnsi" w:cstheme="minorHAnsi"/>
        </w:rPr>
        <w:t>Note:  Items (1) and (3) are both included in the “</w:t>
      </w:r>
      <w:r w:rsidRPr="00742370">
        <w:rPr>
          <w:rFonts w:asciiTheme="minorHAnsi" w:hAnsiTheme="minorHAnsi" w:cstheme="minorHAnsi"/>
          <w:i/>
          <w:iCs/>
        </w:rPr>
        <w:t>Ref. Arch. / Frameworks</w:t>
      </w:r>
      <w:r>
        <w:rPr>
          <w:rFonts w:asciiTheme="minorHAnsi" w:hAnsiTheme="minorHAnsi" w:cstheme="minorHAnsi"/>
        </w:rPr>
        <w:t>” layer.</w:t>
      </w:r>
    </w:p>
    <w:p w14:paraId="6BD140BB" w14:textId="6B23F550"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55AD28C3" w14:textId="74DD11C0" w:rsidR="008B4AD1" w:rsidRDefault="00F423E4" w:rsidP="00F423E4">
      <w:pPr>
        <w:ind w:left="360"/>
        <w:rPr>
          <w:rFonts w:asciiTheme="minorHAnsi" w:hAnsiTheme="minorHAnsi" w:cstheme="minorHAnsi"/>
        </w:rPr>
      </w:pPr>
      <w:r>
        <w:rPr>
          <w:rFonts w:asciiTheme="minorHAnsi" w:hAnsiTheme="minorHAnsi" w:cstheme="minorHAnsi"/>
        </w:rPr>
        <w:t>As the JHU/APL MDIRA work advances to potential product implementations, the IHE Devices Technical Framework, especially the SDPi profiles, and the IHE processes around product-focused profiling specification development, prototyping, testing and ultimately conformity assessment, provides the perfect avenue for creating a community of interest for advancing MDIRA-based profile specifications and product implementations.</w:t>
      </w:r>
    </w:p>
    <w:p w14:paraId="359F8CD7" w14:textId="77777777" w:rsidR="00906C8A" w:rsidRPr="00906C8A" w:rsidRDefault="00906C8A" w:rsidP="000F6C62">
      <w:pPr>
        <w:rPr>
          <w:rFonts w:asciiTheme="minorHAnsi" w:hAnsiTheme="minorHAnsi" w:cstheme="minorHAnsi"/>
        </w:rPr>
      </w:pPr>
    </w:p>
    <w:sectPr w:rsidR="00906C8A" w:rsidRPr="00906C8A" w:rsidSect="00090364">
      <w:headerReference w:type="default" r:id="rId13"/>
      <w:footerReference w:type="default" r:id="rId14"/>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25AE5" w14:textId="77777777" w:rsidR="003276B5" w:rsidRDefault="003276B5" w:rsidP="00906C8A">
      <w:pPr>
        <w:spacing w:before="0" w:after="0"/>
      </w:pPr>
      <w:r>
        <w:separator/>
      </w:r>
    </w:p>
  </w:endnote>
  <w:endnote w:type="continuationSeparator" w:id="0">
    <w:p w14:paraId="4A71C9D8" w14:textId="77777777" w:rsidR="003276B5" w:rsidRDefault="003276B5"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9BB09" w14:textId="74E28373" w:rsidR="00906C8A" w:rsidRPr="00906C8A" w:rsidRDefault="00510E0C">
    <w:pPr>
      <w:pStyle w:val="Footer"/>
      <w:rPr>
        <w:rFonts w:asciiTheme="minorHAnsi" w:hAnsiTheme="minorHAnsi" w:cstheme="minorHAnsi"/>
      </w:rPr>
    </w:pPr>
    <w:r>
      <w:t>IHE DEV Brief Profile Proposal – MDIRA</w:t>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3D582" w14:textId="77777777" w:rsidR="003276B5" w:rsidRDefault="003276B5" w:rsidP="00906C8A">
      <w:pPr>
        <w:spacing w:before="0" w:after="0"/>
      </w:pPr>
      <w:r>
        <w:separator/>
      </w:r>
    </w:p>
  </w:footnote>
  <w:footnote w:type="continuationSeparator" w:id="0">
    <w:p w14:paraId="0EF421BA" w14:textId="77777777" w:rsidR="003276B5" w:rsidRDefault="003276B5"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4E151" w14:textId="541ECF23" w:rsidR="005077CE" w:rsidRDefault="005077CE" w:rsidP="005077CE">
    <w:pPr>
      <w:pStyle w:val="Header"/>
      <w:jc w:val="center"/>
    </w:pPr>
    <w:r>
      <w:rPr>
        <w:noProof/>
      </w:rPr>
      <w:drawing>
        <wp:inline distT="0" distB="0" distL="0" distR="0" wp14:anchorId="24C32694" wp14:editId="00B1E736">
          <wp:extent cx="3240074" cy="117232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5655" cy="1199673"/>
                  </a:xfrm>
                  <a:prstGeom prst="rect">
                    <a:avLst/>
                  </a:prstGeom>
                  <a:noFill/>
                  <a:ln>
                    <a:noFill/>
                  </a:ln>
                </pic:spPr>
              </pic:pic>
            </a:graphicData>
          </a:graphic>
        </wp:inline>
      </w:drawing>
    </w:r>
  </w:p>
  <w:p w14:paraId="6663E242" w14:textId="77777777"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AD103B0"/>
    <w:multiLevelType w:val="hybridMultilevel"/>
    <w:tmpl w:val="33D03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31"/>
  </w:num>
  <w:num w:numId="3">
    <w:abstractNumId w:val="20"/>
  </w:num>
  <w:num w:numId="4">
    <w:abstractNumId w:val="23"/>
  </w:num>
  <w:num w:numId="5">
    <w:abstractNumId w:val="27"/>
  </w:num>
  <w:num w:numId="6">
    <w:abstractNumId w:val="12"/>
  </w:num>
  <w:num w:numId="7">
    <w:abstractNumId w:val="14"/>
  </w:num>
  <w:num w:numId="8">
    <w:abstractNumId w:val="16"/>
  </w:num>
  <w:num w:numId="9">
    <w:abstractNumId w:val="13"/>
  </w:num>
  <w:num w:numId="10">
    <w:abstractNumId w:val="28"/>
  </w:num>
  <w:num w:numId="11">
    <w:abstractNumId w:val="26"/>
  </w:num>
  <w:num w:numId="12">
    <w:abstractNumId w:val="25"/>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1"/>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030"/>
    <w:rsid w:val="00014F88"/>
    <w:rsid w:val="0008723D"/>
    <w:rsid w:val="00090364"/>
    <w:rsid w:val="000A3F5B"/>
    <w:rsid w:val="000A71D3"/>
    <w:rsid w:val="000E4389"/>
    <w:rsid w:val="000F6C62"/>
    <w:rsid w:val="00136F5D"/>
    <w:rsid w:val="00144030"/>
    <w:rsid w:val="00192B2A"/>
    <w:rsid w:val="001C172D"/>
    <w:rsid w:val="001E56B8"/>
    <w:rsid w:val="0023355F"/>
    <w:rsid w:val="00247417"/>
    <w:rsid w:val="00323B7A"/>
    <w:rsid w:val="003276B5"/>
    <w:rsid w:val="00332C60"/>
    <w:rsid w:val="00341401"/>
    <w:rsid w:val="003939C6"/>
    <w:rsid w:val="003A0912"/>
    <w:rsid w:val="0043520D"/>
    <w:rsid w:val="004864F8"/>
    <w:rsid w:val="004A66ED"/>
    <w:rsid w:val="005077CE"/>
    <w:rsid w:val="00510E0C"/>
    <w:rsid w:val="005B4D01"/>
    <w:rsid w:val="005E5451"/>
    <w:rsid w:val="00686BCF"/>
    <w:rsid w:val="006A702C"/>
    <w:rsid w:val="006C490F"/>
    <w:rsid w:val="0070040F"/>
    <w:rsid w:val="007204EA"/>
    <w:rsid w:val="00742370"/>
    <w:rsid w:val="00767C3E"/>
    <w:rsid w:val="008177FA"/>
    <w:rsid w:val="00825ECC"/>
    <w:rsid w:val="00853214"/>
    <w:rsid w:val="008B4AD1"/>
    <w:rsid w:val="008E55B5"/>
    <w:rsid w:val="00906C8A"/>
    <w:rsid w:val="009A5908"/>
    <w:rsid w:val="009F3BF2"/>
    <w:rsid w:val="00A127EC"/>
    <w:rsid w:val="00A905F1"/>
    <w:rsid w:val="00AB0338"/>
    <w:rsid w:val="00AD7A95"/>
    <w:rsid w:val="00B03D95"/>
    <w:rsid w:val="00B14182"/>
    <w:rsid w:val="00B42FF5"/>
    <w:rsid w:val="00BC2136"/>
    <w:rsid w:val="00BC5D7C"/>
    <w:rsid w:val="00BC69BB"/>
    <w:rsid w:val="00C41197"/>
    <w:rsid w:val="00C416A7"/>
    <w:rsid w:val="00C9039E"/>
    <w:rsid w:val="00CD10EA"/>
    <w:rsid w:val="00CE3BCF"/>
    <w:rsid w:val="00CE4331"/>
    <w:rsid w:val="00D24697"/>
    <w:rsid w:val="00D47856"/>
    <w:rsid w:val="00D827A1"/>
    <w:rsid w:val="00E12C05"/>
    <w:rsid w:val="00E32C0D"/>
    <w:rsid w:val="00E66DDA"/>
    <w:rsid w:val="00EA6E52"/>
    <w:rsid w:val="00F405F0"/>
    <w:rsid w:val="00F423E4"/>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8D60F"/>
  <w15:docId w15:val="{256FA531-A905-4E65-AF6F-53BD71C7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742370"/>
    <w:pPr>
      <w:ind w:left="720"/>
      <w:contextualSpacing/>
    </w:pPr>
  </w:style>
  <w:style w:type="character" w:styleId="UnresolvedMention">
    <w:name w:val="Unresolved Mention"/>
    <w:basedOn w:val="DefaultParagraphFont"/>
    <w:uiPriority w:val="99"/>
    <w:semiHidden/>
    <w:unhideWhenUsed/>
    <w:rsid w:val="008E5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EdWZgn8EoQI"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ecwww.jhuapl.edu/mdira/"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fluence.hl7.org/x/GA7x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he.net/uploadedFiles/Documents/PCD/IHE_PCD_WP_SDPi_UseCases_Rev1-1_Pub_2019-11-01.pdf" TargetMode="External"/><Relationship Id="rId4" Type="http://schemas.openxmlformats.org/officeDocument/2006/relationships/webSettings" Target="webSettings.xml"/><Relationship Id="rId9" Type="http://schemas.openxmlformats.org/officeDocument/2006/relationships/hyperlink" Target="https://www.ihe.net/uploadedFiles/Documents/PCD/IHE_PCD_WP_SDPi_Rev1-1_Pub_2019-11-01.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 DEV MDIRA Brief Profile Proposal</dc:title>
  <dc:creator>Kevin O'Donnell</dc:creator>
  <cp:lastModifiedBy>Todd Cooper</cp:lastModifiedBy>
  <cp:revision>11</cp:revision>
  <cp:lastPrinted>2001-08-16T23:03:00Z</cp:lastPrinted>
  <dcterms:created xsi:type="dcterms:W3CDTF">2013-07-24T17:13:00Z</dcterms:created>
  <dcterms:modified xsi:type="dcterms:W3CDTF">2020-09-18T19:47:00Z</dcterms:modified>
</cp:coreProperties>
</file>