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120" w:after="0"/>
        <w:rPr/>
      </w:pPr>
      <w:r>
        <w:rPr/>
        <w:t>IHE Change Proposal</w:t>
      </w:r>
    </w:p>
    <w:p>
      <w:pPr>
        <w:pStyle w:val="TextBody"/>
        <w:tabs>
          <w:tab w:val="left" w:pos="9180" w:leader="none"/>
        </w:tabs>
        <w:rPr>
          <w:strike/>
        </w:rPr>
      </w:pPr>
      <w:r>
        <w:rPr>
          <w:strike/>
        </w:rPr>
        <w:tab/>
      </w:r>
    </w:p>
    <w:p>
      <w:pPr>
        <w:pStyle w:val="TableTitle"/>
        <w:rPr/>
      </w:pPr>
      <w:r>
        <w:rPr/>
        <w:t>Tracking information:</w:t>
      </w:r>
    </w:p>
    <w:tbl>
      <w:tblPr>
        <w:tblW w:w="958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788"/>
        <w:gridCol w:w="4797"/>
      </w:tblGrid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IHE Domain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Patient Care Device (PCD)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Change Proposal ID: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CP-PCD-149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Change Proposal Status: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Final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Date of last update: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2020-05-13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Person assigned: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rPr>
                <w:szCs w:val="18"/>
              </w:rPr>
            </w:pPr>
            <w:r>
              <w:rPr>
                <w:szCs w:val="18"/>
              </w:rPr>
              <w:t>Bill Haralson</w:t>
            </w:r>
          </w:p>
        </w:tc>
      </w:tr>
    </w:tbl>
    <w:p>
      <w:pPr>
        <w:pStyle w:val="TableTitle"/>
        <w:rPr/>
      </w:pPr>
      <w:r>
        <w:rPr/>
      </w:r>
    </w:p>
    <w:p>
      <w:pPr>
        <w:pStyle w:val="TableTitle"/>
        <w:rPr/>
      </w:pPr>
      <w:r>
        <w:rPr/>
        <w:t>Change Proposal Summary information:</w:t>
      </w:r>
    </w:p>
    <w:tbl>
      <w:tblPr>
        <w:tblW w:w="958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788"/>
        <w:gridCol w:w="4797"/>
      </w:tblGrid>
      <w:tr>
        <w:trPr>
          <w:cantSplit w:val="true"/>
        </w:trPr>
        <w:tc>
          <w:tcPr>
            <w:tcW w:w="95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Header"/>
              <w:spacing w:before="40" w:after="40"/>
              <w:jc w:val="center"/>
              <w:rPr/>
            </w:pPr>
            <w:r>
              <w:rPr/>
              <w:t>Adding information regarding additional Route values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Submitter’s Name(s) and e-mail address(es):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Bill Haralson, bill.haralson@smiths-medical.com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Submission Date: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2020-05-14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Integration Profile(s) affected: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Communicate Infusion Order (PIV)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Actor(s) affected: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>
                <w:color w:val="FF0000"/>
              </w:rPr>
            </w:pPr>
            <w:r>
              <w:rPr/>
              <w:t>Infusion Order Programmer(IOP) and Infusion Order Consumer (IOC)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IHE Technical Framework or Supplement modified: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PCD TF revision 9.0, dated Dec 12, 2019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Volume(s) and Section(s) affected:</w:t>
            </w:r>
          </w:p>
        </w:tc>
        <w:tc>
          <w:tcPr>
            <w:tcW w:w="4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 xml:space="preserve">IHE PCD TF Vol 2, </w:t>
            </w:r>
          </w:p>
          <w:p>
            <w:pPr>
              <w:pStyle w:val="TableEntry"/>
              <w:rPr/>
            </w:pPr>
            <w:r>
              <w:rPr/>
              <w:t>Section 3.3.4.4.9 OBX – Observation/Result Segment</w:t>
            </w:r>
          </w:p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Appendix 3.3.4.4.10.2 –  Bolus from existing infusion</w:t>
            </w:r>
          </w:p>
        </w:tc>
      </w:tr>
      <w:tr>
        <w:trPr>
          <w:cantSplit w:val="true"/>
        </w:trPr>
        <w:tc>
          <w:tcPr>
            <w:tcW w:w="95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>Rationale for Change:</w:t>
            </w:r>
          </w:p>
          <w:p>
            <w:pPr>
              <w:pStyle w:val="TableEntry"/>
              <w:rPr/>
            </w:pPr>
            <w:r>
              <w:rPr/>
              <w:t>Add additional intermittent bolus dose related OBX segments to the list of pump programming OBX segments .</w:t>
            </w:r>
          </w:p>
          <w:p>
            <w:pPr>
              <w:pStyle w:val="TableEntry"/>
              <w:spacing w:before="40" w:after="40"/>
              <w:ind w:left="72" w:right="72" w:hanging="0"/>
              <w:rPr/>
            </w:pPr>
            <w:r>
              <w:rPr/>
              <w:t xml:space="preserve">Corrections to section on Clinician Bolus Dose (CH order type). </w:t>
            </w:r>
          </w:p>
        </w:tc>
      </w:tr>
    </w:tbl>
    <w:p>
      <w:pPr>
        <w:pStyle w:val="EditorInstructions"/>
        <w:keepNext/>
        <w:keepLines/>
        <w:rPr/>
      </w:pPr>
      <w:r>
        <w:rPr>
          <w:b/>
        </w:rPr>
        <w:t>Section 3.3.4.4.9  – OBX Observation Result Segment</w:t>
      </w:r>
      <w:r>
        <w:rPr/>
        <w:t>, under the OBX-3 Observation Identifier subsection, add the following parameters to the Pump Programming Parameters list: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240" w:before="0" w:after="24"/>
        <w:contextualSpacing/>
        <w:rPr>
          <w:rFonts w:ascii="Arial" w:hAnsi="Arial" w:eastAsia="Times New Roman" w:cs="Arial"/>
          <w:sz w:val="19"/>
          <w:szCs w:val="19"/>
        </w:rPr>
      </w:pPr>
      <w:r>
        <w:rPr>
          <w:rFonts w:eastAsia="Times New Roman" w:cs="Arial" w:ascii="Arial" w:hAnsi="Arial"/>
          <w:sz w:val="19"/>
          <w:szCs w:val="19"/>
        </w:rPr>
        <w:t>157998^MDC_TIME_PD_DOSE_START_INTERVAL^MDC</w:t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240" w:before="0" w:after="24"/>
        <w:contextualSpacing/>
        <w:rPr>
          <w:rFonts w:ascii="Arial" w:hAnsi="Arial" w:eastAsia="Times New Roman" w:cs="Arial"/>
          <w:sz w:val="19"/>
          <w:szCs w:val="19"/>
        </w:rPr>
      </w:pPr>
      <w:r>
        <w:rPr>
          <w:rFonts w:eastAsia="Times New Roman" w:cs="Arial" w:ascii="Arial" w:hAnsi="Arial"/>
          <w:sz w:val="19"/>
          <w:szCs w:val="19"/>
        </w:rPr>
        <w:t xml:space="preserve">0^MDCX_DOSE_INTERMITTENT^MDC </w:t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240" w:before="0" w:after="24"/>
        <w:contextualSpacing/>
        <w:rPr>
          <w:rFonts w:ascii="Arial" w:hAnsi="Arial" w:eastAsia="Times New Roman" w:cs="Arial"/>
          <w:sz w:val="19"/>
          <w:szCs w:val="19"/>
        </w:rPr>
      </w:pPr>
      <w:r>
        <w:rPr>
          <w:rFonts w:eastAsia="Times New Roman" w:cs="Arial" w:ascii="Arial" w:hAnsi="Arial"/>
          <w:sz w:val="19"/>
          <w:szCs w:val="19"/>
        </w:rPr>
        <w:t>0^MDCX_TIME_PROG_NEXT_DOSE^MDC</w:t>
      </w:r>
    </w:p>
    <w:p>
      <w:pPr>
        <w:pStyle w:val="ListParagraph"/>
        <w:shd w:val="clear" w:fill="FFFFFF"/>
        <w:spacing w:lineRule="auto" w:line="240" w:before="0" w:after="24"/>
        <w:ind w:left="360" w:hanging="0"/>
        <w:contextualSpacing/>
        <w:rPr>
          <w:rFonts w:ascii="Arial" w:hAnsi="Arial" w:eastAsia="Times New Roman" w:cs="Arial"/>
          <w:color w:val="000000"/>
          <w:sz w:val="19"/>
          <w:szCs w:val="19"/>
        </w:rPr>
      </w:pPr>
      <w:r>
        <w:rPr>
          <w:rFonts w:eastAsia="Times New Roman" w:cs="Arial" w:ascii="Arial" w:hAnsi="Arial"/>
          <w:color w:val="000000"/>
          <w:sz w:val="19"/>
          <w:szCs w:val="19"/>
        </w:rPr>
      </w:r>
    </w:p>
    <w:p>
      <w:pPr>
        <w:pStyle w:val="EditorInstructions"/>
        <w:keepNext/>
        <w:keepLines/>
        <w:rPr/>
      </w:pPr>
      <w:r>
        <w:rPr>
          <w:sz w:val="23"/>
          <w:szCs w:val="23"/>
        </w:rPr>
        <w:t>.</w:t>
      </w:r>
      <w:r>
        <w:rPr>
          <w:b/>
        </w:rPr>
        <w:t xml:space="preserve"> Section 3.3.4.4.10.2  – Bolus from existing infusion</w:t>
      </w:r>
      <w:r>
        <w:rPr/>
        <w:t>, under the OBX-3 Observation Identifier sub section, change the column heading “OBX segment with OBX-5 = MDCX_INFUSION_PROGRAM_TYPE = clinician-dose” to the following: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OBX segment with OBX-3 = MDCX_INFUSION_PROGRAM_TYPE and OBX-5 = clinician-dose</w:t>
      </w:r>
    </w:p>
    <w:p>
      <w:pPr>
        <w:pStyle w:val="Default"/>
        <w:rPr/>
      </w:pPr>
      <w:r>
        <w:rPr/>
      </w:r>
    </w:p>
    <w:p>
      <w:pPr>
        <w:pStyle w:val="EditorInstructions"/>
        <w:keepNext/>
        <w:keepLines/>
        <w:rPr/>
      </w:pPr>
      <w:r>
        <w:rPr>
          <w:sz w:val="23"/>
          <w:szCs w:val="23"/>
        </w:rPr>
        <w:t>.</w:t>
      </w:r>
      <w:r>
        <w:rPr>
          <w:b/>
        </w:rPr>
        <w:t xml:space="preserve"> Section 3.3.4.4.10.2  – Bolus from existing infusion</w:t>
      </w:r>
      <w:r>
        <w:rPr/>
        <w:t>, under the OBX-3 Observation Identifier sub section, change the column heading “OBX segment with OBX-5 = MDC_FLOW_FLUID_PUMP” to the following: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/>
      </w:pPr>
      <w:r>
        <w:rPr/>
        <w:t>OBX segment with OBX-3 = MDC_FLOW_FLUID_PUMP</w:t>
      </w:r>
    </w:p>
    <w:p>
      <w:pPr>
        <w:pStyle w:val="Default"/>
        <w:rPr/>
      </w:pPr>
      <w:r>
        <w:rPr/>
      </w:r>
    </w:p>
    <w:p>
      <w:pPr>
        <w:pStyle w:val="EditorInstructions"/>
        <w:keepNext/>
        <w:keepLines/>
        <w:rPr/>
      </w:pPr>
      <w:r>
        <w:rPr>
          <w:sz w:val="23"/>
          <w:szCs w:val="23"/>
        </w:rPr>
        <w:t>.</w:t>
      </w:r>
      <w:r>
        <w:rPr>
          <w:b/>
        </w:rPr>
        <w:t xml:space="preserve"> Section 3.3.4.4.10.2  – Bolus from existing infusion</w:t>
      </w:r>
      <w:r>
        <w:rPr/>
        <w:t>, under the OBX-3 Observation Identifier sub section, replace the three bulletted list items under “OBX Segment” with the following: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rPr/>
      </w:pPr>
      <w:r>
        <w:rPr/>
        <w:t>Include an OBX segment specifying the order type of bolus (clinician dose). This segment has OBX-3 set to MDCX_INFUSION_PROGRAM_TYPE and OBX-5 set to “clinician-dose”.</w:t>
      </w:r>
    </w:p>
    <w:p>
      <w:pPr>
        <w:pStyle w:val="Default"/>
        <w:numPr>
          <w:ilvl w:val="0"/>
          <w:numId w:val="2"/>
        </w:numPr>
        <w:rPr/>
      </w:pPr>
      <w:r>
        <w:rPr/>
        <w:t>When RXG-15 and RXG-16 specify a dose, include an OBX segment specifying the rate where OBX-3 = MDC_FLOW_FLUID_PUMP and OBX-5 = rate.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keepNext/>
        <w:keepLines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08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jc w:val="cen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rPr/>
    </w:pPr>
    <w:r>
      <w:rPr/>
      <w:fldChar w:fldCharType="begin"/>
    </w:r>
    <w:r>
      <w:instrText> FILENAME </w:instrText>
    </w:r>
    <w:r>
      <w:fldChar w:fldCharType="separate"/>
    </w:r>
    <w:r>
      <w:t>CP-PCD-PIV-149_PCA_Intermittent_Bolus_Changes.docx</w:t>
    </w:r>
    <w:r>
      <w:fldChar w:fldCharType="end"/>
    </w:r>
  </w:p>
  <w:p>
    <w:pPr>
      <w:pStyle w:val="Header"/>
      <w:rPr>
        <w:rFonts w:ascii="Arial" w:hAnsi="Arial" w:cs="Arial"/>
        <w:i/>
        <w:i/>
        <w:iCs/>
        <w:sz w:val="20"/>
      </w:rPr>
    </w:pPr>
    <w:r>
      <w:rPr>
        <w:rFonts w:cs="Arial" w:ascii="Arial" w:hAnsi="Arial"/>
        <w:i/>
        <w:iCs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9"/>
        <w:szCs w:val="19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paragraph" w:styleId="Heading1">
    <w:name w:val="Heading 1"/>
    <w:basedOn w:val="Heading"/>
    <w:qFormat/>
    <w:pPr>
      <w:keepNext/>
      <w:widowControl/>
      <w:numPr>
        <w:ilvl w:val="0"/>
        <w:numId w:val="1"/>
      </w:numPr>
      <w:tabs>
        <w:tab w:val="left" w:pos="360" w:leader="none"/>
      </w:tabs>
      <w:bidi w:val="0"/>
      <w:spacing w:before="240" w:after="60"/>
      <w:ind w:left="360" w:hanging="720"/>
      <w:jc w:val="left"/>
      <w:outlineLvl w:val="0"/>
      <w:outlineLvl w:val="0"/>
    </w:pPr>
    <w:rPr>
      <w:rFonts w:ascii="Arial" w:hAnsi="Arial" w:eastAsia="Times New Roman" w:cs="Arial"/>
      <w:b/>
      <w:color w:val="00000A"/>
      <w:sz w:val="28"/>
      <w:szCs w:val="20"/>
      <w:lang w:val="en-US" w:eastAsia="en-US" w:bidi="ar-SA"/>
    </w:rPr>
  </w:style>
  <w:style w:type="paragraph" w:styleId="Heading2">
    <w:name w:val="Heading 2"/>
    <w:basedOn w:val="Heading1"/>
    <w:qFormat/>
    <w:pPr>
      <w:numPr>
        <w:ilvl w:val="1"/>
        <w:numId w:val="1"/>
      </w:numPr>
      <w:tabs>
        <w:tab w:val="left" w:pos="360" w:leader="none"/>
        <w:tab w:val="left" w:pos="540" w:leader="none"/>
      </w:tabs>
      <w:ind w:left="547" w:hanging="907"/>
      <w:outlineLvl w:val="1"/>
      <w:outlineLvl w:val="1"/>
    </w:pPr>
    <w:rPr/>
  </w:style>
  <w:style w:type="paragraph" w:styleId="Heading3">
    <w:name w:val="Heading 3"/>
    <w:basedOn w:val="Heading2"/>
    <w:qFormat/>
    <w:pPr>
      <w:numPr>
        <w:ilvl w:val="2"/>
        <w:numId w:val="1"/>
      </w:numPr>
      <w:ind w:left="547" w:hanging="1080"/>
      <w:outlineLvl w:val="2"/>
      <w:outlineLvl w:val="2"/>
    </w:pPr>
    <w:rPr>
      <w:sz w:val="24"/>
    </w:rPr>
  </w:style>
  <w:style w:type="paragraph" w:styleId="Heading4">
    <w:name w:val="Heading 4"/>
    <w:basedOn w:val="Heading3"/>
    <w:qFormat/>
    <w:pPr>
      <w:numPr>
        <w:ilvl w:val="3"/>
        <w:numId w:val="1"/>
      </w:numPr>
      <w:tabs>
        <w:tab w:val="left" w:pos="360" w:leader="none"/>
        <w:tab w:val="left" w:pos="540" w:leader="none"/>
        <w:tab w:val="left" w:pos="900" w:leader="none"/>
      </w:tabs>
      <w:ind w:left="900" w:hanging="1260"/>
      <w:outlineLvl w:val="3"/>
      <w:outlineLvl w:val="3"/>
    </w:pPr>
    <w:rPr/>
  </w:style>
  <w:style w:type="paragraph" w:styleId="Heading5">
    <w:name w:val="Heading 5"/>
    <w:basedOn w:val="Heading4"/>
    <w:qFormat/>
    <w:pPr>
      <w:numPr>
        <w:ilvl w:val="4"/>
        <w:numId w:val="1"/>
      </w:numPr>
      <w:tabs>
        <w:tab w:val="left" w:pos="360" w:leader="none"/>
        <w:tab w:val="left" w:pos="540" w:leader="none"/>
        <w:tab w:val="left" w:pos="1080" w:leader="none"/>
      </w:tabs>
      <w:ind w:left="1080" w:hanging="1440"/>
      <w:outlineLvl w:val="4"/>
      <w:outlineLvl w:val="4"/>
    </w:pPr>
    <w:rPr/>
  </w:style>
  <w:style w:type="paragraph" w:styleId="Heading6">
    <w:name w:val="Heading 6"/>
    <w:basedOn w:val="Heading5"/>
    <w:qFormat/>
    <w:pPr>
      <w:numPr>
        <w:ilvl w:val="5"/>
        <w:numId w:val="1"/>
      </w:numPr>
      <w:tabs>
        <w:tab w:val="left" w:pos="360" w:leader="none"/>
        <w:tab w:val="left" w:pos="540" w:leader="none"/>
        <w:tab w:val="left" w:pos="1080" w:leader="none"/>
        <w:tab w:val="left" w:pos="1260" w:leader="none"/>
      </w:tabs>
      <w:ind w:left="1260" w:hanging="1620"/>
      <w:outlineLvl w:val="5"/>
      <w:outlineLvl w:val="5"/>
    </w:pPr>
    <w:rPr/>
  </w:style>
  <w:style w:type="paragraph" w:styleId="Heading7">
    <w:name w:val="Heading 7"/>
    <w:basedOn w:val="Heading6"/>
    <w:qFormat/>
    <w:pPr>
      <w:numPr>
        <w:ilvl w:val="6"/>
        <w:numId w:val="1"/>
      </w:numPr>
      <w:tabs>
        <w:tab w:val="left" w:pos="360" w:leader="none"/>
        <w:tab w:val="left" w:pos="540" w:leader="none"/>
        <w:tab w:val="left" w:pos="1080" w:leader="none"/>
        <w:tab w:val="left" w:pos="1260" w:leader="none"/>
        <w:tab w:val="left" w:pos="1440" w:leader="none"/>
      </w:tabs>
      <w:ind w:left="1440" w:hanging="1800"/>
      <w:outlineLvl w:val="6"/>
      <w:outlineLvl w:val="6"/>
    </w:pPr>
    <w:rPr/>
  </w:style>
  <w:style w:type="paragraph" w:styleId="Heading8">
    <w:name w:val="Heading 8"/>
    <w:basedOn w:val="Heading7"/>
    <w:qFormat/>
    <w:pPr>
      <w:numPr>
        <w:ilvl w:val="7"/>
        <w:numId w:val="1"/>
      </w:numPr>
      <w:tabs>
        <w:tab w:val="left" w:pos="360" w:leader="none"/>
        <w:tab w:val="left" w:pos="540" w:leader="none"/>
        <w:tab w:val="left" w:pos="1080" w:leader="none"/>
        <w:tab w:val="left" w:pos="1260" w:leader="none"/>
        <w:tab w:val="left" w:pos="1620" w:leader="none"/>
      </w:tabs>
      <w:ind w:left="1620" w:hanging="1980"/>
      <w:outlineLvl w:val="7"/>
      <w:outlineLvl w:val="7"/>
    </w:pPr>
    <w:rPr/>
  </w:style>
  <w:style w:type="paragraph" w:styleId="Heading9">
    <w:name w:val="Heading 9"/>
    <w:basedOn w:val="Heading8"/>
    <w:qFormat/>
    <w:pPr>
      <w:numPr>
        <w:ilvl w:val="8"/>
        <w:numId w:val="1"/>
      </w:numPr>
      <w:tabs>
        <w:tab w:val="left" w:pos="360" w:leader="none"/>
        <w:tab w:val="left" w:pos="540" w:leader="none"/>
        <w:tab w:val="left" w:pos="1080" w:leader="none"/>
        <w:tab w:val="left" w:pos="1260" w:leader="none"/>
        <w:tab w:val="left" w:pos="1620" w:leader="none"/>
        <w:tab w:val="left" w:pos="1800" w:leader="none"/>
      </w:tabs>
      <w:ind w:left="1800" w:hanging="2160"/>
      <w:outlineLvl w:val="8"/>
      <w:outlineLvl w:val="8"/>
    </w:pPr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eastAsia="Times New Roman" w:cs="Symbol"/>
      <w:sz w:val="19"/>
      <w:szCs w:val="19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Arial" w:hAnsi="Arial" w:cs="Symbol"/>
      <w:sz w:val="19"/>
      <w:szCs w:val="19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44"/>
    </w:rPr>
  </w:style>
  <w:style w:type="paragraph" w:styleId="TextBody">
    <w:name w:val="Body Text"/>
    <w:basedOn w:val="Normal"/>
    <w:pPr>
      <w:widowControl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List">
    <w:name w:val="List"/>
    <w:basedOn w:val="TextBody"/>
    <w:pPr>
      <w:spacing w:before="60" w:after="0"/>
      <w:ind w:left="1080" w:hanging="720"/>
    </w:pPr>
    <w:rPr/>
  </w:style>
  <w:style w:type="paragraph" w:styleId="Caption">
    <w:name w:val="Caption"/>
    <w:basedOn w:val="TextBody"/>
    <w:qFormat/>
    <w:pPr/>
    <w:rPr>
      <w:rFonts w:ascii="Arial" w:hAnsi="Arial" w:cs="Arial"/>
      <w:b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ListNumber">
    <w:name w:val="List Number"/>
    <w:basedOn w:val="TextBody"/>
    <w:qFormat/>
    <w:pPr/>
    <w:rPr/>
  </w:style>
  <w:style w:type="paragraph" w:styleId="ListBullet">
    <w:name w:val="List Bullet"/>
    <w:basedOn w:val="TextBody"/>
    <w:qFormat/>
    <w:pPr>
      <w:tabs>
        <w:tab w:val="left" w:pos="720" w:leader="none"/>
      </w:tabs>
      <w:spacing w:before="60" w:after="0"/>
      <w:ind w:left="720" w:hanging="0"/>
    </w:pPr>
    <w:rPr/>
  </w:style>
  <w:style w:type="paragraph" w:styleId="ListBullet2">
    <w:name w:val="List Bullet 2"/>
    <w:basedOn w:val="ListBullet"/>
    <w:qFormat/>
    <w:pPr>
      <w:tabs>
        <w:tab w:val="left" w:pos="1080" w:leader="none"/>
      </w:tabs>
      <w:ind w:left="1080" w:hanging="0"/>
    </w:pPr>
    <w:rPr/>
  </w:style>
  <w:style w:type="paragraph" w:styleId="ListBullet3">
    <w:name w:val="List Bullet 3"/>
    <w:basedOn w:val="List"/>
    <w:qFormat/>
    <w:pPr>
      <w:ind w:left="1440" w:hanging="720"/>
    </w:pPr>
    <w:rPr/>
  </w:style>
  <w:style w:type="paragraph" w:styleId="Contents1">
    <w:name w:val="TOC 1"/>
    <w:basedOn w:val="Index"/>
    <w:next w:val="Normal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Contents2">
    <w:name w:val="TOC 2"/>
    <w:basedOn w:val="Contents1"/>
    <w:next w:val="Normal"/>
    <w:pPr>
      <w:ind w:left="240" w:hanging="0"/>
    </w:pPr>
    <w:rPr/>
  </w:style>
  <w:style w:type="paragraph" w:styleId="Contents3">
    <w:name w:val="TOC 3"/>
    <w:basedOn w:val="Contents2"/>
    <w:next w:val="Normal"/>
    <w:pPr>
      <w:ind w:left="480" w:hanging="0"/>
    </w:pPr>
    <w:rPr/>
  </w:style>
  <w:style w:type="paragraph" w:styleId="Contents4">
    <w:name w:val="TOC 4"/>
    <w:basedOn w:val="Contents3"/>
    <w:next w:val="Normal"/>
    <w:pPr>
      <w:ind w:left="720" w:hanging="0"/>
    </w:pPr>
    <w:rPr/>
  </w:style>
  <w:style w:type="paragraph" w:styleId="Contents5">
    <w:name w:val="TOC 5"/>
    <w:basedOn w:val="Contents4"/>
    <w:next w:val="Normal"/>
    <w:pPr>
      <w:ind w:left="960" w:hanging="0"/>
    </w:pPr>
    <w:rPr/>
  </w:style>
  <w:style w:type="paragraph" w:styleId="Contents6">
    <w:name w:val="TOC 6"/>
    <w:basedOn w:val="Contents5"/>
    <w:next w:val="Normal"/>
    <w:pPr>
      <w:ind w:left="1200" w:hanging="0"/>
    </w:pPr>
    <w:rPr/>
  </w:style>
  <w:style w:type="paragraph" w:styleId="Contents7">
    <w:name w:val="TOC 7"/>
    <w:basedOn w:val="Contents6"/>
    <w:next w:val="Normal"/>
    <w:pPr>
      <w:ind w:left="1440" w:hanging="0"/>
    </w:pPr>
    <w:rPr/>
  </w:style>
  <w:style w:type="paragraph" w:styleId="Contents8">
    <w:name w:val="TOC 8"/>
    <w:basedOn w:val="Contents7"/>
    <w:next w:val="Normal"/>
    <w:pPr>
      <w:ind w:left="1680" w:hanging="0"/>
    </w:pPr>
    <w:rPr/>
  </w:style>
  <w:style w:type="paragraph" w:styleId="Contents9">
    <w:name w:val="TOC 9"/>
    <w:basedOn w:val="Contents8"/>
    <w:next w:val="Normal"/>
    <w:pPr>
      <w:ind w:left="1920" w:hanging="0"/>
    </w:pPr>
    <w:rPr/>
  </w:style>
  <w:style w:type="paragraph" w:styleId="TableEntry">
    <w:name w:val="Table Entry"/>
    <w:basedOn w:val="TextBody"/>
    <w:qFormat/>
    <w:pPr>
      <w:spacing w:before="40" w:after="40"/>
      <w:ind w:left="72" w:right="72" w:hanging="0"/>
    </w:pPr>
    <w:rPr>
      <w:sz w:val="18"/>
    </w:rPr>
  </w:style>
  <w:style w:type="paragraph" w:styleId="TableEntryHeader">
    <w:name w:val="Table Entry Header"/>
    <w:basedOn w:val="TableEntry"/>
    <w:qFormat/>
    <w:pPr>
      <w:jc w:val="center"/>
    </w:pPr>
    <w:rPr>
      <w:rFonts w:ascii="Arial" w:hAnsi="Arial" w:cs="Arial"/>
      <w:b/>
      <w:sz w:val="20"/>
    </w:rPr>
  </w:style>
  <w:style w:type="paragraph" w:styleId="TableTitle">
    <w:name w:val="Table Title"/>
    <w:basedOn w:val="TextBody"/>
    <w:qFormat/>
    <w:pPr>
      <w:spacing w:before="60" w:after="60"/>
      <w:jc w:val="center"/>
    </w:pPr>
    <w:rPr>
      <w:rFonts w:ascii="Arial" w:hAnsi="Arial" w:cs="Arial"/>
      <w:b/>
      <w:sz w:val="22"/>
    </w:rPr>
  </w:style>
  <w:style w:type="paragraph" w:styleId="FigureTitle">
    <w:name w:val="Figure Title"/>
    <w:basedOn w:val="TableTitle"/>
    <w:qFormat/>
    <w:pPr/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Bullet4">
    <w:name w:val="List Bullet 4"/>
    <w:basedOn w:val="Normal"/>
    <w:qFormat/>
    <w:pPr>
      <w:ind w:left="1800" w:hanging="720"/>
    </w:pPr>
    <w:rPr/>
  </w:style>
  <w:style w:type="paragraph" w:styleId="ListContinue">
    <w:name w:val="List Continue"/>
    <w:basedOn w:val="List"/>
    <w:qFormat/>
    <w:pPr>
      <w:spacing w:before="60" w:after="120"/>
      <w:ind w:left="1080" w:hanging="0"/>
    </w:pPr>
    <w:rPr/>
  </w:style>
  <w:style w:type="paragraph" w:styleId="ListContinue2">
    <w:name w:val="List Continue 2"/>
    <w:basedOn w:val="ListBullet3"/>
    <w:qFormat/>
    <w:pPr>
      <w:ind w:left="1440" w:hanging="0"/>
    </w:pPr>
    <w:rPr/>
  </w:style>
  <w:style w:type="paragraph" w:styleId="ParagraphHeading">
    <w:name w:val="Paragraph Heading"/>
    <w:basedOn w:val="Caption"/>
    <w:qFormat/>
    <w:pPr>
      <w:spacing w:before="180" w:after="0"/>
    </w:pPr>
    <w:rPr/>
  </w:style>
  <w:style w:type="paragraph" w:styleId="ListNumberContinue">
    <w:name w:val="List Number Continue"/>
    <w:basedOn w:val="ListNumber"/>
    <w:qFormat/>
    <w:pPr>
      <w:spacing w:before="60" w:after="0"/>
      <w:ind w:left="900" w:hanging="0"/>
    </w:pPr>
    <w:rPr/>
  </w:style>
  <w:style w:type="paragraph" w:styleId="ListBulletContinue">
    <w:name w:val="List Bullet Continue"/>
    <w:basedOn w:val="ListBullet"/>
    <w:qFormat/>
    <w:pPr>
      <w:ind w:left="720" w:hanging="0"/>
    </w:pPr>
    <w:rPr/>
  </w:style>
  <w:style w:type="paragraph" w:styleId="ListBullet2Continue">
    <w:name w:val="List Bullet 2 Continue"/>
    <w:basedOn w:val="ListBullet2"/>
    <w:qFormat/>
    <w:pPr>
      <w:ind w:left="1080" w:hanging="0"/>
    </w:pPr>
    <w:rPr/>
  </w:style>
  <w:style w:type="paragraph" w:styleId="ListBullet3Continue">
    <w:name w:val="List Bullet 3 Continue"/>
    <w:basedOn w:val="ListBullet3"/>
    <w:qFormat/>
    <w:pPr>
      <w:ind w:left="1440" w:hanging="0"/>
    </w:pPr>
    <w:rPr/>
  </w:style>
  <w:style w:type="paragraph" w:styleId="List3Continue">
    <w:name w:val="List 3 Continue"/>
    <w:basedOn w:val="ListBullet4"/>
    <w:qFormat/>
    <w:pPr>
      <w:ind w:left="1800" w:hanging="0"/>
    </w:pPr>
    <w:rPr/>
  </w:style>
  <w:style w:type="paragraph" w:styleId="AppendixHeading2">
    <w:name w:val="Appendix Heading 2"/>
    <w:qFormat/>
    <w:pPr>
      <w:widowControl/>
      <w:bidi w:val="0"/>
      <w:spacing w:before="240" w:after="60"/>
      <w:jc w:val="left"/>
    </w:pPr>
    <w:rPr>
      <w:rFonts w:ascii="Arial" w:hAnsi="Arial" w:eastAsia="Times New Roman" w:cs="Arial"/>
      <w:b/>
      <w:color w:val="00000A"/>
      <w:sz w:val="28"/>
      <w:szCs w:val="20"/>
      <w:lang w:val="en-US" w:eastAsia="en-US" w:bidi="ar-SA"/>
    </w:rPr>
  </w:style>
  <w:style w:type="paragraph" w:styleId="AppendixHeading1">
    <w:name w:val="Appendix Heading 1"/>
    <w:qFormat/>
    <w:pPr>
      <w:widowControl/>
      <w:bidi w:val="0"/>
      <w:spacing w:before="240" w:after="60"/>
      <w:jc w:val="left"/>
    </w:pPr>
    <w:rPr>
      <w:rFonts w:ascii="Arial" w:hAnsi="Arial" w:eastAsia="Times New Roman" w:cs="Arial"/>
      <w:b/>
      <w:color w:val="00000A"/>
      <w:sz w:val="28"/>
      <w:szCs w:val="20"/>
      <w:lang w:val="en-US" w:eastAsia="en-US" w:bidi="ar-SA"/>
    </w:rPr>
  </w:style>
  <w:style w:type="paragraph" w:styleId="AppendixHeading3">
    <w:name w:val="Appendix Heading 3"/>
    <w:basedOn w:val="AppendixHeading2"/>
    <w:qFormat/>
    <w:pPr/>
    <w:rPr>
      <w:sz w:val="24"/>
    </w:rPr>
  </w:style>
  <w:style w:type="paragraph" w:styleId="EditorInstructions">
    <w:name w:val="Editor Instructions"/>
    <w:basedOn w:val="TextBody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</w:pPr>
    <w:rPr>
      <w:i/>
      <w:iCs/>
    </w:rPr>
  </w:style>
  <w:style w:type="paragraph" w:styleId="StyleBodyTextItalicRedBoxSinglesolidlineAuto05">
    <w:name w:val="Style Body Text + Italic Red Box: (Single solid line Auto  0.5 ..."/>
    <w:basedOn w:val="TextBody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</w:pPr>
    <w:rPr>
      <w:i/>
      <w:iCs/>
    </w:rPr>
  </w:style>
  <w:style w:type="paragraph" w:styleId="Footnote">
    <w:name w:val="Footnote Text"/>
    <w:basedOn w:val="Normal"/>
    <w:pPr/>
    <w:rPr>
      <w:sz w:val="20"/>
    </w:rPr>
  </w:style>
  <w:style w:type="paragraph" w:styleId="Note">
    <w:name w:val="Note"/>
    <w:basedOn w:val="Footnote"/>
    <w:qFormat/>
    <w:pPr>
      <w:ind w:left="1152" w:hanging="720"/>
    </w:pPr>
    <w:rPr>
      <w:sz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948</TotalTime>
  <Application>LibreOffice/5.1.6.2$Linux_X86_64 LibreOffice_project/10m0$Build-2</Application>
  <Pages>2</Pages>
  <Words>309</Words>
  <Characters>2067</Characters>
  <CharactersWithSpaces>2342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2020-04-27T09:08:00Z</dcterms:created>
  <dc:creator>NO ONE ASSIGNED</dc:creator>
  <dc:description/>
  <dc:language>en-US</dc:language>
  <cp:lastModifiedBy/>
  <dcterms:modified xsi:type="dcterms:W3CDTF">2020-05-13T13:15:25Z</dcterms:modified>
  <cp:revision>90</cp:revision>
  <dc:subject/>
  <dc:title>&lt;Change Proposal Title&gt;</dc:title>
</cp:coreProperties>
</file>